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8fd90e8482b060e931726b68472d95d4372cda4"/>
    <w:p>
      <w:pPr>
        <w:pStyle w:val="Heading1"/>
      </w:pPr>
      <w:r>
        <w:t xml:space="preserve">Epigenetic Biomarkers of Gestational Hypoxia: Toward Retrospective Detection and Risk Stratification for Developmental and Adult-Onset Disease</w:t>
      </w:r>
    </w:p>
    <w:p>
      <w:pPr>
        <w:pStyle w:val="FirstParagraph"/>
      </w:pPr>
      <w:r>
        <w:rPr>
          <w:b/>
          <w:bCs/>
        </w:rPr>
        <w:t xml:space="preserve">Jay Andrew Carpenter</w:t>
      </w:r>
      <w:r>
        <w:t xml:space="preserve"> </w:t>
      </w:r>
      <w:r>
        <w:t xml:space="preserve">Independent Researcher, Sydney, Australia</w:t>
      </w:r>
      <w:r>
        <w:t xml:space="preserve"> </w:t>
      </w:r>
      <w:r>
        <w:t xml:space="preserve">jay.andrew.carpenter@gmail.com | jay@secs.observer</w:t>
      </w:r>
    </w:p>
    <w:p>
      <w:pPr>
        <w:pStyle w:val="BodyText"/>
      </w:pPr>
      <w:r>
        <w:rPr>
          <w:b/>
          <w:bCs/>
        </w:rPr>
        <w:t xml:space="preserve">License:</w:t>
      </w:r>
      <w:r>
        <w:t xml:space="preserve"> </w:t>
      </w:r>
      <w:r>
        <w:t xml:space="preserve">CC-BY 4.0 International</w:t>
      </w:r>
    </w:p>
    <w:p>
      <w:r>
        <w:pict>
          <v:rect style="width:0;height:1.5pt" o:hralign="center" o:hrstd="t" o:hr="t"/>
        </w:pict>
      </w:r>
    </w:p>
    <w:bookmarkStart w:id="9" w:name="abstract"/>
    <w:p>
      <w:pPr>
        <w:pStyle w:val="Heading2"/>
      </w:pPr>
      <w:r>
        <w:t xml:space="preserve">Abstract</w:t>
      </w:r>
    </w:p>
    <w:p>
      <w:pPr>
        <w:pStyle w:val="FirstParagraph"/>
      </w:pPr>
      <w:r>
        <w:t xml:space="preserve">The gestational oxygen-timing alignment model predicts that sustained HIF-1α activation during fetal life creates persistent epigenetic marks at oxygen-responsive loci, producing maturation arrest in organ-specific progenitor cells that manifests as neurodevelopmental, organ-specific, and idiopathic conditions across the lifespan. If this mechanism operates, it should leave a detectable molecular signature — an</w:t>
      </w:r>
      <w:r>
        <w:t xml:space="preserve"> </w:t>
      </w:r>
      <w:r>
        <w:t xml:space="preserve">“epigenetic fossil record”</w:t>
      </w:r>
      <w:r>
        <w:t xml:space="preserve"> </w:t>
      </w:r>
      <w:r>
        <w:t xml:space="preserve">of gestational hypoxia — observable on archived newborn blood spots (Guthrie cards), cord blood, and placental tissue. This paper synthesises emerging evidence for six classes of epigenetic biomarker: (1) HIF3A methylation as a direct indicator of gestational HIF pathway activation; (2) organ-specific methylation signatures mapping hypoxic injury to particular developmental windows; (3) accelerated epigenetic clocks indicating developmental stress; (4) placental timing markers distinguishing early-onset from late-onset preeclampsia; (5) miR-210 as a circulating hypoxamiR with lifelong persistence; and (6) glycolytic gene promoter methylation as evidence of Warburg pre-programming. We then map these biomarkers against ten conditions currently classified as</w:t>
      </w:r>
      <w:r>
        <w:t xml:space="preserve"> </w:t>
      </w:r>
      <w:r>
        <w:t xml:space="preserve">“idiopathic”</w:t>
      </w:r>
      <w:r>
        <w:t xml:space="preserve"> </w:t>
      </w:r>
      <w:r>
        <w:t xml:space="preserve">— essential hypertension, epilepsy, type 2 diabetes mellitus, generalised anxiety disorder, autoimmune conditions, cardiovascular disease, idiopathic pulmonary fibrosis, attention deficit hyperactivity disorder, chronic kidney disease of unknown aetiology, and developmental coordination disorder — for which the alignment model proposes gestational hypoxic origins. Evidence strength ranges from STRONG (hypertension, type 2 diabetes, ADHD, cardiovascular disease, pulmonary fibrosis, developmental coordination disorder) to MODERATE-WEAK (autoimmune conditions, anxiety disorder). If validated, this biomarker framework would enable retrospective identification of gestationally programmed disease risk at birth, transform</w:t>
      </w:r>
      <w:r>
        <w:t xml:space="preserve"> </w:t>
      </w:r>
      <w:r>
        <w:t xml:space="preserve">“idiopathic”</w:t>
      </w:r>
      <w:r>
        <w:t xml:space="preserve"> </w:t>
      </w:r>
      <w:r>
        <w:t xml:space="preserve">conditions into conditions with identifiable developmental aetiology, and open a prevention window in the gestational and neonatal period.</w:t>
      </w:r>
    </w:p>
    <w:p>
      <w:pPr>
        <w:pStyle w:val="BodyText"/>
      </w:pPr>
      <w:r>
        <w:rPr>
          <w:b/>
          <w:bCs/>
        </w:rPr>
        <w:t xml:space="preserve">Keywords:</w:t>
      </w:r>
      <w:r>
        <w:t xml:space="preserve"> </w:t>
      </w:r>
      <w:r>
        <w:t xml:space="preserve">epigenetic biomarkers, gestational hypoxia, HIF3A methylation, Guthrie cards, epigenetic clock, miR-210, idiopathic disease, developmental origins, newborn screening, preeclampsia, organ-specific methylation, Warburg pre-programming</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A recurring problem in medicine is the classification of conditions as</w:t>
      </w:r>
      <w:r>
        <w:t xml:space="preserve"> </w:t>
      </w:r>
      <w:r>
        <w:t xml:space="preserve">“idiopathic”</w:t>
      </w:r>
      <w:r>
        <w:t xml:space="preserve"> </w:t>
      </w:r>
      <w:r>
        <w:t xml:space="preserve">— arising without known cause. Essential hypertension, epilepsy, type 2 diabetes mellitus in lean individuals, generalised anxiety disorder, and developmental coordination disorder are among the many conditions whose aetiology remains incompletely understood despite decades of genetic and epidemiological research. The developmental origins of health and disease (DOHaD) framework established that fetal programming contributes to adult-onset disease (Barker, 2004), but the specific molecular intermediaries connecting gestational adversity to later disease have remained elusive for most conditions.</w:t>
      </w:r>
    </w:p>
    <w:p>
      <w:pPr>
        <w:pStyle w:val="BodyText"/>
      </w:pPr>
      <w:r>
        <w:t xml:space="preserve">The gestational oxygen-timing alignment model (Carpenter, 2026a, 2026b, 2026c) proposes a unifying mechanism: sustained HIF-1α activation during critical developmental windows arrests the maturation of organ-specific progenitor cells and creates persistent epigenetic modifications at oxygen-responsive loci. These modifications — methylation changes at tumour-suppressor, glycolytic, angiogenic, and organ-specific gene promoters — constitute an</w:t>
      </w:r>
      <w:r>
        <w:t xml:space="preserve"> </w:t>
      </w:r>
      <w:r>
        <w:t xml:space="preserve">“epigenetic fossil record”</w:t>
      </w:r>
      <w:r>
        <w:t xml:space="preserve"> </w:t>
      </w:r>
      <w:r>
        <w:t xml:space="preserve">of gestational hypoxia that persists into adulthood.</w:t>
      </w:r>
    </w:p>
    <w:p>
      <w:pPr>
        <w:pStyle w:val="BodyText"/>
      </w:pPr>
      <w:r>
        <w:t xml:space="preserve">This paper has two objectives:</w:t>
      </w:r>
    </w:p>
    <w:p>
      <w:pPr>
        <w:pStyle w:val="Compact"/>
        <w:numPr>
          <w:ilvl w:val="0"/>
          <w:numId w:val="1001"/>
        </w:numPr>
      </w:pPr>
      <w:r>
        <w:rPr>
          <w:b/>
          <w:bCs/>
        </w:rPr>
        <w:t xml:space="preserve">Identify the biomarker classes</w:t>
      </w:r>
      <w:r>
        <w:t xml:space="preserve"> </w:t>
      </w:r>
      <w:r>
        <w:t xml:space="preserve">that could detect gestational HIF priming on accessible biological samples (Guthrie cards, cord blood, peripheral blood, placenta)</w:t>
      </w:r>
    </w:p>
    <w:p>
      <w:pPr>
        <w:pStyle w:val="Compact"/>
        <w:numPr>
          <w:ilvl w:val="0"/>
          <w:numId w:val="1001"/>
        </w:numPr>
      </w:pPr>
      <w:r>
        <w:rPr>
          <w:b/>
          <w:bCs/>
        </w:rPr>
        <w:t xml:space="preserve">Map ten idiopathic conditions</w:t>
      </w:r>
      <w:r>
        <w:t xml:space="preserve"> </w:t>
      </w:r>
      <w:r>
        <w:t xml:space="preserve">to gestational hypoxic origins, assessing evidence strength for each</w:t>
      </w:r>
    </w:p>
    <w:p>
      <w:pPr>
        <w:pStyle w:val="FirstParagraph"/>
      </w:pPr>
      <w:r>
        <w:t xml:space="preserve">If the biomarker framework is validated, it would transform the concept of</w:t>
      </w:r>
      <w:r>
        <w:t xml:space="preserve"> </w:t>
      </w:r>
      <w:r>
        <w:t xml:space="preserve">“idiopathic”</w:t>
      </w:r>
      <w:r>
        <w:t xml:space="preserve"> </w:t>
      </w:r>
      <w:r>
        <w:t xml:space="preserve">disease: conditions currently attributed to unknown causes would be recognised as consequences of identifiable gestational oxygen disruption, detectable at birth through epigenetic screening.</w:t>
      </w:r>
    </w:p>
    <w:p>
      <w:r>
        <w:pict>
          <v:rect style="width:0;height:1.5pt" o:hralign="center" o:hrstd="t" o:hr="t"/>
        </w:pict>
      </w:r>
    </w:p>
    <w:bookmarkEnd w:id="10"/>
    <w:bookmarkStart w:id="15" w:name="biomarker-class-1-hif3a-methylation"/>
    <w:p>
      <w:pPr>
        <w:pStyle w:val="Heading2"/>
      </w:pPr>
      <w:r>
        <w:t xml:space="preserve">2. Biomarker Class 1: HIF3A Methylation</w:t>
      </w:r>
    </w:p>
    <w:bookmarkStart w:id="11" w:name="rationale"/>
    <w:p>
      <w:pPr>
        <w:pStyle w:val="Heading3"/>
      </w:pPr>
      <w:r>
        <w:t xml:space="preserve">2.1 Rationale</w:t>
      </w:r>
    </w:p>
    <w:p>
      <w:pPr>
        <w:pStyle w:val="FirstParagraph"/>
      </w:pPr>
      <w:r>
        <w:t xml:space="preserve">HIF3A encodes hypoxia-inducible factor 3-alpha, a negative regulator of the HIF pathway. Methylation at the HIF3A locus reflects HIF pathway activation status during fetal life and has been detected on archived newborn blood spots (Guthrie cards) (Zar Kyaw et al., 2019).</w:t>
      </w:r>
    </w:p>
    <w:bookmarkEnd w:id="11"/>
    <w:bookmarkStart w:id="12" w:name="evidence"/>
    <w:p>
      <w:pPr>
        <w:pStyle w:val="Heading3"/>
      </w:pPr>
      <w:r>
        <w:t xml:space="preserve">2.2 Evidence</w:t>
      </w:r>
    </w:p>
    <w:p>
      <w:pPr>
        <w:pStyle w:val="Compact"/>
        <w:numPr>
          <w:ilvl w:val="0"/>
          <w:numId w:val="1002"/>
        </w:numPr>
      </w:pPr>
      <w:r>
        <w:t xml:space="preserve">HIF3A methylation is altered in cord blood of neonates exposed to gestational adversity</w:t>
      </w:r>
    </w:p>
    <w:p>
      <w:pPr>
        <w:pStyle w:val="Compact"/>
        <w:numPr>
          <w:ilvl w:val="0"/>
          <w:numId w:val="1002"/>
        </w:numPr>
      </w:pPr>
      <w:r>
        <w:t xml:space="preserve">The methylation signal is detectable on dried blood spots stored for years to decades</w:t>
      </w:r>
    </w:p>
    <w:p>
      <w:pPr>
        <w:pStyle w:val="Compact"/>
        <w:numPr>
          <w:ilvl w:val="0"/>
          <w:numId w:val="1002"/>
        </w:numPr>
      </w:pPr>
      <w:r>
        <w:t xml:space="preserve">HIF3A methylation has been associated with adiposity, metabolic risk, and birth weight in epigenome-wide association studies (EWAS)</w:t>
      </w:r>
    </w:p>
    <w:bookmarkEnd w:id="12"/>
    <w:bookmarkStart w:id="13" w:name="significance-for-the-alignment-model"/>
    <w:p>
      <w:pPr>
        <w:pStyle w:val="Heading3"/>
      </w:pPr>
      <w:r>
        <w:t xml:space="preserve">2.3 Significance for the Alignment Model</w:t>
      </w:r>
    </w:p>
    <w:p>
      <w:pPr>
        <w:pStyle w:val="FirstParagraph"/>
      </w:pPr>
      <w:r>
        <w:t xml:space="preserve">HIF3A methylation provides a</w:t>
      </w:r>
      <w:r>
        <w:t xml:space="preserve"> </w:t>
      </w:r>
      <w:r>
        <w:rPr>
          <w:b/>
          <w:bCs/>
        </w:rPr>
        <w:t xml:space="preserve">direct readout of gestational HIF pathway activation</w:t>
      </w:r>
      <w:r>
        <w:t xml:space="preserve"> </w:t>
      </w:r>
      <w:r>
        <w:t xml:space="preserve">on a universally archived biological sample. Guthrie cards are stored in biobanks across many jurisdictions — some dating back to the 1970s-1980s. This creates the possibility of retrospective studies linking neonatal HIF3A methylation to adult disease outcomes across 40-50 year follow-up periods.</w:t>
      </w:r>
    </w:p>
    <w:bookmarkEnd w:id="13"/>
    <w:bookmarkStart w:id="14" w:name="limitations"/>
    <w:p>
      <w:pPr>
        <w:pStyle w:val="Heading3"/>
      </w:pPr>
      <w:r>
        <w:t xml:space="preserve">2.4 Limitations</w:t>
      </w:r>
    </w:p>
    <w:p>
      <w:pPr>
        <w:pStyle w:val="Compact"/>
        <w:numPr>
          <w:ilvl w:val="0"/>
          <w:numId w:val="1003"/>
        </w:numPr>
      </w:pPr>
      <w:r>
        <w:t xml:space="preserve">HIF3A methylation is a pathway-level indicator, not organ-specific</w:t>
      </w:r>
    </w:p>
    <w:p>
      <w:pPr>
        <w:pStyle w:val="Compact"/>
        <w:numPr>
          <w:ilvl w:val="0"/>
          <w:numId w:val="1003"/>
        </w:numPr>
      </w:pPr>
      <w:r>
        <w:t xml:space="preserve">The relationship between HIF3A methylation and the severity/duration of gestational hypoxia is not well characterised</w:t>
      </w:r>
    </w:p>
    <w:p>
      <w:pPr>
        <w:pStyle w:val="Compact"/>
        <w:numPr>
          <w:ilvl w:val="0"/>
          <w:numId w:val="1003"/>
        </w:numPr>
      </w:pPr>
      <w:r>
        <w:t xml:space="preserve">Population-level reference ranges are not established</w:t>
      </w:r>
    </w:p>
    <w:p>
      <w:r>
        <w:pict>
          <v:rect style="width:0;height:1.5pt" o:hralign="center" o:hrstd="t" o:hr="t"/>
        </w:pict>
      </w:r>
    </w:p>
    <w:bookmarkEnd w:id="14"/>
    <w:bookmarkEnd w:id="15"/>
    <w:bookmarkStart w:id="20" w:name="X6066c5b4e055c64c638e0dfc68b410a27591b70"/>
    <w:p>
      <w:pPr>
        <w:pStyle w:val="Heading2"/>
      </w:pPr>
      <w:r>
        <w:t xml:space="preserve">3. Biomarker Class 2: Organ-Specific Methylation Signatures</w:t>
      </w:r>
    </w:p>
    <w:bookmarkStart w:id="16" w:name="rationale-1"/>
    <w:p>
      <w:pPr>
        <w:pStyle w:val="Heading3"/>
      </w:pPr>
      <w:r>
        <w:t xml:space="preserve">3.1 Rationale</w:t>
      </w:r>
    </w:p>
    <w:p>
      <w:pPr>
        <w:pStyle w:val="FirstParagraph"/>
      </w:pPr>
      <w:r>
        <w:t xml:space="preserve">Different organs have distinct vulnerability windows during gestation, and the HIF-responsive genes activated in each organ are partially distinct. If gestational hypoxia occurs during a specific window, it should create a methylation signature biased toward the organ system that was developing during that period.</w:t>
      </w:r>
    </w:p>
    <w:bookmarkEnd w:id="16"/>
    <w:bookmarkStart w:id="17" w:name="predicted-organ-specific-signatures"/>
    <w:p>
      <w:pPr>
        <w:pStyle w:val="Heading3"/>
      </w:pPr>
      <w:r>
        <w:t xml:space="preserve">3.2 Predicted Organ-Specific Signatures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Organ System</w:t>
            </w:r>
          </w:p>
        </w:tc>
        <w:tc>
          <w:tcPr/>
          <w:p>
            <w:pPr>
              <w:pStyle w:val="Compact"/>
            </w:pPr>
            <w:r>
              <w:t xml:space="preserve">Vulnerability Window (weeks)</w:t>
            </w:r>
          </w:p>
        </w:tc>
        <w:tc>
          <w:tcPr/>
          <w:p>
            <w:pPr>
              <w:pStyle w:val="Compact"/>
            </w:pPr>
            <w:r>
              <w:t xml:space="preserve">Key HIF-Responsive Genes</w:t>
            </w:r>
          </w:p>
        </w:tc>
        <w:tc>
          <w:tcPr/>
          <w:p>
            <w:pPr>
              <w:pStyle w:val="Compact"/>
            </w:pPr>
            <w:r>
              <w:t xml:space="preserve">Expected Methylation Change</w:t>
            </w:r>
          </w:p>
        </w:tc>
      </w:tr>
      <w:tr>
        <w:tc>
          <w:tcPr/>
          <w:p>
            <w:pPr>
              <w:pStyle w:val="Compact"/>
            </w:pPr>
            <w:r>
              <w:t xml:space="preserve">Cardiac</w:t>
            </w:r>
          </w:p>
        </w:tc>
        <w:tc>
          <w:tcPr/>
          <w:p>
            <w:pPr>
              <w:pStyle w:val="Compact"/>
            </w:pPr>
            <w:r>
              <w:t xml:space="preserve">3-8</w:t>
            </w:r>
          </w:p>
        </w:tc>
        <w:tc>
          <w:tcPr/>
          <w:p>
            <w:pPr>
              <w:pStyle w:val="Compact"/>
            </w:pPr>
            <w:r>
              <w:t xml:space="preserve">VEGF, NKX2-5, GATA4</w:t>
            </w:r>
          </w:p>
        </w:tc>
        <w:tc>
          <w:tcPr/>
          <w:p>
            <w:pPr>
              <w:pStyle w:val="Compact"/>
            </w:pPr>
            <w:r>
              <w:t xml:space="preserve">Vascular and cardiomyocyte gene methylation</w:t>
            </w:r>
          </w:p>
        </w:tc>
      </w:tr>
      <w:tr>
        <w:tc>
          <w:tcPr/>
          <w:p>
            <w:pPr>
              <w:pStyle w:val="Compact"/>
            </w:pPr>
            <w:r>
              <w:t xml:space="preserve">Renal</w:t>
            </w:r>
          </w:p>
        </w:tc>
        <w:tc>
          <w:tcPr/>
          <w:p>
            <w:pPr>
              <w:pStyle w:val="Compact"/>
            </w:pPr>
            <w:r>
              <w:t xml:space="preserve">10-36</w:t>
            </w:r>
          </w:p>
        </w:tc>
        <w:tc>
          <w:tcPr/>
          <w:p>
            <w:pPr>
              <w:pStyle w:val="Compact"/>
            </w:pPr>
            <w:r>
              <w:t xml:space="preserve">PAX2, WT1, HIF-PHD axis</w:t>
            </w:r>
          </w:p>
        </w:tc>
        <w:tc>
          <w:tcPr/>
          <w:p>
            <w:pPr>
              <w:pStyle w:val="Compact"/>
            </w:pPr>
            <w:r>
              <w:t xml:space="preserve">Nephron endowment gene methylation</w:t>
            </w:r>
          </w:p>
        </w:tc>
      </w:tr>
      <w:tr>
        <w:tc>
          <w:tcPr/>
          <w:p>
            <w:pPr>
              <w:pStyle w:val="Compact"/>
            </w:pPr>
            <w:r>
              <w:t xml:space="preserve">Hippocampal</w:t>
            </w:r>
          </w:p>
        </w:tc>
        <w:tc>
          <w:tcPr/>
          <w:p>
            <w:pPr>
              <w:pStyle w:val="Compact"/>
            </w:pPr>
            <w:r>
              <w:t xml:space="preserve">20-36</w:t>
            </w:r>
          </w:p>
        </w:tc>
        <w:tc>
          <w:tcPr/>
          <w:p>
            <w:pPr>
              <w:pStyle w:val="Compact"/>
            </w:pPr>
            <w:r>
              <w:t xml:space="preserve">BDNF, CREB, NR2B</w:t>
            </w:r>
          </w:p>
        </w:tc>
        <w:tc>
          <w:tcPr/>
          <w:p>
            <w:pPr>
              <w:pStyle w:val="Compact"/>
            </w:pPr>
            <w:r>
              <w:t xml:space="preserve">Synaptic plasticity and memory gene methylation</w:t>
            </w:r>
          </w:p>
        </w:tc>
      </w:tr>
      <w:tr>
        <w:tc>
          <w:tcPr/>
          <w:p>
            <w:pPr>
              <w:pStyle w:val="Compact"/>
            </w:pPr>
            <w:r>
              <w:t xml:space="preserve">Cerebellar</w:t>
            </w:r>
          </w:p>
        </w:tc>
        <w:tc>
          <w:tcPr/>
          <w:p>
            <w:pPr>
              <w:pStyle w:val="Compact"/>
            </w:pPr>
            <w:r>
              <w:t xml:space="preserve">24-40</w:t>
            </w:r>
          </w:p>
        </w:tc>
        <w:tc>
          <w:tcPr/>
          <w:p>
            <w:pPr>
              <w:pStyle w:val="Compact"/>
            </w:pPr>
            <w:r>
              <w:t xml:space="preserve">PTCH1, SHH pathway, Purkinje markers</w:t>
            </w:r>
          </w:p>
        </w:tc>
        <w:tc>
          <w:tcPr/>
          <w:p>
            <w:pPr>
              <w:pStyle w:val="Compact"/>
            </w:pPr>
            <w:r>
              <w:t xml:space="preserve">Motor coordination gene methylation</w:t>
            </w:r>
          </w:p>
        </w:tc>
      </w:tr>
      <w:tr>
        <w:tc>
          <w:tcPr/>
          <w:p>
            <w:pPr>
              <w:pStyle w:val="Compact"/>
            </w:pPr>
            <w:r>
              <w:t xml:space="preserve">Immune/thymic</w:t>
            </w:r>
          </w:p>
        </w:tc>
        <w:tc>
          <w:tcPr/>
          <w:p>
            <w:pPr>
              <w:pStyle w:val="Compact"/>
            </w:pPr>
            <w:r>
              <w:t xml:space="preserve">8-20</w:t>
            </w:r>
          </w:p>
        </w:tc>
        <w:tc>
          <w:tcPr/>
          <w:p>
            <w:pPr>
              <w:pStyle w:val="Compact"/>
            </w:pPr>
            <w:r>
              <w:t xml:space="preserve">AIRE, FOXP3, T-cell receptor genes</w:t>
            </w:r>
          </w:p>
        </w:tc>
        <w:tc>
          <w:tcPr/>
          <w:p>
            <w:pPr>
              <w:pStyle w:val="Compact"/>
            </w:pPr>
            <w:r>
              <w:t xml:space="preserve">Immune regulation and tolerance gene methylation</w:t>
            </w:r>
          </w:p>
        </w:tc>
      </w:tr>
      <w:tr>
        <w:tc>
          <w:tcPr/>
          <w:p>
            <w:pPr>
              <w:pStyle w:val="Compact"/>
            </w:pPr>
            <w:r>
              <w:t xml:space="preserve">Pancreatic</w:t>
            </w:r>
          </w:p>
        </w:tc>
        <w:tc>
          <w:tcPr/>
          <w:p>
            <w:pPr>
              <w:pStyle w:val="Compact"/>
            </w:pPr>
            <w:r>
              <w:t xml:space="preserve">10-30</w:t>
            </w:r>
          </w:p>
        </w:tc>
        <w:tc>
          <w:tcPr/>
          <w:p>
            <w:pPr>
              <w:pStyle w:val="Compact"/>
            </w:pPr>
            <w:r>
              <w:t xml:space="preserve">PDX1, INS, GCK</w:t>
            </w:r>
          </w:p>
        </w:tc>
        <w:tc>
          <w:tcPr/>
          <w:p>
            <w:pPr>
              <w:pStyle w:val="Compact"/>
            </w:pPr>
            <w:r>
              <w:t xml:space="preserve">Beta cell development and insulin gene methylation</w:t>
            </w:r>
          </w:p>
        </w:tc>
      </w:tr>
      <w:tr>
        <w:tc>
          <w:tcPr/>
          <w:p>
            <w:pPr>
              <w:pStyle w:val="Compact"/>
            </w:pPr>
            <w:r>
              <w:t xml:space="preserve">Pulmonary</w:t>
            </w:r>
          </w:p>
        </w:tc>
        <w:tc>
          <w:tcPr/>
          <w:p>
            <w:pPr>
              <w:pStyle w:val="Compact"/>
            </w:pPr>
            <w:r>
              <w:t xml:space="preserve">16-36</w:t>
            </w:r>
          </w:p>
        </w:tc>
        <w:tc>
          <w:tcPr/>
          <w:p>
            <w:pPr>
              <w:pStyle w:val="Compact"/>
            </w:pPr>
            <w:r>
              <w:t xml:space="preserve">SP-B, SP-C, VEGF, type II alveolar markers</w:t>
            </w:r>
          </w:p>
        </w:tc>
        <w:tc>
          <w:tcPr/>
          <w:p>
            <w:pPr>
              <w:pStyle w:val="Compact"/>
            </w:pPr>
            <w:r>
              <w:t xml:space="preserve">Surfactant and alveolarisation gene methylation</w:t>
            </w:r>
          </w:p>
        </w:tc>
      </w:tr>
      <w:tr>
        <w:tc>
          <w:tcPr/>
          <w:p>
            <w:pPr>
              <w:pStyle w:val="Compact"/>
            </w:pPr>
            <w:r>
              <w:t xml:space="preserve">White matter/OPC</w:t>
            </w:r>
          </w:p>
        </w:tc>
        <w:tc>
          <w:tcPr/>
          <w:p>
            <w:pPr>
              <w:pStyle w:val="Compact"/>
            </w:pPr>
            <w:r>
              <w:t xml:space="preserve">23-36</w:t>
            </w:r>
          </w:p>
        </w:tc>
        <w:tc>
          <w:tcPr/>
          <w:p>
            <w:pPr>
              <w:pStyle w:val="Compact"/>
            </w:pPr>
            <w:r>
              <w:t xml:space="preserve">MBP, PLP1, OLIG2, NKX2-2</w:t>
            </w:r>
          </w:p>
        </w:tc>
        <w:tc>
          <w:tcPr/>
          <w:p>
            <w:pPr>
              <w:pStyle w:val="Compact"/>
            </w:pPr>
            <w:r>
              <w:t xml:space="preserve">Myelination gene methylation</w:t>
            </w:r>
          </w:p>
        </w:tc>
      </w:tr>
    </w:tbl>
    <w:bookmarkEnd w:id="17"/>
    <w:bookmarkStart w:id="18" w:name="detection-strategy"/>
    <w:p>
      <w:pPr>
        <w:pStyle w:val="Heading3"/>
      </w:pPr>
      <w:r>
        <w:t xml:space="preserve">3.3 Detection Strategy</w:t>
      </w:r>
    </w:p>
    <w:p>
      <w:pPr>
        <w:pStyle w:val="FirstParagraph"/>
      </w:pPr>
      <w:r>
        <w:t xml:space="preserve">Cord blood and Guthrie cards contain peripheral blood cells — not organ tissue. However:</w:t>
      </w:r>
      <w:r>
        <w:t xml:space="preserve"> </w:t>
      </w:r>
      <w:r>
        <w:t xml:space="preserve">- Some methylation changes are systemic (reflecting whole-organism HIF activation)</w:t>
      </w:r>
      <w:r>
        <w:t xml:space="preserve"> </w:t>
      </w:r>
      <w:r>
        <w:t xml:space="preserve">- Cell-free fetal DNA in cord blood may carry organ-derived methylation signatures</w:t>
      </w:r>
      <w:r>
        <w:t xml:space="preserve"> </w:t>
      </w:r>
      <w:r>
        <w:t xml:space="preserve">- Placental tissue (increasingly banked) provides a complementary tissue source with organ-derived vascular information</w:t>
      </w:r>
    </w:p>
    <w:bookmarkEnd w:id="18"/>
    <w:bookmarkStart w:id="19" w:name="limitations-1"/>
    <w:p>
      <w:pPr>
        <w:pStyle w:val="Heading3"/>
      </w:pPr>
      <w:r>
        <w:t xml:space="preserve">3.4 Limitations</w:t>
      </w:r>
    </w:p>
    <w:p>
      <w:pPr>
        <w:pStyle w:val="Compact"/>
        <w:numPr>
          <w:ilvl w:val="0"/>
          <w:numId w:val="1004"/>
        </w:numPr>
      </w:pPr>
      <w:r>
        <w:t xml:space="preserve">The correspondence between peripheral blood methylation and organ-specific epigenetic state is imperfect</w:t>
      </w:r>
    </w:p>
    <w:p>
      <w:pPr>
        <w:pStyle w:val="Compact"/>
        <w:numPr>
          <w:ilvl w:val="0"/>
          <w:numId w:val="1004"/>
        </w:numPr>
      </w:pPr>
      <w:r>
        <w:t xml:space="preserve">Many organ-specific genes are not expressed in blood cells, limiting their methylation informativeness</w:t>
      </w:r>
    </w:p>
    <w:p>
      <w:pPr>
        <w:pStyle w:val="Compact"/>
        <w:numPr>
          <w:ilvl w:val="0"/>
          <w:numId w:val="1004"/>
        </w:numPr>
      </w:pPr>
      <w:r>
        <w:t xml:space="preserve">Multi-organ methylation panels would require discovery EWAS before clinical application</w:t>
      </w:r>
    </w:p>
    <w:p>
      <w:r>
        <w:pict>
          <v:rect style="width:0;height:1.5pt" o:hralign="center" o:hrstd="t" o:hr="t"/>
        </w:pict>
      </w:r>
    </w:p>
    <w:bookmarkEnd w:id="19"/>
    <w:bookmarkEnd w:id="20"/>
    <w:bookmarkStart w:id="25" w:name="biomarker-class-3-epigenetic-clocks"/>
    <w:p>
      <w:pPr>
        <w:pStyle w:val="Heading2"/>
      </w:pPr>
      <w:r>
        <w:t xml:space="preserve">4. Biomarker Class 3: Epigenetic Clocks</w:t>
      </w:r>
    </w:p>
    <w:bookmarkStart w:id="21" w:name="rationale-2"/>
    <w:p>
      <w:pPr>
        <w:pStyle w:val="Heading3"/>
      </w:pPr>
      <w:r>
        <w:t xml:space="preserve">4.1 Rationale</w:t>
      </w:r>
    </w:p>
    <w:p>
      <w:pPr>
        <w:pStyle w:val="FirstParagraph"/>
      </w:pPr>
      <w:r>
        <w:t xml:space="preserve">Epigenetic clocks — algorithms that estimate biological age from DNA methylation patterns — have been applied to neonatal samples. Accelerated epigenetic age at birth may indicate developmental stress, including gestational hypoxia.</w:t>
      </w:r>
    </w:p>
    <w:bookmarkEnd w:id="21"/>
    <w:bookmarkStart w:id="22" w:name="available-tools"/>
    <w:p>
      <w:pPr>
        <w:pStyle w:val="Heading3"/>
      </w:pPr>
      <w:r>
        <w:t xml:space="preserve">4.2 Available Tools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Clock</w:t>
            </w:r>
          </w:p>
        </w:tc>
        <w:tc>
          <w:tcPr/>
          <w:p>
            <w:pPr>
              <w:pStyle w:val="Compact"/>
            </w:pPr>
            <w:r>
              <w:t xml:space="preserve">Designed For</w:t>
            </w:r>
          </w:p>
        </w:tc>
        <w:tc>
          <w:tcPr/>
          <w:p>
            <w:pPr>
              <w:pStyle w:val="Compact"/>
            </w:pPr>
            <w:r>
              <w:t xml:space="preserve">Relevance</w:t>
            </w:r>
          </w:p>
        </w:tc>
      </w:tr>
      <w:tr>
        <w:tc>
          <w:tcPr/>
          <w:p>
            <w:pPr>
              <w:pStyle w:val="Compact"/>
            </w:pPr>
            <w:r>
              <w:t xml:space="preserve">Horvath (2013)</w:t>
            </w:r>
          </w:p>
        </w:tc>
        <w:tc>
          <w:tcPr/>
          <w:p>
            <w:pPr>
              <w:pStyle w:val="Compact"/>
            </w:pPr>
            <w:r>
              <w:t xml:space="preserve">Pan-tissue biological age</w:t>
            </w:r>
          </w:p>
        </w:tc>
        <w:tc>
          <w:tcPr/>
          <w:p>
            <w:pPr>
              <w:pStyle w:val="Compact"/>
            </w:pPr>
            <w:r>
              <w:t xml:space="preserve">Baseline reference; applicable to cord blood</w:t>
            </w:r>
          </w:p>
        </w:tc>
      </w:tr>
      <w:tr>
        <w:tc>
          <w:tcPr/>
          <w:p>
            <w:pPr>
              <w:pStyle w:val="Compact"/>
            </w:pPr>
            <w:r>
              <w:t xml:space="preserve">Hannum (2013)</w:t>
            </w:r>
          </w:p>
        </w:tc>
        <w:tc>
          <w:tcPr/>
          <w:p>
            <w:pPr>
              <w:pStyle w:val="Compact"/>
            </w:pPr>
            <w:r>
              <w:t xml:space="preserve">Blood-based age estimation</w:t>
            </w:r>
          </w:p>
        </w:tc>
        <w:tc>
          <w:tcPr/>
          <w:p>
            <w:pPr>
              <w:pStyle w:val="Compact"/>
            </w:pPr>
            <w:r>
              <w:t xml:space="preserve">Applicable to Guthrie cards</w:t>
            </w:r>
          </w:p>
        </w:tc>
      </w:tr>
      <w:tr>
        <w:tc>
          <w:tcPr/>
          <w:p>
            <w:pPr>
              <w:pStyle w:val="Compact"/>
            </w:pPr>
            <w:r>
              <w:t xml:space="preserve">GrimAge (Lu, 2019)</w:t>
            </w:r>
          </w:p>
        </w:tc>
        <w:tc>
          <w:tcPr/>
          <w:p>
            <w:pPr>
              <w:pStyle w:val="Compact"/>
            </w:pPr>
            <w:r>
              <w:t xml:space="preserve">Mortality prediction</w:t>
            </w:r>
          </w:p>
        </w:tc>
        <w:tc>
          <w:tcPr/>
          <w:p>
            <w:pPr>
              <w:pStyle w:val="Compact"/>
            </w:pPr>
            <w:r>
              <w:t xml:space="preserve">May capture gestational stress effects</w:t>
            </w:r>
          </w:p>
        </w:tc>
      </w:tr>
      <w:tr>
        <w:tc>
          <w:tcPr/>
          <w:p>
            <w:pPr>
              <w:pStyle w:val="Compact"/>
            </w:pPr>
            <w:r>
              <w:t xml:space="preserve">PhenoAge (Levine, 2018)</w:t>
            </w:r>
          </w:p>
        </w:tc>
        <w:tc>
          <w:tcPr/>
          <w:p>
            <w:pPr>
              <w:pStyle w:val="Compact"/>
            </w:pPr>
            <w:r>
              <w:t xml:space="preserve">Physiological aging</w:t>
            </w:r>
          </w:p>
        </w:tc>
        <w:tc>
          <w:tcPr/>
          <w:p>
            <w:pPr>
              <w:pStyle w:val="Compact"/>
            </w:pPr>
            <w:r>
              <w:t xml:space="preserve">Sensitive to metabolic programming</w:t>
            </w:r>
          </w:p>
        </w:tc>
      </w:tr>
      <w:tr>
        <w:tc>
          <w:tcPr/>
          <w:p>
            <w:pPr>
              <w:pStyle w:val="Compact"/>
            </w:pPr>
            <w:r>
              <w:t xml:space="preserve">Pediatric clock (McEwen, 2019)</w:t>
            </w:r>
          </w:p>
        </w:tc>
        <w:tc>
          <w:tcPr/>
          <w:p>
            <w:pPr>
              <w:pStyle w:val="Compact"/>
            </w:pPr>
            <w:r>
              <w:t xml:space="preserve">Birth to 20 years</w:t>
            </w:r>
          </w:p>
        </w:tc>
        <w:tc>
          <w:tcPr/>
          <w:p>
            <w:pPr>
              <w:pStyle w:val="Compact"/>
            </w:pPr>
            <w:r>
              <w:t xml:space="preserve">Specifically designed for neonatal/child samples</w:t>
            </w:r>
          </w:p>
        </w:tc>
      </w:tr>
      <w:tr>
        <w:tc>
          <w:tcPr/>
          <w:p>
            <w:pPr>
              <w:pStyle w:val="Compact"/>
            </w:pPr>
            <w:r>
              <w:t xml:space="preserve">Knight gestational age clock (2016)</w:t>
            </w:r>
          </w:p>
        </w:tc>
        <w:tc>
          <w:tcPr/>
          <w:p>
            <w:pPr>
              <w:pStyle w:val="Compact"/>
            </w:pPr>
            <w:r>
              <w:t xml:space="preserve">Gestational age from cord blood</w:t>
            </w:r>
          </w:p>
        </w:tc>
        <w:tc>
          <w:tcPr/>
          <w:p>
            <w:pPr>
              <w:pStyle w:val="Compact"/>
            </w:pPr>
            <w:r>
              <w:t xml:space="preserve">Can detect discordance between calendar and epigenetic gestational age</w:t>
            </w:r>
          </w:p>
        </w:tc>
      </w:tr>
    </w:tbl>
    <w:bookmarkEnd w:id="22"/>
    <w:bookmarkStart w:id="23" w:name="predicted-patterns"/>
    <w:p>
      <w:pPr>
        <w:pStyle w:val="Heading3"/>
      </w:pPr>
      <w:r>
        <w:t xml:space="preserve">4.3 Predicted Patterns</w:t>
      </w:r>
    </w:p>
    <w:p>
      <w:pPr>
        <w:pStyle w:val="FirstParagraph"/>
      </w:pPr>
      <w:r>
        <w:t xml:space="preserve">The alignment model predicts:</w:t>
      </w:r>
      <w:r>
        <w:t xml:space="preserve"> </w:t>
      </w:r>
      <w:r>
        <w:t xml:space="preserve">-</w:t>
      </w:r>
      <w:r>
        <w:t xml:space="preserve"> </w:t>
      </w:r>
      <w:r>
        <w:rPr>
          <w:b/>
          <w:bCs/>
        </w:rPr>
        <w:t xml:space="preserve">Accelerated epigenetic age at birth</w:t>
      </w:r>
      <w:r>
        <w:t xml:space="preserve"> </w:t>
      </w:r>
      <w:r>
        <w:t xml:space="preserve">in neonates exposed to severe gestational hypoxia (preeclampsia, severe IUGR)</w:t>
      </w:r>
      <w:r>
        <w:t xml:space="preserve"> </w:t>
      </w:r>
      <w:r>
        <w:t xml:space="preserve">-</w:t>
      </w:r>
      <w:r>
        <w:t xml:space="preserve"> </w:t>
      </w:r>
      <w:r>
        <w:rPr>
          <w:b/>
          <w:bCs/>
        </w:rPr>
        <w:t xml:space="preserve">Discordance between gestational age clock and calendar gestational age</w:t>
      </w:r>
      <w:r>
        <w:t xml:space="preserve"> </w:t>
      </w:r>
      <w:r>
        <w:t xml:space="preserve">— the epigenetic gestational age clock may read</w:t>
      </w:r>
      <w:r>
        <w:t xml:space="preserve"> </w:t>
      </w:r>
      <w:r>
        <w:t xml:space="preserve">“older”</w:t>
      </w:r>
      <w:r>
        <w:t xml:space="preserve"> </w:t>
      </w:r>
      <w:r>
        <w:t xml:space="preserve">or</w:t>
      </w:r>
      <w:r>
        <w:t xml:space="preserve"> </w:t>
      </w:r>
      <w:r>
        <w:t xml:space="preserve">“younger”</w:t>
      </w:r>
      <w:r>
        <w:t xml:space="preserve"> </w:t>
      </w:r>
      <w:r>
        <w:t xml:space="preserve">than actual gestational age, reflecting disrupted developmental programming</w:t>
      </w:r>
      <w:r>
        <w:t xml:space="preserve"> </w:t>
      </w:r>
      <w:r>
        <w:t xml:space="preserve">-</w:t>
      </w:r>
      <w:r>
        <w:t xml:space="preserve"> </w:t>
      </w:r>
      <w:r>
        <w:rPr>
          <w:b/>
          <w:bCs/>
        </w:rPr>
        <w:t xml:space="preserve">The degree of clock acceleration should correlate with severity of gestational hypoxia</w:t>
      </w:r>
      <w:r>
        <w:t xml:space="preserve"> </w:t>
      </w:r>
      <w:r>
        <w:t xml:space="preserve">and predict later disease risk</w:t>
      </w:r>
    </w:p>
    <w:bookmarkEnd w:id="23"/>
    <w:bookmarkStart w:id="24" w:name="limitations-2"/>
    <w:p>
      <w:pPr>
        <w:pStyle w:val="Heading3"/>
      </w:pPr>
      <w:r>
        <w:t xml:space="preserve">4.4 Limitations</w:t>
      </w:r>
    </w:p>
    <w:p>
      <w:pPr>
        <w:pStyle w:val="Compact"/>
        <w:numPr>
          <w:ilvl w:val="0"/>
          <w:numId w:val="1005"/>
        </w:numPr>
      </w:pPr>
      <w:r>
        <w:t xml:space="preserve">Epigenetic clocks were trained on postnatal samples; their validity in cord blood and Guthrie cards is still being established</w:t>
      </w:r>
    </w:p>
    <w:p>
      <w:pPr>
        <w:pStyle w:val="Compact"/>
        <w:numPr>
          <w:ilvl w:val="0"/>
          <w:numId w:val="1005"/>
        </w:numPr>
      </w:pPr>
      <w:r>
        <w:t xml:space="preserve">Clock acceleration is non-specific — it reflects developmental stress broadly, not HIF activation specifically</w:t>
      </w:r>
    </w:p>
    <w:p>
      <w:pPr>
        <w:pStyle w:val="Compact"/>
        <w:numPr>
          <w:ilvl w:val="0"/>
          <w:numId w:val="1005"/>
        </w:numPr>
      </w:pPr>
      <w:r>
        <w:t xml:space="preserve">The clinical utility of neonatal epigenetic age assessment is unproven</w:t>
      </w:r>
    </w:p>
    <w:p>
      <w:r>
        <w:pict>
          <v:rect style="width:0;height:1.5pt" o:hralign="center" o:hrstd="t" o:hr="t"/>
        </w:pict>
      </w:r>
    </w:p>
    <w:bookmarkEnd w:id="24"/>
    <w:bookmarkEnd w:id="25"/>
    <w:bookmarkStart w:id="30" w:name="Xb89397d55d812d7409ca44dcf47cc304804195d"/>
    <w:p>
      <w:pPr>
        <w:pStyle w:val="Heading2"/>
      </w:pPr>
      <w:r>
        <w:t xml:space="preserve">5. Biomarker Class 4: Placental Timing Markers</w:t>
      </w:r>
    </w:p>
    <w:bookmarkStart w:id="26" w:name="rationale-3"/>
    <w:p>
      <w:pPr>
        <w:pStyle w:val="Heading3"/>
      </w:pPr>
      <w:r>
        <w:t xml:space="preserve">5.1 Rationale</w:t>
      </w:r>
    </w:p>
    <w:p>
      <w:pPr>
        <w:pStyle w:val="FirstParagraph"/>
      </w:pPr>
      <w:r>
        <w:t xml:space="preserve">The placenta is a</w:t>
      </w:r>
      <w:r>
        <w:t xml:space="preserve"> </w:t>
      </w:r>
      <w:r>
        <w:t xml:space="preserve">“diary”</w:t>
      </w:r>
      <w:r>
        <w:t xml:space="preserve"> </w:t>
      </w:r>
      <w:r>
        <w:t xml:space="preserve">of gestational oxygen status. Placental methylation patterns differ between early-onset preeclampsia (EOPE; &lt;34 weeks) and late-onset preeclampsia (LOPE; ≥34 weeks), providing timing-specific information about when hypoxic insult occurred.</w:t>
      </w:r>
    </w:p>
    <w:bookmarkEnd w:id="26"/>
    <w:bookmarkStart w:id="27" w:name="eope-vs.-lope-distinction"/>
    <w:p>
      <w:pPr>
        <w:pStyle w:val="Heading3"/>
      </w:pPr>
      <w:r>
        <w:t xml:space="preserve">5.2 EOPE vs. LOPE Distinction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t xml:space="preserve">EOPE (&lt;34 weeks)</w:t>
            </w:r>
          </w:p>
        </w:tc>
        <w:tc>
          <w:tcPr/>
          <w:p>
            <w:pPr>
              <w:pStyle w:val="Compact"/>
            </w:pPr>
            <w:r>
              <w:t xml:space="preserve">LOPE (≥34 weeks)</w:t>
            </w:r>
          </w:p>
        </w:tc>
      </w:tr>
      <w:tr>
        <w:tc>
          <w:tcPr/>
          <w:p>
            <w:pPr>
              <w:pStyle w:val="Compact"/>
            </w:pPr>
            <w:r>
              <w:t xml:space="preserve">Primary pathology</w:t>
            </w:r>
          </w:p>
        </w:tc>
        <w:tc>
          <w:tcPr/>
          <w:p>
            <w:pPr>
              <w:pStyle w:val="Compact"/>
            </w:pPr>
            <w:r>
              <w:t xml:space="preserve">Defective spiral artery remodelling</w:t>
            </w:r>
          </w:p>
        </w:tc>
        <w:tc>
          <w:tcPr/>
          <w:p>
            <w:pPr>
              <w:pStyle w:val="Compact"/>
            </w:pPr>
            <w:r>
              <w:t xml:space="preserve">Placental senescence/syncytial stress</w:t>
            </w:r>
          </w:p>
        </w:tc>
      </w:tr>
      <w:tr>
        <w:tc>
          <w:tcPr/>
          <w:p>
            <w:pPr>
              <w:pStyle w:val="Compact"/>
            </w:pPr>
            <w:r>
              <w:t xml:space="preserve">HIF activation pattern</w:t>
            </w:r>
          </w:p>
        </w:tc>
        <w:tc>
          <w:tcPr/>
          <w:p>
            <w:pPr>
              <w:pStyle w:val="Compact"/>
            </w:pPr>
            <w:r>
              <w:t xml:space="preserve">Chronic, sustained</w:t>
            </w:r>
          </w:p>
        </w:tc>
        <w:tc>
          <w:tcPr/>
          <w:p>
            <w:pPr>
              <w:pStyle w:val="Compact"/>
            </w:pPr>
            <w:r>
              <w:t xml:space="preserve">Subacute, fluctuating</w:t>
            </w:r>
          </w:p>
        </w:tc>
      </w:tr>
      <w:tr>
        <w:tc>
          <w:tcPr/>
          <w:p>
            <w:pPr>
              <w:pStyle w:val="Compact"/>
            </w:pPr>
            <w:r>
              <w:t xml:space="preserve">Organs at greatest risk</w:t>
            </w:r>
          </w:p>
        </w:tc>
        <w:tc>
          <w:tcPr/>
          <w:p>
            <w:pPr>
              <w:pStyle w:val="Compact"/>
            </w:pPr>
            <w:r>
              <w:t xml:space="preserve">Multiple (cardiac, renal, immune, neural)</w:t>
            </w:r>
          </w:p>
        </w:tc>
        <w:tc>
          <w:tcPr/>
          <w:p>
            <w:pPr>
              <w:pStyle w:val="Compact"/>
            </w:pPr>
            <w:r>
              <w:t xml:space="preserve">White matter, cerebellar, pulmonary</w:t>
            </w:r>
          </w:p>
        </w:tc>
      </w:tr>
      <w:tr>
        <w:tc>
          <w:tcPr/>
          <w:p>
            <w:pPr>
              <w:pStyle w:val="Compact"/>
            </w:pPr>
            <w:r>
              <w:t xml:space="preserve">Predicted methylation signature</w:t>
            </w:r>
          </w:p>
        </w:tc>
        <w:tc>
          <w:tcPr/>
          <w:p>
            <w:pPr>
              <w:pStyle w:val="Compact"/>
            </w:pPr>
            <w:r>
              <w:t xml:space="preserve">Broad multi-system</w:t>
            </w:r>
          </w:p>
        </w:tc>
        <w:tc>
          <w:tcPr/>
          <w:p>
            <w:pPr>
              <w:pStyle w:val="Compact"/>
            </w:pPr>
            <w:r>
              <w:t xml:space="preserve">Narrower, WM/cerebellar-biased</w:t>
            </w:r>
          </w:p>
        </w:tc>
      </w:tr>
      <w:tr>
        <w:tc>
          <w:tcPr/>
          <w:p>
            <w:pPr>
              <w:pStyle w:val="Compact"/>
            </w:pPr>
            <w:r>
              <w:t xml:space="preserve">Offspring outcome prediction</w:t>
            </w:r>
          </w:p>
        </w:tc>
        <w:tc>
          <w:tcPr/>
          <w:p>
            <w:pPr>
              <w:pStyle w:val="Compact"/>
            </w:pPr>
            <w:r>
              <w:t xml:space="preserve">Multi-organ programming</w:t>
            </w:r>
          </w:p>
        </w:tc>
        <w:tc>
          <w:tcPr/>
          <w:p>
            <w:pPr>
              <w:pStyle w:val="Compact"/>
            </w:pPr>
            <w:r>
              <w:t xml:space="preserve">OPC/myelination-specific</w:t>
            </w:r>
          </w:p>
        </w:tc>
      </w:tr>
    </w:tbl>
    <w:bookmarkEnd w:id="27"/>
    <w:bookmarkStart w:id="28" w:name="significance"/>
    <w:p>
      <w:pPr>
        <w:pStyle w:val="Heading3"/>
      </w:pPr>
      <w:r>
        <w:t xml:space="preserve">5.3 Significance</w:t>
      </w:r>
    </w:p>
    <w:p>
      <w:pPr>
        <w:pStyle w:val="FirstParagraph"/>
      </w:pPr>
      <w:r>
        <w:t xml:space="preserve">Placental methylation analysis can retrospectively determine:</w:t>
      </w:r>
      <w:r>
        <w:t xml:space="preserve"> </w:t>
      </w:r>
      <w:r>
        <w:t xml:space="preserve">- Whether hypoxic insult was early or late onset</w:t>
      </w:r>
      <w:r>
        <w:t xml:space="preserve"> </w:t>
      </w:r>
      <w:r>
        <w:t xml:space="preserve">- Whether the HIF activation was sustained or oscillating</w:t>
      </w:r>
      <w:r>
        <w:t xml:space="preserve"> </w:t>
      </w:r>
      <w:r>
        <w:t xml:space="preserve">- Which organ systems were in their vulnerability windows during the insult</w:t>
      </w:r>
    </w:p>
    <w:p>
      <w:pPr>
        <w:pStyle w:val="BodyText"/>
      </w:pPr>
      <w:r>
        <w:t xml:space="preserve">This converts the placenta from a discarded tissue into a diagnostic archive linking gestational timing to offspring disease risk.</w:t>
      </w:r>
    </w:p>
    <w:bookmarkEnd w:id="28"/>
    <w:bookmarkStart w:id="29" w:name="limitations-3"/>
    <w:p>
      <w:pPr>
        <w:pStyle w:val="Heading3"/>
      </w:pPr>
      <w:r>
        <w:t xml:space="preserve">5.4 Limitations</w:t>
      </w:r>
    </w:p>
    <w:p>
      <w:pPr>
        <w:pStyle w:val="Compact"/>
        <w:numPr>
          <w:ilvl w:val="0"/>
          <w:numId w:val="1006"/>
        </w:numPr>
      </w:pPr>
      <w:r>
        <w:t xml:space="preserve">Placental banking is not universal; most placentas are discarded</w:t>
      </w:r>
    </w:p>
    <w:p>
      <w:pPr>
        <w:pStyle w:val="Compact"/>
        <w:numPr>
          <w:ilvl w:val="0"/>
          <w:numId w:val="1006"/>
        </w:numPr>
      </w:pPr>
      <w:r>
        <w:t xml:space="preserve">Retrospective studies require access to archived placental tissue, which is rare</w:t>
      </w:r>
    </w:p>
    <w:p>
      <w:pPr>
        <w:pStyle w:val="Compact"/>
        <w:numPr>
          <w:ilvl w:val="0"/>
          <w:numId w:val="1006"/>
        </w:numPr>
      </w:pPr>
      <w:r>
        <w:t xml:space="preserve">Placental heterogeneity means that sampling location affects results</w:t>
      </w:r>
    </w:p>
    <w:p>
      <w:r>
        <w:pict>
          <v:rect style="width:0;height:1.5pt" o:hralign="center" o:hrstd="t" o:hr="t"/>
        </w:pict>
      </w:r>
    </w:p>
    <w:bookmarkEnd w:id="29"/>
    <w:bookmarkEnd w:id="30"/>
    <w:bookmarkStart w:id="35" w:name="biomarker-class-5-mir-210"/>
    <w:p>
      <w:pPr>
        <w:pStyle w:val="Heading2"/>
      </w:pPr>
      <w:r>
        <w:t xml:space="preserve">6. Biomarker Class 5: miR-210</w:t>
      </w:r>
    </w:p>
    <w:bookmarkStart w:id="31" w:name="rationale-4"/>
    <w:p>
      <w:pPr>
        <w:pStyle w:val="Heading3"/>
      </w:pPr>
      <w:r>
        <w:t xml:space="preserve">6.1 Rationale</w:t>
      </w:r>
    </w:p>
    <w:p>
      <w:pPr>
        <w:pStyle w:val="FirstParagraph"/>
      </w:pPr>
      <w:r>
        <w:t xml:space="preserve">miR-210 is the most consistently hypoxia-induced microRNA across all cell types — sometimes called the</w:t>
      </w:r>
      <w:r>
        <w:t xml:space="preserve"> </w:t>
      </w:r>
      <w:r>
        <w:t xml:space="preserve">“hypoxamiR”</w:t>
      </w:r>
      <w:r>
        <w:t xml:space="preserve"> </w:t>
      </w:r>
      <w:r>
        <w:t xml:space="preserve">(Huang et al., 2010). It is elevated in preeclamptic placentas, cord blood of PE-exposed neonates, and established tumours.</w:t>
      </w:r>
    </w:p>
    <w:bookmarkEnd w:id="31"/>
    <w:bookmarkStart w:id="32" w:name="mechanism"/>
    <w:p>
      <w:pPr>
        <w:pStyle w:val="Heading3"/>
      </w:pPr>
      <w:r>
        <w:t xml:space="preserve">6.2 Mechanism</w:t>
      </w:r>
    </w:p>
    <w:p>
      <w:pPr>
        <w:pStyle w:val="FirstParagraph"/>
      </w:pPr>
      <w:r>
        <w:t xml:space="preserve">miR-210 suppresses mitochondrial function (targeting ISCU1/2), inhibits DNA repair (targeting RAD52), and modulates cell cycle progression. Its persistent elevation after gestational hypoxia could contribute to:</w:t>
      </w:r>
      <w:r>
        <w:t xml:space="preserve"> </w:t>
      </w:r>
      <w:r>
        <w:t xml:space="preserve">- Impaired oxidative metabolism (reinforcing Warburg pre-programming)</w:t>
      </w:r>
      <w:r>
        <w:t xml:space="preserve"> </w:t>
      </w:r>
      <w:r>
        <w:t xml:space="preserve">- DNA repair deficiency (increasing somatic mutation rates)</w:t>
      </w:r>
      <w:r>
        <w:t xml:space="preserve"> </w:t>
      </w:r>
      <w:r>
        <w:t xml:space="preserve">- Altered cell proliferation kinetics</w:t>
      </w:r>
    </w:p>
    <w:bookmarkEnd w:id="32"/>
    <w:bookmarkStart w:id="33" w:name="persistence"/>
    <w:p>
      <w:pPr>
        <w:pStyle w:val="Heading3"/>
      </w:pPr>
      <w:r>
        <w:t xml:space="preserve">6.3 Persistence</w:t>
      </w:r>
    </w:p>
    <w:p>
      <w:pPr>
        <w:pStyle w:val="FirstParagraph"/>
      </w:pPr>
      <w:r>
        <w:t xml:space="preserve">The critical question is whether miR-210 elevation persists from birth into adulthood. Available evidence:</w:t>
      </w:r>
      <w:r>
        <w:t xml:space="preserve"> </w:t>
      </w:r>
      <w:r>
        <w:t xml:space="preserve">- miR-210 is elevated in cord blood from PE pregnancies ✓</w:t>
      </w:r>
      <w:r>
        <w:t xml:space="preserve"> </w:t>
      </w:r>
      <w:r>
        <w:t xml:space="preserve">- miR-210 is elevated in adult cancers from hypoxic tissues ✓</w:t>
      </w:r>
      <w:r>
        <w:t xml:space="preserve"> </w:t>
      </w:r>
      <w:r>
        <w:t xml:space="preserve">-</w:t>
      </w:r>
      <w:r>
        <w:t xml:space="preserve"> </w:t>
      </w:r>
      <w:r>
        <w:rPr>
          <w:b/>
          <w:bCs/>
        </w:rPr>
        <w:t xml:space="preserve">No longitudinal study has tracked miR-210 from birth to adulthood</w:t>
      </w:r>
      <w:r>
        <w:t xml:space="preserve"> </w:t>
      </w:r>
      <w:r>
        <w:t xml:space="preserve">— this is a key data gap</w:t>
      </w:r>
    </w:p>
    <w:bookmarkEnd w:id="33"/>
    <w:bookmarkStart w:id="34" w:name="as-a-biomarker"/>
    <w:p>
      <w:pPr>
        <w:pStyle w:val="Heading3"/>
      </w:pPr>
      <w:r>
        <w:t xml:space="preserve">6.4 As a Biomarker</w:t>
      </w:r>
    </w:p>
    <w:p>
      <w:pPr>
        <w:pStyle w:val="FirstParagraph"/>
      </w:pPr>
      <w:r>
        <w:t xml:space="preserve">If miR-210 persists, it becomes a circulating biomarker for lifelong risk stratification:</w:t>
      </w:r>
      <w:r>
        <w:t xml:space="preserve"> </w:t>
      </w:r>
      <w:r>
        <w:t xml:space="preserve">- Measurable from a standard blood draw at any age</w:t>
      </w:r>
      <w:r>
        <w:t xml:space="preserve"> </w:t>
      </w:r>
      <w:r>
        <w:t xml:space="preserve">- Quantifiable by qPCR (cheap, widely available)</w:t>
      </w:r>
      <w:r>
        <w:t xml:space="preserve"> </w:t>
      </w:r>
      <w:r>
        <w:t xml:space="preserve">- Functionally linked to the disease mechanisms the model predicts</w:t>
      </w:r>
    </w:p>
    <w:p>
      <w:r>
        <w:pict>
          <v:rect style="width:0;height:1.5pt" o:hralign="center" o:hrstd="t" o:hr="t"/>
        </w:pict>
      </w:r>
    </w:p>
    <w:bookmarkEnd w:id="34"/>
    <w:bookmarkEnd w:id="35"/>
    <w:bookmarkStart w:id="40" w:name="Xb6ca170600f593f8fcf294532c9102463d6d091"/>
    <w:p>
      <w:pPr>
        <w:pStyle w:val="Heading2"/>
      </w:pPr>
      <w:r>
        <w:t xml:space="preserve">7. Biomarker Class 6: Glycolytic Gene Promoter Methylation</w:t>
      </w:r>
    </w:p>
    <w:bookmarkStart w:id="36" w:name="rationale-5"/>
    <w:p>
      <w:pPr>
        <w:pStyle w:val="Heading3"/>
      </w:pPr>
      <w:r>
        <w:t xml:space="preserve">7.1 Rationale</w:t>
      </w:r>
    </w:p>
    <w:p>
      <w:pPr>
        <w:pStyle w:val="FirstParagraph"/>
      </w:pPr>
      <w:r>
        <w:t xml:space="preserve">The Two-Step Warburg Hypothesis (Carpenter, 2026d) proposes that some cells are born with a glycolytic bias from gestational HIF activation. If correct, the methylation status of glycolytic gene promoters in cord blood should differ between PE-exposed and non-exposed neonates.</w:t>
      </w:r>
    </w:p>
    <w:bookmarkEnd w:id="36"/>
    <w:bookmarkStart w:id="37" w:name="target-genes"/>
    <w:p>
      <w:pPr>
        <w:pStyle w:val="Heading3"/>
      </w:pPr>
      <w:r>
        <w:t xml:space="preserve">7.2 Target Genes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Gene</w:t>
            </w:r>
          </w:p>
        </w:tc>
        <w:tc>
          <w:tcPr/>
          <w:p>
            <w:pPr>
              <w:pStyle w:val="Compact"/>
            </w:pPr>
            <w:r>
              <w:t xml:space="preserve">Function</w:t>
            </w:r>
          </w:p>
        </w:tc>
        <w:tc>
          <w:tcPr/>
          <w:p>
            <w:pPr>
              <w:pStyle w:val="Compact"/>
            </w:pPr>
            <w:r>
              <w:t xml:space="preserve">HIF Regulation</w:t>
            </w:r>
          </w:p>
        </w:tc>
      </w:tr>
      <w:tr>
        <w:tc>
          <w:tcPr/>
          <w:p>
            <w:pPr>
              <w:pStyle w:val="Compact"/>
            </w:pPr>
            <w:r>
              <w:t xml:space="preserve">HK2</w:t>
            </w:r>
          </w:p>
        </w:tc>
        <w:tc>
          <w:tcPr/>
          <w:p>
            <w:pPr>
              <w:pStyle w:val="Compact"/>
            </w:pPr>
            <w:r>
              <w:t xml:space="preserve">Hexokinase 2 — first step of glycolysis</w:t>
            </w:r>
          </w:p>
        </w:tc>
        <w:tc>
          <w:tcPr/>
          <w:p>
            <w:pPr>
              <w:pStyle w:val="Compact"/>
            </w:pPr>
            <w:r>
              <w:t xml:space="preserve">Direct HIF-1α target</w:t>
            </w:r>
          </w:p>
        </w:tc>
      </w:tr>
      <w:tr>
        <w:tc>
          <w:tcPr/>
          <w:p>
            <w:pPr>
              <w:pStyle w:val="Compact"/>
            </w:pPr>
            <w:r>
              <w:t xml:space="preserve">LDHA</w:t>
            </w:r>
          </w:p>
        </w:tc>
        <w:tc>
          <w:tcPr/>
          <w:p>
            <w:pPr>
              <w:pStyle w:val="Compact"/>
            </w:pPr>
            <w:r>
              <w:t xml:space="preserve">Lactate dehydrogenase A — pyruvate to lactate</w:t>
            </w:r>
          </w:p>
        </w:tc>
        <w:tc>
          <w:tcPr/>
          <w:p>
            <w:pPr>
              <w:pStyle w:val="Compact"/>
            </w:pPr>
            <w:r>
              <w:t xml:space="preserve">Direct HIF-1α target</w:t>
            </w:r>
          </w:p>
        </w:tc>
      </w:tr>
      <w:tr>
        <w:tc>
          <w:tcPr/>
          <w:p>
            <w:pPr>
              <w:pStyle w:val="Compact"/>
            </w:pPr>
            <w:r>
              <w:t xml:space="preserve">PGK1</w:t>
            </w:r>
          </w:p>
        </w:tc>
        <w:tc>
          <w:tcPr/>
          <w:p>
            <w:pPr>
              <w:pStyle w:val="Compact"/>
            </w:pPr>
            <w:r>
              <w:t xml:space="preserve">Phosphoglycerate kinase 1</w:t>
            </w:r>
          </w:p>
        </w:tc>
        <w:tc>
          <w:tcPr/>
          <w:p>
            <w:pPr>
              <w:pStyle w:val="Compact"/>
            </w:pPr>
            <w:r>
              <w:t xml:space="preserve">Direct HIF-1α target</w:t>
            </w:r>
          </w:p>
        </w:tc>
      </w:tr>
      <w:tr>
        <w:tc>
          <w:tcPr/>
          <w:p>
            <w:pPr>
              <w:pStyle w:val="Compact"/>
            </w:pPr>
            <w:r>
              <w:t xml:space="preserve">ENO1</w:t>
            </w:r>
          </w:p>
        </w:tc>
        <w:tc>
          <w:tcPr/>
          <w:p>
            <w:pPr>
              <w:pStyle w:val="Compact"/>
            </w:pPr>
            <w:r>
              <w:t xml:space="preserve">Enolase 1</w:t>
            </w:r>
          </w:p>
        </w:tc>
        <w:tc>
          <w:tcPr/>
          <w:p>
            <w:pPr>
              <w:pStyle w:val="Compact"/>
            </w:pPr>
            <w:r>
              <w:t xml:space="preserve">Direct HIF-1α target</w:t>
            </w:r>
          </w:p>
        </w:tc>
      </w:tr>
      <w:tr>
        <w:tc>
          <w:tcPr/>
          <w:p>
            <w:pPr>
              <w:pStyle w:val="Compact"/>
            </w:pPr>
            <w:r>
              <w:t xml:space="preserve">GLUT1 (SLC2A1)</w:t>
            </w:r>
          </w:p>
        </w:tc>
        <w:tc>
          <w:tcPr/>
          <w:p>
            <w:pPr>
              <w:pStyle w:val="Compact"/>
            </w:pPr>
            <w:r>
              <w:t xml:space="preserve">Glucose transporter</w:t>
            </w:r>
          </w:p>
        </w:tc>
        <w:tc>
          <w:tcPr/>
          <w:p>
            <w:pPr>
              <w:pStyle w:val="Compact"/>
            </w:pPr>
            <w:r>
              <w:t xml:space="preserve">Direct HIF-1α target</w:t>
            </w:r>
          </w:p>
        </w:tc>
      </w:tr>
      <w:tr>
        <w:tc>
          <w:tcPr/>
          <w:p>
            <w:pPr>
              <w:pStyle w:val="Compact"/>
            </w:pPr>
            <w:r>
              <w:t xml:space="preserve">PDK1</w:t>
            </w:r>
          </w:p>
        </w:tc>
        <w:tc>
          <w:tcPr/>
          <w:p>
            <w:pPr>
              <w:pStyle w:val="Compact"/>
            </w:pPr>
            <w:r>
              <w:t xml:space="preserve">Pyruvate dehydrogenase kinase 1 — blocks mitochondrial oxidation</w:t>
            </w:r>
          </w:p>
        </w:tc>
        <w:tc>
          <w:tcPr/>
          <w:p>
            <w:pPr>
              <w:pStyle w:val="Compact"/>
            </w:pPr>
            <w:r>
              <w:t xml:space="preserve">Direct HIF-1α target</w:t>
            </w:r>
          </w:p>
        </w:tc>
      </w:tr>
    </w:tbl>
    <w:bookmarkEnd w:id="37"/>
    <w:bookmarkStart w:id="38" w:name="predicted-pattern"/>
    <w:p>
      <w:pPr>
        <w:pStyle w:val="Heading3"/>
      </w:pPr>
      <w:r>
        <w:t xml:space="preserve">7.3 Predicted Pattern</w:t>
      </w:r>
    </w:p>
    <w:p>
      <w:pPr>
        <w:pStyle w:val="FirstParagraph"/>
      </w:pPr>
      <w:r>
        <w:t xml:space="preserve">In PE-exposed cord blood:</w:t>
      </w:r>
      <w:r>
        <w:t xml:space="preserve"> </w:t>
      </w:r>
      <w:r>
        <w:t xml:space="preserve">- Hypomethylation at glycolytic gene promoters (reflecting prior HIF-1α-driven transcription)</w:t>
      </w:r>
      <w:r>
        <w:t xml:space="preserve"> </w:t>
      </w:r>
      <w:r>
        <w:t xml:space="preserve">- Hypermethylation at oxidative phosphorylation gene promoters</w:t>
      </w:r>
      <w:r>
        <w:t xml:space="preserve"> </w:t>
      </w:r>
      <w:r>
        <w:t xml:space="preserve">- Net metabolic programming shift toward glycolysis detectable at the epigenetic level</w:t>
      </w:r>
    </w:p>
    <w:bookmarkEnd w:id="38"/>
    <w:bookmarkStart w:id="39" w:name="significance-1"/>
    <w:p>
      <w:pPr>
        <w:pStyle w:val="Heading3"/>
      </w:pPr>
      <w:r>
        <w:t xml:space="preserve">7.4 Significance</w:t>
      </w:r>
    </w:p>
    <w:p>
      <w:pPr>
        <w:pStyle w:val="FirstParagraph"/>
      </w:pPr>
      <w:r>
        <w:t xml:space="preserve">If detected, this would provide the first molecular evidence for the Two-Step Warburg Hypothesis: a glycolytic bias present at birth, preceding any somatic events, in a pattern consistent with prior gestational HIF-1α activation.</w:t>
      </w:r>
    </w:p>
    <w:p>
      <w:r>
        <w:pict>
          <v:rect style="width:0;height:1.5pt" o:hralign="center" o:hrstd="t" o:hr="t"/>
        </w:pict>
      </w:r>
    </w:p>
    <w:bookmarkEnd w:id="39"/>
    <w:bookmarkEnd w:id="40"/>
    <w:bookmarkStart w:id="51" w:name="X25ce0fc020361a66a9794f22447bbad7c4ce938"/>
    <w:p>
      <w:pPr>
        <w:pStyle w:val="Heading2"/>
      </w:pPr>
      <w:r>
        <w:t xml:space="preserve">8. Mapping Idiopathic Conditions to Gestational Hypoxic Origins</w:t>
      </w:r>
    </w:p>
    <w:p>
      <w:pPr>
        <w:pStyle w:val="FirstParagraph"/>
      </w:pPr>
      <w:r>
        <w:t xml:space="preserve">The alignment model proposes that ten conditions currently classified as</w:t>
      </w:r>
      <w:r>
        <w:t xml:space="preserve"> </w:t>
      </w:r>
      <w:r>
        <w:t xml:space="preserve">“idiopathic”</w:t>
      </w:r>
      <w:r>
        <w:t xml:space="preserve"> </w:t>
      </w:r>
      <w:r>
        <w:t xml:space="preserve">or</w:t>
      </w:r>
      <w:r>
        <w:t xml:space="preserve"> </w:t>
      </w:r>
      <w:r>
        <w:t xml:space="preserve">“essential”</w:t>
      </w:r>
      <w:r>
        <w:t xml:space="preserve"> </w:t>
      </w:r>
      <w:r>
        <w:t xml:space="preserve">have gestational hypoxic origins detectable through the biomarker framework described above.</w:t>
      </w:r>
    </w:p>
    <w:bookmarkStart w:id="41" w:name="essential-hypertension"/>
    <w:p>
      <w:pPr>
        <w:pStyle w:val="Heading3"/>
      </w:pPr>
      <w:r>
        <w:t xml:space="preserve">8.1 Essential Hypertension</w:t>
      </w:r>
    </w:p>
    <w:p>
      <w:pPr>
        <w:pStyle w:val="FirstParagraph"/>
      </w:pPr>
      <w:r>
        <w:rPr>
          <w:b/>
          <w:bCs/>
        </w:rPr>
        <w:t xml:space="preserve">Evidence strength: STRONG</w:t>
      </w:r>
    </w:p>
    <w:p>
      <w:pPr>
        <w:pStyle w:val="Compact"/>
        <w:numPr>
          <w:ilvl w:val="0"/>
          <w:numId w:val="1007"/>
        </w:numPr>
      </w:pPr>
      <w:r>
        <w:rPr>
          <w:b/>
          <w:bCs/>
        </w:rPr>
        <w:t xml:space="preserve">Gestational link:</w:t>
      </w:r>
      <w:r>
        <w:t xml:space="preserve"> </w:t>
      </w:r>
      <w:r>
        <w:t xml:space="preserve">Brenner’s reduced nephron endowment hypothesis — IUGR and preeclampsia produce fewer nephrons, increasing per-nephron workload and driving hypertension (Brenner et al., 1988)</w:t>
      </w:r>
    </w:p>
    <w:p>
      <w:pPr>
        <w:pStyle w:val="Compact"/>
        <w:numPr>
          <w:ilvl w:val="0"/>
          <w:numId w:val="1007"/>
        </w:numPr>
      </w:pPr>
      <w:r>
        <w:rPr>
          <w:b/>
          <w:bCs/>
        </w:rPr>
        <w:t xml:space="preserve">HIF mechanism:</w:t>
      </w:r>
      <w:r>
        <w:t xml:space="preserve"> </w:t>
      </w:r>
      <w:r>
        <w:t xml:space="preserve">Renal vasculature develops during weeks 10-36 under HIF-regulated angiogenesis; disruption reduces nephron number and alters renin-angiotensin programming</w:t>
      </w:r>
    </w:p>
    <w:p>
      <w:pPr>
        <w:pStyle w:val="Compact"/>
        <w:numPr>
          <w:ilvl w:val="0"/>
          <w:numId w:val="1007"/>
        </w:numPr>
      </w:pPr>
      <w:r>
        <w:rPr>
          <w:b/>
          <w:bCs/>
        </w:rPr>
        <w:t xml:space="preserve">Epidemiological evidence:</w:t>
      </w:r>
      <w:r>
        <w:t xml:space="preserve"> </w:t>
      </w:r>
      <w:r>
        <w:t xml:space="preserve">Birth weight inversely correlates with adult blood pressure across multiple large cohorts (Barker et al., 1989; Law et al., 1993); PE-exposed offspring show elevated blood pressure in adolescence and early adulthood (Davis et al., 2012)</w:t>
      </w:r>
    </w:p>
    <w:p>
      <w:pPr>
        <w:pStyle w:val="Compact"/>
        <w:numPr>
          <w:ilvl w:val="0"/>
          <w:numId w:val="1007"/>
        </w:numPr>
      </w:pPr>
      <w:r>
        <w:rPr>
          <w:b/>
          <w:bCs/>
        </w:rPr>
        <w:t xml:space="preserve">Epigenetic evidence:</w:t>
      </w:r>
      <w:r>
        <w:t xml:space="preserve"> </w:t>
      </w:r>
      <w:r>
        <w:t xml:space="preserve">Methylation changes at renin-angiotensin system genes detectible in cord blood from IUGR pregnancies</w:t>
      </w:r>
    </w:p>
    <w:p>
      <w:pPr>
        <w:pStyle w:val="Compact"/>
        <w:numPr>
          <w:ilvl w:val="0"/>
          <w:numId w:val="1007"/>
        </w:numPr>
      </w:pPr>
      <w:r>
        <w:rPr>
          <w:b/>
          <w:bCs/>
        </w:rPr>
        <w:t xml:space="preserve">Biomarker applicability:</w:t>
      </w:r>
      <w:r>
        <w:t xml:space="preserve"> </w:t>
      </w:r>
      <w:r>
        <w:t xml:space="preserve">HIF3A methylation (Guthrie card), renal-specific methylation panel, epigenetic clock acceleration</w:t>
      </w:r>
    </w:p>
    <w:bookmarkEnd w:id="41"/>
    <w:bookmarkStart w:id="42" w:name="epilepsy"/>
    <w:p>
      <w:pPr>
        <w:pStyle w:val="Heading3"/>
      </w:pPr>
      <w:r>
        <w:t xml:space="preserve">8.2 Epilepsy</w:t>
      </w:r>
    </w:p>
    <w:p>
      <w:pPr>
        <w:pStyle w:val="FirstParagraph"/>
      </w:pPr>
      <w:r>
        <w:rPr>
          <w:b/>
          <w:bCs/>
        </w:rPr>
        <w:t xml:space="preserve">Evidence strength: MODERATE</w:t>
      </w:r>
    </w:p>
    <w:p>
      <w:pPr>
        <w:pStyle w:val="Compact"/>
        <w:numPr>
          <w:ilvl w:val="0"/>
          <w:numId w:val="1008"/>
        </w:numPr>
      </w:pPr>
      <w:r>
        <w:rPr>
          <w:b/>
          <w:bCs/>
        </w:rPr>
        <w:t xml:space="preserve">Gestational link:</w:t>
      </w:r>
      <w:r>
        <w:t xml:space="preserve"> </w:t>
      </w:r>
      <w:r>
        <w:t xml:space="preserve">Hippocampal CA1 neurons are exquisitely sensitive to hypoxia during weeks 20-36 (Schmidt-Kastner, 2015); oxygen deprivation produces selective neuronal loss and aberrant circuit formation</w:t>
      </w:r>
    </w:p>
    <w:p>
      <w:pPr>
        <w:pStyle w:val="Compact"/>
        <w:numPr>
          <w:ilvl w:val="0"/>
          <w:numId w:val="1008"/>
        </w:numPr>
      </w:pPr>
      <w:r>
        <w:rPr>
          <w:b/>
          <w:bCs/>
        </w:rPr>
        <w:t xml:space="preserve">HIF mechanism:</w:t>
      </w:r>
      <w:r>
        <w:t xml:space="preserve"> </w:t>
      </w:r>
      <w:r>
        <w:t xml:space="preserve">HIF-1α activation alters glutamate receptor expression (NR2B subunit) and GABAergic interneuron maturation, creating excitatory/inhibitory imbalance</w:t>
      </w:r>
    </w:p>
    <w:p>
      <w:pPr>
        <w:pStyle w:val="Compact"/>
        <w:numPr>
          <w:ilvl w:val="0"/>
          <w:numId w:val="1008"/>
        </w:numPr>
      </w:pPr>
      <w:r>
        <w:rPr>
          <w:b/>
          <w:bCs/>
        </w:rPr>
        <w:t xml:space="preserve">Epidemiological evidence:</w:t>
      </w:r>
      <w:r>
        <w:t xml:space="preserve"> </w:t>
      </w:r>
      <w:r>
        <w:t xml:space="preserve">Birth asphyxia is an established risk factor for childhood epilepsy; preterm birth increases epilepsy risk 2-3 fold (Sun et al., 2008)</w:t>
      </w:r>
    </w:p>
    <w:p>
      <w:pPr>
        <w:pStyle w:val="Compact"/>
        <w:numPr>
          <w:ilvl w:val="0"/>
          <w:numId w:val="1008"/>
        </w:numPr>
      </w:pPr>
      <w:r>
        <w:rPr>
          <w:b/>
          <w:bCs/>
        </w:rPr>
        <w:t xml:space="preserve">Biomarker applicability:</w:t>
      </w:r>
      <w:r>
        <w:t xml:space="preserve"> </w:t>
      </w:r>
      <w:r>
        <w:t xml:space="preserve">HIF3A methylation, neurodevelopmental epigenetic panel, epigenetic clock</w:t>
      </w:r>
    </w:p>
    <w:bookmarkEnd w:id="42"/>
    <w:bookmarkStart w:id="43" w:name="type-2-diabetes-mellitus-lean-phenotype"/>
    <w:p>
      <w:pPr>
        <w:pStyle w:val="Heading3"/>
      </w:pPr>
      <w:r>
        <w:t xml:space="preserve">8.3 Type 2 Diabetes Mellitus (Lean Phenotype)</w:t>
      </w:r>
    </w:p>
    <w:p>
      <w:pPr>
        <w:pStyle w:val="FirstParagraph"/>
      </w:pPr>
      <w:r>
        <w:rPr>
          <w:b/>
          <w:bCs/>
        </w:rPr>
        <w:t xml:space="preserve">Evidence strength: STRONG</w:t>
      </w:r>
    </w:p>
    <w:p>
      <w:pPr>
        <w:pStyle w:val="Compact"/>
        <w:numPr>
          <w:ilvl w:val="0"/>
          <w:numId w:val="1009"/>
        </w:numPr>
      </w:pPr>
      <w:r>
        <w:rPr>
          <w:b/>
          <w:bCs/>
        </w:rPr>
        <w:t xml:space="preserve">Gestational link:</w:t>
      </w:r>
      <w:r>
        <w:t xml:space="preserve"> </w:t>
      </w:r>
      <w:r>
        <w:t xml:space="preserve">Pancreatic beta cell mass is determined during fetal life and is not substantially expandable postnatally; IUGR reduces beta cell endowment (Simmons et al., 2001)</w:t>
      </w:r>
    </w:p>
    <w:p>
      <w:pPr>
        <w:pStyle w:val="Compact"/>
        <w:numPr>
          <w:ilvl w:val="0"/>
          <w:numId w:val="1009"/>
        </w:numPr>
      </w:pPr>
      <w:r>
        <w:rPr>
          <w:b/>
          <w:bCs/>
        </w:rPr>
        <w:t xml:space="preserve">HIF mechanism:</w:t>
      </w:r>
      <w:r>
        <w:t xml:space="preserve"> </w:t>
      </w:r>
      <w:r>
        <w:t xml:space="preserve">Pancreatic islet development during weeks 10-30 is oxygen-sensitive; HIF-1α activation during this window impairs beta cell differentiation and reduces functional beta cell number</w:t>
      </w:r>
    </w:p>
    <w:p>
      <w:pPr>
        <w:pStyle w:val="Compact"/>
        <w:numPr>
          <w:ilvl w:val="0"/>
          <w:numId w:val="1009"/>
        </w:numPr>
      </w:pPr>
      <w:r>
        <w:rPr>
          <w:b/>
          <w:bCs/>
        </w:rPr>
        <w:t xml:space="preserve">Epidemiological evidence:</w:t>
      </w:r>
      <w:r>
        <w:t xml:space="preserve"> </w:t>
      </w:r>
      <w:r>
        <w:t xml:space="preserve">IUGR-exposed individuals show impaired glucose tolerance and T2DM at lower BMI thresholds (Hales &amp; Barker, 2001); the</w:t>
      </w:r>
      <w:r>
        <w:t xml:space="preserve"> </w:t>
      </w:r>
      <w:r>
        <w:t xml:space="preserve">“thrifty phenotype”</w:t>
      </w:r>
      <w:r>
        <w:t xml:space="preserve"> </w:t>
      </w:r>
      <w:r>
        <w:t xml:space="preserve">hypothesis is well-supported</w:t>
      </w:r>
    </w:p>
    <w:p>
      <w:pPr>
        <w:pStyle w:val="Compact"/>
        <w:numPr>
          <w:ilvl w:val="0"/>
          <w:numId w:val="1009"/>
        </w:numPr>
      </w:pPr>
      <w:r>
        <w:rPr>
          <w:b/>
          <w:bCs/>
        </w:rPr>
        <w:t xml:space="preserve">Epigenetic evidence:</w:t>
      </w:r>
      <w:r>
        <w:t xml:space="preserve"> </w:t>
      </w:r>
      <w:r>
        <w:t xml:space="preserve">Methylation changes at PDX1, INS, and GCK promoters in cord blood from IUGR pregnancies (Park et al., 2008)</w:t>
      </w:r>
    </w:p>
    <w:p>
      <w:pPr>
        <w:pStyle w:val="Compact"/>
        <w:numPr>
          <w:ilvl w:val="0"/>
          <w:numId w:val="1009"/>
        </w:numPr>
      </w:pPr>
      <w:r>
        <w:rPr>
          <w:b/>
          <w:bCs/>
        </w:rPr>
        <w:t xml:space="preserve">Biomarker applicability:</w:t>
      </w:r>
      <w:r>
        <w:t xml:space="preserve"> </w:t>
      </w:r>
      <w:r>
        <w:t xml:space="preserve">HIF3A methylation, pancreatic beta cell methylation panel (PDX1, INS), epigenetic clock</w:t>
      </w:r>
    </w:p>
    <w:bookmarkEnd w:id="43"/>
    <w:bookmarkStart w:id="44" w:name="generalised-anxiety-disorder"/>
    <w:p>
      <w:pPr>
        <w:pStyle w:val="Heading3"/>
      </w:pPr>
      <w:r>
        <w:t xml:space="preserve">8.4 Generalised Anxiety Disorder</w:t>
      </w:r>
    </w:p>
    <w:p>
      <w:pPr>
        <w:pStyle w:val="FirstParagraph"/>
      </w:pPr>
      <w:r>
        <w:rPr>
          <w:b/>
          <w:bCs/>
        </w:rPr>
        <w:t xml:space="preserve">Evidence strength: MODERATE-WEAK</w:t>
      </w:r>
    </w:p>
    <w:p>
      <w:pPr>
        <w:pStyle w:val="Compact"/>
        <w:numPr>
          <w:ilvl w:val="0"/>
          <w:numId w:val="1010"/>
        </w:numPr>
      </w:pPr>
      <w:r>
        <w:rPr>
          <w:b/>
          <w:bCs/>
        </w:rPr>
        <w:t xml:space="preserve">Gestational link:</w:t>
      </w:r>
      <w:r>
        <w:t xml:space="preserve"> </w:t>
      </w:r>
      <w:r>
        <w:t xml:space="preserve">Amygdala development during second trimester is oxygen-sensitive; disruption may alter threat-response calibration</w:t>
      </w:r>
    </w:p>
    <w:p>
      <w:pPr>
        <w:pStyle w:val="Compact"/>
        <w:numPr>
          <w:ilvl w:val="0"/>
          <w:numId w:val="1010"/>
        </w:numPr>
      </w:pPr>
      <w:r>
        <w:rPr>
          <w:b/>
          <w:bCs/>
        </w:rPr>
        <w:t xml:space="preserve">HIF mechanism:</w:t>
      </w:r>
      <w:r>
        <w:t xml:space="preserve"> </w:t>
      </w:r>
      <w:r>
        <w:t xml:space="preserve">HIF-1α activation affects serotonergic neuron differentiation and corticotropin-releasing hormone (CRH) pathway programming</w:t>
      </w:r>
    </w:p>
    <w:p>
      <w:pPr>
        <w:pStyle w:val="Compact"/>
        <w:numPr>
          <w:ilvl w:val="0"/>
          <w:numId w:val="1010"/>
        </w:numPr>
      </w:pPr>
      <w:r>
        <w:rPr>
          <w:b/>
          <w:bCs/>
        </w:rPr>
        <w:t xml:space="preserve">Epidemiological evidence:</w:t>
      </w:r>
      <w:r>
        <w:t xml:space="preserve"> </w:t>
      </w:r>
      <w:r>
        <w:t xml:space="preserve">Prenatal stress and reduced birth weight are associated with anxiety in some cohorts, but evidence is inconsistent and confounded by postnatal environment</w:t>
      </w:r>
    </w:p>
    <w:p>
      <w:pPr>
        <w:pStyle w:val="Compact"/>
        <w:numPr>
          <w:ilvl w:val="0"/>
          <w:numId w:val="1010"/>
        </w:numPr>
      </w:pPr>
      <w:r>
        <w:rPr>
          <w:b/>
          <w:bCs/>
        </w:rPr>
        <w:t xml:space="preserve">Biomarker applicability:</w:t>
      </w:r>
      <w:r>
        <w:t xml:space="preserve"> </w:t>
      </w:r>
      <w:r>
        <w:t xml:space="preserve">Limited specificity — anxiety biomarkers would overlap with broad stress signatures</w:t>
      </w:r>
    </w:p>
    <w:bookmarkEnd w:id="44"/>
    <w:bookmarkStart w:id="45" w:name="autoimmune-conditions"/>
    <w:p>
      <w:pPr>
        <w:pStyle w:val="Heading3"/>
      </w:pPr>
      <w:r>
        <w:t xml:space="preserve">8.5 Autoimmune Conditions</w:t>
      </w:r>
    </w:p>
    <w:p>
      <w:pPr>
        <w:pStyle w:val="FirstParagraph"/>
      </w:pPr>
      <w:r>
        <w:rPr>
          <w:b/>
          <w:bCs/>
        </w:rPr>
        <w:t xml:space="preserve">Evidence strength: MODERATE-WEAK</w:t>
      </w:r>
    </w:p>
    <w:p>
      <w:pPr>
        <w:pStyle w:val="Compact"/>
        <w:numPr>
          <w:ilvl w:val="0"/>
          <w:numId w:val="1011"/>
        </w:numPr>
      </w:pPr>
      <w:r>
        <w:rPr>
          <w:b/>
          <w:bCs/>
        </w:rPr>
        <w:t xml:space="preserve">Gestational link:</w:t>
      </w:r>
      <w:r>
        <w:t xml:space="preserve"> </w:t>
      </w:r>
      <w:r>
        <w:t xml:space="preserve">Thymic T-cell repertoire selection occurs during weeks 8-20; disruption may impair self-tolerance</w:t>
      </w:r>
    </w:p>
    <w:p>
      <w:pPr>
        <w:pStyle w:val="Compact"/>
        <w:numPr>
          <w:ilvl w:val="0"/>
          <w:numId w:val="1011"/>
        </w:numPr>
      </w:pPr>
      <w:r>
        <w:rPr>
          <w:b/>
          <w:bCs/>
        </w:rPr>
        <w:t xml:space="preserve">HIF mechanism:</w:t>
      </w:r>
      <w:r>
        <w:t xml:space="preserve"> </w:t>
      </w:r>
      <w:r>
        <w:t xml:space="preserve">AIRE (autoimmune regulator) expression in thymic epithelium is oxygen-sensitive; HIF-1α activation may alter negative selection, allowing autoreactive T-cells to escape (Balistreri et al., 2015; Contreras et al., 2017)</w:t>
      </w:r>
    </w:p>
    <w:p>
      <w:pPr>
        <w:pStyle w:val="Compact"/>
        <w:numPr>
          <w:ilvl w:val="0"/>
          <w:numId w:val="1011"/>
        </w:numPr>
      </w:pPr>
      <w:r>
        <w:rPr>
          <w:b/>
          <w:bCs/>
        </w:rPr>
        <w:t xml:space="preserve">Epidemiological evidence:</w:t>
      </w:r>
      <w:r>
        <w:t xml:space="preserve"> </w:t>
      </w:r>
      <w:r>
        <w:t xml:space="preserve">Preterm birth is associated with increased autoimmune disease risk in some cohorts, but data is limited</w:t>
      </w:r>
    </w:p>
    <w:p>
      <w:pPr>
        <w:pStyle w:val="Compact"/>
        <w:numPr>
          <w:ilvl w:val="0"/>
          <w:numId w:val="1011"/>
        </w:numPr>
      </w:pPr>
      <w:r>
        <w:rPr>
          <w:b/>
          <w:bCs/>
        </w:rPr>
        <w:t xml:space="preserve">Biomarker applicability:</w:t>
      </w:r>
      <w:r>
        <w:t xml:space="preserve"> </w:t>
      </w:r>
      <w:r>
        <w:t xml:space="preserve">FOXP3 methylation (Treg cell programming), thymic-related gene panel</w:t>
      </w:r>
    </w:p>
    <w:bookmarkEnd w:id="45"/>
    <w:bookmarkStart w:id="46" w:name="cardiovascular-disease"/>
    <w:p>
      <w:pPr>
        <w:pStyle w:val="Heading3"/>
      </w:pPr>
      <w:r>
        <w:t xml:space="preserve">8.6 Cardiovascular Disease</w:t>
      </w:r>
    </w:p>
    <w:p>
      <w:pPr>
        <w:pStyle w:val="FirstParagraph"/>
      </w:pPr>
      <w:r>
        <w:rPr>
          <w:b/>
          <w:bCs/>
        </w:rPr>
        <w:t xml:space="preserve">Evidence strength: STRONG</w:t>
      </w:r>
    </w:p>
    <w:p>
      <w:pPr>
        <w:pStyle w:val="Compact"/>
        <w:numPr>
          <w:ilvl w:val="0"/>
          <w:numId w:val="1012"/>
        </w:numPr>
      </w:pPr>
      <w:r>
        <w:rPr>
          <w:b/>
          <w:bCs/>
        </w:rPr>
        <w:t xml:space="preserve">Gestational link:</w:t>
      </w:r>
      <w:r>
        <w:t xml:space="preserve"> </w:t>
      </w:r>
      <w:r>
        <w:t xml:space="preserve">Cardiomyocytes undergo terminal differentiation and exit the cell cycle during weeks 3-8 and again during weeks 28-36; disruption reduces final cardiomyocyte number and alters vascular programming</w:t>
      </w:r>
    </w:p>
    <w:p>
      <w:pPr>
        <w:pStyle w:val="Compact"/>
        <w:numPr>
          <w:ilvl w:val="0"/>
          <w:numId w:val="1012"/>
        </w:numPr>
      </w:pPr>
      <w:r>
        <w:rPr>
          <w:b/>
          <w:bCs/>
        </w:rPr>
        <w:t xml:space="preserve">HIF mechanism:</w:t>
      </w:r>
      <w:r>
        <w:t xml:space="preserve"> </w:t>
      </w:r>
      <w:r>
        <w:t xml:space="preserve">Cardiac HIF-1α activation during vulnerability windows affects cardiomyocyte endowment, coronary vasculature formation, and autonomic innervation</w:t>
      </w:r>
    </w:p>
    <w:p>
      <w:pPr>
        <w:pStyle w:val="Compact"/>
        <w:numPr>
          <w:ilvl w:val="0"/>
          <w:numId w:val="1012"/>
        </w:numPr>
      </w:pPr>
      <w:r>
        <w:rPr>
          <w:b/>
          <w:bCs/>
        </w:rPr>
        <w:t xml:space="preserve">Epidemiological evidence:</w:t>
      </w:r>
      <w:r>
        <w:t xml:space="preserve"> </w:t>
      </w:r>
      <w:r>
        <w:t xml:space="preserve">The original DOHaD evidence centred on cardiovascular disease (Barker, 2004); birth weight inversely correlates with coronary heart disease, stroke, and cardiovascular mortality in multiple cohorts spanning decades</w:t>
      </w:r>
    </w:p>
    <w:p>
      <w:pPr>
        <w:pStyle w:val="Compact"/>
        <w:numPr>
          <w:ilvl w:val="0"/>
          <w:numId w:val="1012"/>
        </w:numPr>
      </w:pPr>
      <w:r>
        <w:rPr>
          <w:b/>
          <w:bCs/>
        </w:rPr>
        <w:t xml:space="preserve">Biomarker applicability:</w:t>
      </w:r>
      <w:r>
        <w:t xml:space="preserve"> </w:t>
      </w:r>
      <w:r>
        <w:t xml:space="preserve">HIF3A methylation, cardiac-specific methylation panel (NKX2-5, GATA4), epigenetic clock acceleration</w:t>
      </w:r>
    </w:p>
    <w:bookmarkEnd w:id="46"/>
    <w:bookmarkStart w:id="47" w:name="idiopathic-pulmonary-fibrosis"/>
    <w:p>
      <w:pPr>
        <w:pStyle w:val="Heading3"/>
      </w:pPr>
      <w:r>
        <w:t xml:space="preserve">8.7 Idiopathic Pulmonary Fibrosis</w:t>
      </w:r>
    </w:p>
    <w:p>
      <w:pPr>
        <w:pStyle w:val="FirstParagraph"/>
      </w:pPr>
      <w:r>
        <w:rPr>
          <w:b/>
          <w:bCs/>
        </w:rPr>
        <w:t xml:space="preserve">Evidence strength: STRONG</w:t>
      </w:r>
    </w:p>
    <w:p>
      <w:pPr>
        <w:pStyle w:val="Compact"/>
        <w:numPr>
          <w:ilvl w:val="0"/>
          <w:numId w:val="1013"/>
        </w:numPr>
      </w:pPr>
      <w:r>
        <w:rPr>
          <w:b/>
          <w:bCs/>
        </w:rPr>
        <w:t xml:space="preserve">Gestational link:</w:t>
      </w:r>
      <w:r>
        <w:t xml:space="preserve"> </w:t>
      </w:r>
      <w:r>
        <w:t xml:space="preserve">Type II alveolar epithelial cells (AT2 cells) are the progenitor cells of the alveolar epithelium and are established during weeks 24-36; premature birth before complete alveolarisation is well-documented to produce chronic lung disease (bronchopulmonary dysplasia, BPD)</w:t>
      </w:r>
    </w:p>
    <w:p>
      <w:pPr>
        <w:pStyle w:val="Compact"/>
        <w:numPr>
          <w:ilvl w:val="0"/>
          <w:numId w:val="1013"/>
        </w:numPr>
      </w:pPr>
      <w:r>
        <w:rPr>
          <w:b/>
          <w:bCs/>
        </w:rPr>
        <w:t xml:space="preserve">HIF mechanism:</w:t>
      </w:r>
      <w:r>
        <w:t xml:space="preserve"> </w:t>
      </w:r>
      <w:r>
        <w:t xml:space="preserve">Alveolarisation is exquisitely oxygen-sensitive; both hyperoxia (supplemental oxygen in NICUs) and hypoxia disrupt AT2 cell maturation and surfactant production</w:t>
      </w:r>
    </w:p>
    <w:p>
      <w:pPr>
        <w:pStyle w:val="Compact"/>
        <w:numPr>
          <w:ilvl w:val="0"/>
          <w:numId w:val="1013"/>
        </w:numPr>
      </w:pPr>
      <w:r>
        <w:rPr>
          <w:b/>
          <w:bCs/>
        </w:rPr>
        <w:t xml:space="preserve">Epidemiological evidence:</w:t>
      </w:r>
      <w:r>
        <w:t xml:space="preserve"> </w:t>
      </w:r>
      <w:r>
        <w:t xml:space="preserve">Former preterm infants show reduced lung function and increased respiratory disease into adulthood (Kotecha et al., 2013); BPD-to-IPF progression has been proposed</w:t>
      </w:r>
    </w:p>
    <w:p>
      <w:pPr>
        <w:pStyle w:val="Compact"/>
        <w:numPr>
          <w:ilvl w:val="0"/>
          <w:numId w:val="1013"/>
        </w:numPr>
      </w:pPr>
      <w:r>
        <w:rPr>
          <w:b/>
          <w:bCs/>
        </w:rPr>
        <w:t xml:space="preserve">Biomarker applicability:</w:t>
      </w:r>
      <w:r>
        <w:t xml:space="preserve"> </w:t>
      </w:r>
      <w:r>
        <w:t xml:space="preserve">Surfactant gene methylation (SP-B, SP-C), VEGF pathway methylation, pulmonary-specific panel</w:t>
      </w:r>
    </w:p>
    <w:bookmarkEnd w:id="47"/>
    <w:bookmarkStart w:id="48" w:name="attention-deficit-hyperactivity-disorder"/>
    <w:p>
      <w:pPr>
        <w:pStyle w:val="Heading3"/>
      </w:pPr>
      <w:r>
        <w:t xml:space="preserve">8.8 Attention Deficit Hyperactivity Disorder</w:t>
      </w:r>
    </w:p>
    <w:p>
      <w:pPr>
        <w:pStyle w:val="FirstParagraph"/>
      </w:pPr>
      <w:r>
        <w:rPr>
          <w:b/>
          <w:bCs/>
        </w:rPr>
        <w:t xml:space="preserve">Evidence strength: STRONG</w:t>
      </w:r>
    </w:p>
    <w:p>
      <w:pPr>
        <w:pStyle w:val="Compact"/>
        <w:numPr>
          <w:ilvl w:val="0"/>
          <w:numId w:val="1014"/>
        </w:numPr>
      </w:pPr>
      <w:r>
        <w:rPr>
          <w:b/>
          <w:bCs/>
        </w:rPr>
        <w:t xml:space="preserve">Gestational link:</w:t>
      </w:r>
      <w:r>
        <w:t xml:space="preserve"> </w:t>
      </w:r>
      <w:r>
        <w:t xml:space="preserve">Frontal lobe white matter myelination during weeks 28-36 is the critical vulnerability period; ADHD is associated with reduced frontal white matter integrity on diffusion tensor imaging</w:t>
      </w:r>
    </w:p>
    <w:p>
      <w:pPr>
        <w:pStyle w:val="Compact"/>
        <w:numPr>
          <w:ilvl w:val="0"/>
          <w:numId w:val="1014"/>
        </w:numPr>
      </w:pPr>
      <w:r>
        <w:rPr>
          <w:b/>
          <w:bCs/>
        </w:rPr>
        <w:t xml:space="preserve">HIF mechanism:</w:t>
      </w:r>
      <w:r>
        <w:t xml:space="preserve"> </w:t>
      </w:r>
      <w:r>
        <w:t xml:space="preserve">OPC maturation arrest during the frontal myelination window produces hypomyelination of prefrontal circuits critical for executive function</w:t>
      </w:r>
    </w:p>
    <w:p>
      <w:pPr>
        <w:pStyle w:val="Compact"/>
        <w:numPr>
          <w:ilvl w:val="0"/>
          <w:numId w:val="1014"/>
        </w:numPr>
      </w:pPr>
      <w:r>
        <w:rPr>
          <w:b/>
          <w:bCs/>
        </w:rPr>
        <w:t xml:space="preserve">Epidemiological evidence:</w:t>
      </w:r>
      <w:r>
        <w:t xml:space="preserve"> </w:t>
      </w:r>
      <w:r>
        <w:t xml:space="preserve">This is among the best-supported associations:</w:t>
      </w:r>
    </w:p>
    <w:p>
      <w:pPr>
        <w:pStyle w:val="Compact"/>
        <w:numPr>
          <w:ilvl w:val="1"/>
          <w:numId w:val="1015"/>
        </w:numPr>
      </w:pPr>
      <w:r>
        <w:t xml:space="preserve">Preterm birth: 2-4x increased ADHD risk (Johnson &amp; Marlow, 2011)</w:t>
      </w:r>
    </w:p>
    <w:p>
      <w:pPr>
        <w:pStyle w:val="Compact"/>
        <w:numPr>
          <w:ilvl w:val="1"/>
          <w:numId w:val="1015"/>
        </w:numPr>
      </w:pPr>
      <w:r>
        <w:t xml:space="preserve">Low birth weight: dose-response relationship with ADHD symptoms (Halmøy et al., 2012)</w:t>
      </w:r>
    </w:p>
    <w:p>
      <w:pPr>
        <w:pStyle w:val="Compact"/>
        <w:numPr>
          <w:ilvl w:val="1"/>
          <w:numId w:val="1015"/>
        </w:numPr>
      </w:pPr>
      <w:r>
        <w:t xml:space="preserve">Preeclampsia exposure: increased ADHD risk in multiple cohorts (Mann et al., 2015; Getahun et al., 2013)</w:t>
      </w:r>
    </w:p>
    <w:p>
      <w:pPr>
        <w:pStyle w:val="Compact"/>
        <w:numPr>
          <w:ilvl w:val="1"/>
          <w:numId w:val="1015"/>
        </w:numPr>
      </w:pPr>
      <w:r>
        <w:t xml:space="preserve">Three meta-analyses confirm the preterm-ADHD association (Bhutta et al., 2002; Aarnoudse-Moens et al., 2009; Franz et al., 2018)</w:t>
      </w:r>
    </w:p>
    <w:p>
      <w:pPr>
        <w:pStyle w:val="Compact"/>
        <w:numPr>
          <w:ilvl w:val="0"/>
          <w:numId w:val="1014"/>
        </w:numPr>
      </w:pPr>
      <w:r>
        <w:rPr>
          <w:b/>
          <w:bCs/>
        </w:rPr>
        <w:t xml:space="preserve">Biomarker applicability:</w:t>
      </w:r>
      <w:r>
        <w:t xml:space="preserve"> </w:t>
      </w:r>
      <w:r>
        <w:t xml:space="preserve">HIF3A methylation, OPC/myelination-specific methylation panel (MBP, PLP1, OLIG2), epigenetic clock</w:t>
      </w:r>
    </w:p>
    <w:bookmarkEnd w:id="48"/>
    <w:bookmarkStart w:id="49" w:name="X742c3a683160dfcec5926f5d5966844c01e4a6c"/>
    <w:p>
      <w:pPr>
        <w:pStyle w:val="Heading3"/>
      </w:pPr>
      <w:r>
        <w:t xml:space="preserve">8.9 Chronic Kidney Disease of Unknown Aetiology (CKDu)</w:t>
      </w:r>
    </w:p>
    <w:p>
      <w:pPr>
        <w:pStyle w:val="FirstParagraph"/>
      </w:pPr>
      <w:r>
        <w:rPr>
          <w:b/>
          <w:bCs/>
        </w:rPr>
        <w:t xml:space="preserve">Evidence strength: MODERATE</w:t>
      </w:r>
    </w:p>
    <w:p>
      <w:pPr>
        <w:pStyle w:val="Compact"/>
        <w:numPr>
          <w:ilvl w:val="0"/>
          <w:numId w:val="1016"/>
        </w:numPr>
      </w:pPr>
      <w:r>
        <w:rPr>
          <w:b/>
          <w:bCs/>
        </w:rPr>
        <w:t xml:space="preserve">Gestational link:</w:t>
      </w:r>
      <w:r>
        <w:t xml:space="preserve"> </w:t>
      </w:r>
      <w:r>
        <w:t xml:space="preserve">CKDu — chronic kidney disease without identified cause (hypertension, diabetes, or glomerulonephritis) — is prevalent in agricultural communities in Sri Lanka, Central America, and India. Reduced nephron endowment from gestational hypoxia may predispose to kidney disease triggered by later environmental stressors (heat stress, dehydration, agrochemicals)</w:t>
      </w:r>
    </w:p>
    <w:p>
      <w:pPr>
        <w:pStyle w:val="Compact"/>
        <w:numPr>
          <w:ilvl w:val="0"/>
          <w:numId w:val="1016"/>
        </w:numPr>
      </w:pPr>
      <w:r>
        <w:rPr>
          <w:b/>
          <w:bCs/>
        </w:rPr>
        <w:t xml:space="preserve">HIF mechanism:</w:t>
      </w:r>
      <w:r>
        <w:t xml:space="preserve"> </w:t>
      </w:r>
      <w:r>
        <w:t xml:space="preserve">Nephron number, determined during weeks 10-36, sets the lifetime renal reserve; reduced endowment creates vulnerability to any subsequent renal insult</w:t>
      </w:r>
    </w:p>
    <w:p>
      <w:pPr>
        <w:pStyle w:val="Compact"/>
        <w:numPr>
          <w:ilvl w:val="0"/>
          <w:numId w:val="1016"/>
        </w:numPr>
      </w:pPr>
      <w:r>
        <w:rPr>
          <w:b/>
          <w:bCs/>
        </w:rPr>
        <w:t xml:space="preserve">Epidemiological evidence:</w:t>
      </w:r>
      <w:r>
        <w:t xml:space="preserve"> </w:t>
      </w:r>
      <w:r>
        <w:t xml:space="preserve">CKDu clusters in populations with high rates of maternal malnutrition and low birth weight — consistent with reduced nephron endowment</w:t>
      </w:r>
    </w:p>
    <w:p>
      <w:pPr>
        <w:pStyle w:val="Compact"/>
        <w:numPr>
          <w:ilvl w:val="0"/>
          <w:numId w:val="1016"/>
        </w:numPr>
      </w:pPr>
      <w:r>
        <w:rPr>
          <w:b/>
          <w:bCs/>
        </w:rPr>
        <w:t xml:space="preserve">Biomarker applicability:</w:t>
      </w:r>
      <w:r>
        <w:t xml:space="preserve"> </w:t>
      </w:r>
      <w:r>
        <w:t xml:space="preserve">Renal methylation panel (PAX2, WT1), HIF3A methylation, Brenner hypothesis testing through birth weight–kidney function correlation</w:t>
      </w:r>
    </w:p>
    <w:bookmarkEnd w:id="49"/>
    <w:bookmarkStart w:id="50" w:name="developmental-coordination-disorder"/>
    <w:p>
      <w:pPr>
        <w:pStyle w:val="Heading3"/>
      </w:pPr>
      <w:r>
        <w:t xml:space="preserve">8.10 Developmental Coordination Disorder</w:t>
      </w:r>
    </w:p>
    <w:p>
      <w:pPr>
        <w:pStyle w:val="FirstParagraph"/>
      </w:pPr>
      <w:r>
        <w:rPr>
          <w:b/>
          <w:bCs/>
        </w:rPr>
        <w:t xml:space="preserve">Evidence strength: STRONG</w:t>
      </w:r>
    </w:p>
    <w:p>
      <w:pPr>
        <w:pStyle w:val="Compact"/>
        <w:numPr>
          <w:ilvl w:val="0"/>
          <w:numId w:val="1017"/>
        </w:numPr>
      </w:pPr>
      <w:r>
        <w:rPr>
          <w:b/>
          <w:bCs/>
        </w:rPr>
        <w:t xml:space="preserve">Gestational link:</w:t>
      </w:r>
      <w:r>
        <w:t xml:space="preserve"> </w:t>
      </w:r>
      <w:r>
        <w:t xml:space="preserve">Cerebellar Purkinje cell differentiation during weeks 24-40 is the vulnerability window; DCD is characterised by impaired motor coordination without identifiable neurological cause</w:t>
      </w:r>
    </w:p>
    <w:p>
      <w:pPr>
        <w:pStyle w:val="Compact"/>
        <w:numPr>
          <w:ilvl w:val="0"/>
          <w:numId w:val="1017"/>
        </w:numPr>
      </w:pPr>
      <w:r>
        <w:rPr>
          <w:b/>
          <w:bCs/>
        </w:rPr>
        <w:t xml:space="preserve">HIF mechanism:</w:t>
      </w:r>
      <w:r>
        <w:t xml:space="preserve"> </w:t>
      </w:r>
      <w:r>
        <w:t xml:space="preserve">Purkinje cells are among the most hypoxia-sensitive neurons in the brain (Katsetos et al., 1993; Volpe, 2009); HIF-1α activation during their maturation window arrests differentiation, producing reduced Purkinje cell number and altered cerebellar circuit formation</w:t>
      </w:r>
    </w:p>
    <w:p>
      <w:pPr>
        <w:pStyle w:val="Compact"/>
        <w:numPr>
          <w:ilvl w:val="0"/>
          <w:numId w:val="1017"/>
        </w:numPr>
      </w:pPr>
      <w:r>
        <w:rPr>
          <w:b/>
          <w:bCs/>
        </w:rPr>
        <w:t xml:space="preserve">Epidemiological evidence:</w:t>
      </w:r>
      <w:r>
        <w:t xml:space="preserve"> </w:t>
      </w:r>
      <w:r>
        <w:t xml:space="preserve">Preterm birth strongly predicts DCD — 40-50% of very preterm infants show motor coordination difficulties at school age (Edwards et al., 2011); cerebellar injury on neonatal MRI correlates with later motor coordination deficits</w:t>
      </w:r>
    </w:p>
    <w:p>
      <w:pPr>
        <w:pStyle w:val="Compact"/>
        <w:numPr>
          <w:ilvl w:val="0"/>
          <w:numId w:val="1017"/>
        </w:numPr>
      </w:pPr>
      <w:r>
        <w:rPr>
          <w:b/>
          <w:bCs/>
        </w:rPr>
        <w:t xml:space="preserve">Biomarker applicability:</w:t>
      </w:r>
      <w:r>
        <w:t xml:space="preserve"> </w:t>
      </w:r>
      <w:r>
        <w:t xml:space="preserve">Cerebellar-specific methylation panel (PTCH1, SHH pathway), HIF3A methylation, epigenetic clock</w:t>
      </w:r>
    </w:p>
    <w:p>
      <w:r>
        <w:pict>
          <v:rect style="width:0;height:1.5pt" o:hralign="center" o:hrstd="t" o:hr="t"/>
        </w:pict>
      </w:r>
    </w:p>
    <w:bookmarkEnd w:id="50"/>
    <w:bookmarkEnd w:id="51"/>
    <w:bookmarkStart w:id="52" w:name="evidence-strength-summary"/>
    <w:p>
      <w:pPr>
        <w:pStyle w:val="Heading2"/>
      </w:pPr>
      <w:r>
        <w:t xml:space="preserve">9. Evidence Strength Summary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Condition</w:t>
            </w:r>
          </w:p>
        </w:tc>
        <w:tc>
          <w:tcPr/>
          <w:p>
            <w:pPr>
              <w:pStyle w:val="Compact"/>
            </w:pPr>
            <w:r>
              <w:t xml:space="preserve">Evidence Grade</w:t>
            </w:r>
          </w:p>
        </w:tc>
        <w:tc>
          <w:tcPr/>
          <w:p>
            <w:pPr>
              <w:pStyle w:val="Compact"/>
            </w:pPr>
            <w:r>
              <w:t xml:space="preserve">Gestational Link</w:t>
            </w:r>
          </w:p>
        </w:tc>
        <w:tc>
          <w:tcPr/>
          <w:p>
            <w:pPr>
              <w:pStyle w:val="Compact"/>
            </w:pPr>
            <w:r>
              <w:t xml:space="preserve">Epidemiological Support</w:t>
            </w:r>
          </w:p>
        </w:tc>
        <w:tc>
          <w:tcPr/>
          <w:p>
            <w:pPr>
              <w:pStyle w:val="Compact"/>
            </w:pPr>
            <w:r>
              <w:t xml:space="preserve">Biomarker Feasibility</w:t>
            </w:r>
          </w:p>
        </w:tc>
      </w:tr>
      <w:tr>
        <w:tc>
          <w:tcPr/>
          <w:p>
            <w:pPr>
              <w:pStyle w:val="Compact"/>
            </w:pPr>
            <w:r>
              <w:t xml:space="preserve">Essential hypertension</w:t>
            </w:r>
          </w:p>
        </w:tc>
        <w:tc>
          <w:tcPr/>
          <w:p>
            <w:pPr>
              <w:pStyle w:val="Compact"/>
            </w:pPr>
            <w:r>
              <w:t xml:space="preserve">STRONG</w:t>
            </w:r>
          </w:p>
        </w:tc>
        <w:tc>
          <w:tcPr/>
          <w:p>
            <w:pPr>
              <w:pStyle w:val="Compact"/>
            </w:pPr>
            <w:r>
              <w:t xml:space="preserve">Nephron endowment</w:t>
            </w:r>
          </w:p>
        </w:tc>
        <w:tc>
          <w:tcPr/>
          <w:p>
            <w:pPr>
              <w:pStyle w:val="Compact"/>
            </w:pPr>
            <w:r>
              <w:t xml:space="preserve">Extensive (DOHaD core evidence)</w:t>
            </w:r>
          </w:p>
        </w:tc>
        <w:tc>
          <w:tcPr/>
          <w:p>
            <w:pPr>
              <w:pStyle w:val="Compact"/>
            </w:pPr>
            <w:r>
              <w:t xml:space="preserve">High</w:t>
            </w:r>
          </w:p>
        </w:tc>
      </w:tr>
      <w:tr>
        <w:tc>
          <w:tcPr/>
          <w:p>
            <w:pPr>
              <w:pStyle w:val="Compact"/>
            </w:pPr>
            <w:r>
              <w:t xml:space="preserve">Type 2 diabetes (lean)</w:t>
            </w:r>
          </w:p>
        </w:tc>
        <w:tc>
          <w:tcPr/>
          <w:p>
            <w:pPr>
              <w:pStyle w:val="Compact"/>
            </w:pPr>
            <w:r>
              <w:t xml:space="preserve">STRONG</w:t>
            </w:r>
          </w:p>
        </w:tc>
        <w:tc>
          <w:tcPr/>
          <w:p>
            <w:pPr>
              <w:pStyle w:val="Compact"/>
            </w:pPr>
            <w:r>
              <w:t xml:space="preserve">Beta cell endowment</w:t>
            </w:r>
          </w:p>
        </w:tc>
        <w:tc>
          <w:tcPr/>
          <w:p>
            <w:pPr>
              <w:pStyle w:val="Compact"/>
            </w:pPr>
            <w:r>
              <w:t xml:space="preserve">Extensive (thrifty phenotype)</w:t>
            </w:r>
          </w:p>
        </w:tc>
        <w:tc>
          <w:tcPr/>
          <w:p>
            <w:pPr>
              <w:pStyle w:val="Compact"/>
            </w:pPr>
            <w:r>
              <w:t xml:space="preserve">High</w:t>
            </w:r>
          </w:p>
        </w:tc>
      </w:tr>
      <w:tr>
        <w:tc>
          <w:tcPr/>
          <w:p>
            <w:pPr>
              <w:pStyle w:val="Compact"/>
            </w:pPr>
            <w:r>
              <w:t xml:space="preserve">ADHD</w:t>
            </w:r>
          </w:p>
        </w:tc>
        <w:tc>
          <w:tcPr/>
          <w:p>
            <w:pPr>
              <w:pStyle w:val="Compact"/>
            </w:pPr>
            <w:r>
              <w:t xml:space="preserve">STRONG</w:t>
            </w:r>
          </w:p>
        </w:tc>
        <w:tc>
          <w:tcPr/>
          <w:p>
            <w:pPr>
              <w:pStyle w:val="Compact"/>
            </w:pPr>
            <w:r>
              <w:t xml:space="preserve">Frontal white matter OPC</w:t>
            </w:r>
          </w:p>
        </w:tc>
        <w:tc>
          <w:tcPr/>
          <w:p>
            <w:pPr>
              <w:pStyle w:val="Compact"/>
            </w:pPr>
            <w:r>
              <w:t xml:space="preserve">Extensive (9+ citations, 3 meta-analyses)</w:t>
            </w:r>
          </w:p>
        </w:tc>
        <w:tc>
          <w:tcPr/>
          <w:p>
            <w:pPr>
              <w:pStyle w:val="Compact"/>
            </w:pPr>
            <w:r>
              <w:t xml:space="preserve">High</w:t>
            </w:r>
          </w:p>
        </w:tc>
      </w:tr>
      <w:tr>
        <w:tc>
          <w:tcPr/>
          <w:p>
            <w:pPr>
              <w:pStyle w:val="Compact"/>
            </w:pPr>
            <w:r>
              <w:t xml:space="preserve">Cardiovascular disease</w:t>
            </w:r>
          </w:p>
        </w:tc>
        <w:tc>
          <w:tcPr/>
          <w:p>
            <w:pPr>
              <w:pStyle w:val="Compact"/>
            </w:pPr>
            <w:r>
              <w:t xml:space="preserve">STRONG</w:t>
            </w:r>
          </w:p>
        </w:tc>
        <w:tc>
          <w:tcPr/>
          <w:p>
            <w:pPr>
              <w:pStyle w:val="Compact"/>
            </w:pPr>
            <w:r>
              <w:t xml:space="preserve">Cardiomyocyte endowment</w:t>
            </w:r>
          </w:p>
        </w:tc>
        <w:tc>
          <w:tcPr/>
          <w:p>
            <w:pPr>
              <w:pStyle w:val="Compact"/>
            </w:pPr>
            <w:r>
              <w:t xml:space="preserve">Extensive (DOHaD original evidence)</w:t>
            </w:r>
          </w:p>
        </w:tc>
        <w:tc>
          <w:tcPr/>
          <w:p>
            <w:pPr>
              <w:pStyle w:val="Compact"/>
            </w:pPr>
            <w:r>
              <w:t xml:space="preserve">High</w:t>
            </w:r>
          </w:p>
        </w:tc>
      </w:tr>
      <w:tr>
        <w:tc>
          <w:tcPr/>
          <w:p>
            <w:pPr>
              <w:pStyle w:val="Compact"/>
            </w:pPr>
            <w:r>
              <w:t xml:space="preserve">Idiopathic pulmonary fibrosis</w:t>
            </w:r>
          </w:p>
        </w:tc>
        <w:tc>
          <w:tcPr/>
          <w:p>
            <w:pPr>
              <w:pStyle w:val="Compact"/>
            </w:pPr>
            <w:r>
              <w:t xml:space="preserve">STRONG</w:t>
            </w:r>
          </w:p>
        </w:tc>
        <w:tc>
          <w:tcPr/>
          <w:p>
            <w:pPr>
              <w:pStyle w:val="Compact"/>
            </w:pPr>
            <w:r>
              <w:t xml:space="preserve">AT2 cell endowment</w:t>
            </w:r>
          </w:p>
        </w:tc>
        <w:tc>
          <w:tcPr/>
          <w:p>
            <w:pPr>
              <w:pStyle w:val="Compact"/>
            </w:pPr>
            <w:r>
              <w:t xml:space="preserve">Moderate (preterm-lung evidence)</w:t>
            </w:r>
          </w:p>
        </w:tc>
        <w:tc>
          <w:tcPr/>
          <w:p>
            <w:pPr>
              <w:pStyle w:val="Compact"/>
            </w:pPr>
            <w:r>
              <w:t xml:space="preserve">Moderate</w:t>
            </w:r>
          </w:p>
        </w:tc>
      </w:tr>
      <w:tr>
        <w:tc>
          <w:tcPr/>
          <w:p>
            <w:pPr>
              <w:pStyle w:val="Compact"/>
            </w:pPr>
            <w:r>
              <w:t xml:space="preserve">Developmental coordination disorder</w:t>
            </w:r>
          </w:p>
        </w:tc>
        <w:tc>
          <w:tcPr/>
          <w:p>
            <w:pPr>
              <w:pStyle w:val="Compact"/>
            </w:pPr>
            <w:r>
              <w:t xml:space="preserve">STRONG</w:t>
            </w:r>
          </w:p>
        </w:tc>
        <w:tc>
          <w:tcPr/>
          <w:p>
            <w:pPr>
              <w:pStyle w:val="Compact"/>
            </w:pPr>
            <w:r>
              <w:t xml:space="preserve">Purkinje cell maturation</w:t>
            </w:r>
          </w:p>
        </w:tc>
        <w:tc>
          <w:tcPr/>
          <w:p>
            <w:pPr>
              <w:pStyle w:val="Compact"/>
            </w:pPr>
            <w:r>
              <w:t xml:space="preserve">Moderate (preterm-motor evidence)</w:t>
            </w:r>
          </w:p>
        </w:tc>
        <w:tc>
          <w:tcPr/>
          <w:p>
            <w:pPr>
              <w:pStyle w:val="Compact"/>
            </w:pPr>
            <w:r>
              <w:t xml:space="preserve">Moderate</w:t>
            </w:r>
          </w:p>
        </w:tc>
      </w:tr>
      <w:tr>
        <w:tc>
          <w:tcPr/>
          <w:p>
            <w:pPr>
              <w:pStyle w:val="Compact"/>
            </w:pPr>
            <w:r>
              <w:t xml:space="preserve">Epilepsy</w:t>
            </w:r>
          </w:p>
        </w:tc>
        <w:tc>
          <w:tcPr/>
          <w:p>
            <w:pPr>
              <w:pStyle w:val="Compact"/>
            </w:pPr>
            <w:r>
              <w:t xml:space="preserve">MODERATE</w:t>
            </w:r>
          </w:p>
        </w:tc>
        <w:tc>
          <w:tcPr/>
          <w:p>
            <w:pPr>
              <w:pStyle w:val="Compact"/>
            </w:pPr>
            <w:r>
              <w:t xml:space="preserve">Hippocampal CA1 neurons</w:t>
            </w:r>
          </w:p>
        </w:tc>
        <w:tc>
          <w:tcPr/>
          <w:p>
            <w:pPr>
              <w:pStyle w:val="Compact"/>
            </w:pPr>
            <w:r>
              <w:t xml:space="preserve">Moderate (birth asphyxia-epilepsy)</w:t>
            </w:r>
          </w:p>
        </w:tc>
        <w:tc>
          <w:tcPr/>
          <w:p>
            <w:pPr>
              <w:pStyle w:val="Compact"/>
            </w:pPr>
            <w:r>
              <w:t xml:space="preserve">Moderate</w:t>
            </w:r>
          </w:p>
        </w:tc>
      </w:tr>
      <w:tr>
        <w:tc>
          <w:tcPr/>
          <w:p>
            <w:pPr>
              <w:pStyle w:val="Compact"/>
            </w:pPr>
            <w:r>
              <w:t xml:space="preserve">CKDu</w:t>
            </w:r>
          </w:p>
        </w:tc>
        <w:tc>
          <w:tcPr/>
          <w:p>
            <w:pPr>
              <w:pStyle w:val="Compact"/>
            </w:pPr>
            <w:r>
              <w:t xml:space="preserve">MODERATE</w:t>
            </w:r>
          </w:p>
        </w:tc>
        <w:tc>
          <w:tcPr/>
          <w:p>
            <w:pPr>
              <w:pStyle w:val="Compact"/>
            </w:pPr>
            <w:r>
              <w:t xml:space="preserve">Nephron endowment</w:t>
            </w:r>
          </w:p>
        </w:tc>
        <w:tc>
          <w:tcPr/>
          <w:p>
            <w:pPr>
              <w:pStyle w:val="Compact"/>
            </w:pPr>
            <w:r>
              <w:t xml:space="preserve">Limited (ecological only)</w:t>
            </w:r>
          </w:p>
        </w:tc>
        <w:tc>
          <w:tcPr/>
          <w:p>
            <w:pPr>
              <w:pStyle w:val="Compact"/>
            </w:pPr>
            <w:r>
              <w:t xml:space="preserve">Moderate</w:t>
            </w:r>
          </w:p>
        </w:tc>
      </w:tr>
      <w:tr>
        <w:tc>
          <w:tcPr/>
          <w:p>
            <w:pPr>
              <w:pStyle w:val="Compact"/>
            </w:pPr>
            <w:r>
              <w:t xml:space="preserve">Autoimmune conditions</w:t>
            </w:r>
          </w:p>
        </w:tc>
        <w:tc>
          <w:tcPr/>
          <w:p>
            <w:pPr>
              <w:pStyle w:val="Compact"/>
            </w:pPr>
            <w:r>
              <w:t xml:space="preserve">MODERATE-WEAK</w:t>
            </w:r>
          </w:p>
        </w:tc>
        <w:tc>
          <w:tcPr/>
          <w:p>
            <w:pPr>
              <w:pStyle w:val="Compact"/>
            </w:pPr>
            <w:r>
              <w:t xml:space="preserve">Thymic T-cell selection</w:t>
            </w:r>
          </w:p>
        </w:tc>
        <w:tc>
          <w:tcPr/>
          <w:p>
            <w:pPr>
              <w:pStyle w:val="Compact"/>
            </w:pPr>
            <w:r>
              <w:t xml:space="preserve">Limited</w:t>
            </w:r>
          </w:p>
        </w:tc>
        <w:tc>
          <w:tcPr/>
          <w:p>
            <w:pPr>
              <w:pStyle w:val="Compact"/>
            </w:pPr>
            <w:r>
              <w:t xml:space="preserve">Low</w:t>
            </w:r>
          </w:p>
        </w:tc>
      </w:tr>
      <w:tr>
        <w:tc>
          <w:tcPr/>
          <w:p>
            <w:pPr>
              <w:pStyle w:val="Compact"/>
            </w:pPr>
            <w:r>
              <w:t xml:space="preserve">Generalised anxiety</w:t>
            </w:r>
          </w:p>
        </w:tc>
        <w:tc>
          <w:tcPr/>
          <w:p>
            <w:pPr>
              <w:pStyle w:val="Compact"/>
            </w:pPr>
            <w:r>
              <w:t xml:space="preserve">MODERATE-WEAK</w:t>
            </w:r>
          </w:p>
        </w:tc>
        <w:tc>
          <w:tcPr/>
          <w:p>
            <w:pPr>
              <w:pStyle w:val="Compact"/>
            </w:pPr>
            <w:r>
              <w:t xml:space="preserve">Amygdala programming</w:t>
            </w:r>
          </w:p>
        </w:tc>
        <w:tc>
          <w:tcPr/>
          <w:p>
            <w:pPr>
              <w:pStyle w:val="Compact"/>
            </w:pPr>
            <w:r>
              <w:t xml:space="preserve">Inconsistent</w:t>
            </w:r>
          </w:p>
        </w:tc>
        <w:tc>
          <w:tcPr/>
          <w:p>
            <w:pPr>
              <w:pStyle w:val="Compact"/>
            </w:pPr>
            <w:r>
              <w:t xml:space="preserve">Low</w:t>
            </w:r>
          </w:p>
        </w:tc>
      </w:tr>
    </w:tbl>
    <w:p>
      <w:pPr>
        <w:pStyle w:val="BodyText"/>
      </w:pPr>
      <w:r>
        <w:t xml:space="preserve">Six of ten conditions show STRONG evidence, two show MODERATE, and two show MODERATE-WEAK. The strongest evidence clusters around conditions where (a) the organ has a known fixed endowment established during fetal life, (b) prematurity or IUGR is an established risk factor, and (c) DOHaD evidence already exists.</w:t>
      </w:r>
    </w:p>
    <w:p>
      <w:r>
        <w:pict>
          <v:rect style="width:0;height:1.5pt" o:hralign="center" o:hrstd="t" o:hr="t"/>
        </w:pict>
      </w:r>
    </w:p>
    <w:bookmarkEnd w:id="52"/>
    <w:bookmarkStart w:id="55" w:name="the-integrated-biomarker-panel"/>
    <w:p>
      <w:pPr>
        <w:pStyle w:val="Heading2"/>
      </w:pPr>
      <w:r>
        <w:t xml:space="preserve">10. The Integrated Biomarker Panel</w:t>
      </w:r>
    </w:p>
    <w:bookmarkStart w:id="53" w:name="X9a27d7ff4a0f3b5bd7b50612de1298296a8551b"/>
    <w:p>
      <w:pPr>
        <w:pStyle w:val="Heading3"/>
      </w:pPr>
      <w:r>
        <w:t xml:space="preserve">10.1 A Proposed Neonatal Screening Architecture</w:t>
      </w:r>
    </w:p>
    <w:p>
      <w:pPr>
        <w:pStyle w:val="FirstParagraph"/>
      </w:pPr>
      <w:r>
        <w:t xml:space="preserve">If validated, the six biomarker classes could be integrated into a neonatal risk stratification panel:</w:t>
      </w:r>
    </w:p>
    <w:p>
      <w:pPr>
        <w:pStyle w:val="BodyText"/>
      </w:pPr>
      <w:r>
        <w:rPr>
          <w:b/>
          <w:bCs/>
        </w:rPr>
        <w:t xml:space="preserve">Tier 1 — Universal Screen (Guthrie card, all births):</w:t>
      </w:r>
      <w:r>
        <w:t xml:space="preserve"> </w:t>
      </w:r>
      <w:r>
        <w:t xml:space="preserve">- HIF3A methylation</w:t>
      </w:r>
      <w:r>
        <w:t xml:space="preserve"> </w:t>
      </w:r>
      <w:r>
        <w:t xml:space="preserve">- Epigenetic gestational age clock</w:t>
      </w:r>
      <w:r>
        <w:t xml:space="preserve"> </w:t>
      </w:r>
      <w:r>
        <w:t xml:space="preserve">- miR-210 level (if persistent elevation confirmed)</w:t>
      </w:r>
    </w:p>
    <w:p>
      <w:pPr>
        <w:pStyle w:val="BodyText"/>
      </w:pPr>
      <w:r>
        <w:rPr>
          <w:b/>
          <w:bCs/>
        </w:rPr>
        <w:t xml:space="preserve">Tier 2 — Targeted Screen (cord blood, high-risk births — PE, IUGR, preterm):</w:t>
      </w:r>
      <w:r>
        <w:t xml:space="preserve"> </w:t>
      </w:r>
      <w:r>
        <w:t xml:space="preserve">- Organ-specific methylation panel (renal, cardiac, OPC, cerebellar)</w:t>
      </w:r>
      <w:r>
        <w:t xml:space="preserve"> </w:t>
      </w:r>
      <w:r>
        <w:t xml:space="preserve">- Glycolytic gene promoter methylation (HK2, LDHA, PDK1)</w:t>
      </w:r>
      <w:r>
        <w:t xml:space="preserve"> </w:t>
      </w:r>
      <w:r>
        <w:t xml:space="preserve">- Extended epigenetic clock battery</w:t>
      </w:r>
    </w:p>
    <w:p>
      <w:pPr>
        <w:pStyle w:val="BodyText"/>
      </w:pPr>
      <w:r>
        <w:rPr>
          <w:b/>
          <w:bCs/>
        </w:rPr>
        <w:t xml:space="preserve">Tier 3 — Research/Validation (placental tissue, biobanked samples):</w:t>
      </w:r>
      <w:r>
        <w:t xml:space="preserve"> </w:t>
      </w:r>
      <w:r>
        <w:t xml:space="preserve">- Full EWAS on placental tissue</w:t>
      </w:r>
      <w:r>
        <w:t xml:space="preserve"> </w:t>
      </w:r>
      <w:r>
        <w:t xml:space="preserve">- EOPE vs. LOPE timing discrimination</w:t>
      </w:r>
      <w:r>
        <w:t xml:space="preserve"> </w:t>
      </w:r>
      <w:r>
        <w:t xml:space="preserve">- Multi-tissue methylation concordance analysis</w:t>
      </w:r>
    </w:p>
    <w:bookmarkEnd w:id="53"/>
    <w:bookmarkStart w:id="54" w:name="clinical-pathway"/>
    <w:p>
      <w:pPr>
        <w:pStyle w:val="Heading3"/>
      </w:pPr>
      <w:r>
        <w:t xml:space="preserve">10.2 Clinical Pathway</w:t>
      </w:r>
    </w:p>
    <w:p>
      <w:pPr>
        <w:pStyle w:val="FirstParagraph"/>
      </w:pPr>
      <w:r>
        <w:t xml:space="preserve">For a neonate identified as HIF-primed on Tier 1 screening:</w:t>
      </w:r>
      <w:r>
        <w:t xml:space="preserve"> </w:t>
      </w:r>
      <w:r>
        <w:t xml:space="preserve">1.</w:t>
      </w:r>
      <w:r>
        <w:t xml:space="preserve"> </w:t>
      </w:r>
      <w:r>
        <w:rPr>
          <w:b/>
          <w:bCs/>
        </w:rPr>
        <w:t xml:space="preserve">Birth:</w:t>
      </w:r>
      <w:r>
        <w:t xml:space="preserve"> </w:t>
      </w:r>
      <w:r>
        <w:t xml:space="preserve">Elevated HIF3A methylation + accelerated epigenetic clock detected on Guthrie card</w:t>
      </w:r>
      <w:r>
        <w:t xml:space="preserve"> </w:t>
      </w:r>
      <w:r>
        <w:t xml:space="preserve">2.</w:t>
      </w:r>
      <w:r>
        <w:t xml:space="preserve"> </w:t>
      </w:r>
      <w:r>
        <w:rPr>
          <w:b/>
          <w:bCs/>
        </w:rPr>
        <w:t xml:space="preserve">Referral:</w:t>
      </w:r>
      <w:r>
        <w:t xml:space="preserve"> </w:t>
      </w:r>
      <w:r>
        <w:t xml:space="preserve">Tier 2 cord blood panel reveals organ-specific methylation signature (e.g., renal + cardiac bias)</w:t>
      </w:r>
      <w:r>
        <w:t xml:space="preserve"> </w:t>
      </w:r>
      <w:r>
        <w:t xml:space="preserve">3.</w:t>
      </w:r>
      <w:r>
        <w:t xml:space="preserve"> </w:t>
      </w:r>
      <w:r>
        <w:rPr>
          <w:b/>
          <w:bCs/>
        </w:rPr>
        <w:t xml:space="preserve">Risk stratification:</w:t>
      </w:r>
      <w:r>
        <w:t xml:space="preserve"> </w:t>
      </w:r>
      <w:r>
        <w:t xml:space="preserve">Infant flagged for enhanced developmental surveillance + lifelong monitoring for hypertension and cardiovascular disease</w:t>
      </w:r>
      <w:r>
        <w:t xml:space="preserve"> </w:t>
      </w:r>
      <w:r>
        <w:t xml:space="preserve">4.</w:t>
      </w:r>
      <w:r>
        <w:t xml:space="preserve"> </w:t>
      </w:r>
      <w:r>
        <w:rPr>
          <w:b/>
          <w:bCs/>
        </w:rPr>
        <w:t xml:space="preserve">Early intervention:</w:t>
      </w:r>
      <w:r>
        <w:t xml:space="preserve"> </w:t>
      </w:r>
      <w:r>
        <w:t xml:space="preserve">Developmental support initiated at earliest signs, rather than waiting for clinical diagnosis at age 3-6</w:t>
      </w:r>
      <w:r>
        <w:t xml:space="preserve"> </w:t>
      </w:r>
      <w:r>
        <w:t xml:space="preserve">5.</w:t>
      </w:r>
      <w:r>
        <w:t xml:space="preserve"> </w:t>
      </w:r>
      <w:r>
        <w:rPr>
          <w:b/>
          <w:bCs/>
        </w:rPr>
        <w:t xml:space="preserve">Adult screening:</w:t>
      </w:r>
      <w:r>
        <w:t xml:space="preserve"> </w:t>
      </w:r>
      <w:r>
        <w:t xml:space="preserve">Age-appropriate screening for predicted conditions (hypertension from 20s, cardiac disease from 30s)</w:t>
      </w:r>
    </w:p>
    <w:p>
      <w:r>
        <w:pict>
          <v:rect style="width:0;height:1.5pt" o:hralign="center" o:hrstd="t" o:hr="t"/>
        </w:pict>
      </w:r>
    </w:p>
    <w:bookmarkEnd w:id="54"/>
    <w:bookmarkEnd w:id="55"/>
    <w:bookmarkStart w:id="58" w:name="retrospective-applications"/>
    <w:p>
      <w:pPr>
        <w:pStyle w:val="Heading2"/>
      </w:pPr>
      <w:r>
        <w:t xml:space="preserve">11. Retrospective Applications</w:t>
      </w:r>
    </w:p>
    <w:bookmarkStart w:id="56" w:name="guthrie-card-archive-studies"/>
    <w:p>
      <w:pPr>
        <w:pStyle w:val="Heading3"/>
      </w:pPr>
      <w:r>
        <w:t xml:space="preserve">11.1 Guthrie Card Archive Studies</w:t>
      </w:r>
    </w:p>
    <w:p>
      <w:pPr>
        <w:pStyle w:val="FirstParagraph"/>
      </w:pPr>
      <w:r>
        <w:t xml:space="preserve">Many jurisdictions have stored Guthrie cards dating back to the 1970s-1980s. These archives enable:</w:t>
      </w:r>
      <w:r>
        <w:t xml:space="preserve"> </w:t>
      </w:r>
      <w:r>
        <w:t xml:space="preserve">-</w:t>
      </w:r>
      <w:r>
        <w:t xml:space="preserve"> </w:t>
      </w:r>
      <w:r>
        <w:rPr>
          <w:b/>
          <w:bCs/>
        </w:rPr>
        <w:t xml:space="preserve">50-year retrospective studies</w:t>
      </w:r>
      <w:r>
        <w:t xml:space="preserve"> </w:t>
      </w:r>
      <w:r>
        <w:t xml:space="preserve">linking neonatal epigenetic state to adult disease</w:t>
      </w:r>
      <w:r>
        <w:t xml:space="preserve"> </w:t>
      </w:r>
      <w:r>
        <w:t xml:space="preserve">-</w:t>
      </w:r>
      <w:r>
        <w:t xml:space="preserve"> </w:t>
      </w:r>
      <w:r>
        <w:rPr>
          <w:b/>
          <w:bCs/>
        </w:rPr>
        <w:t xml:space="preserve">Testing the alignment model directly:</w:t>
      </w:r>
      <w:r>
        <w:t xml:space="preserve"> </w:t>
      </w:r>
      <w:r>
        <w:t xml:space="preserve">Do infants with elevated HIF3A methylation at birth develop the conditions the model predicts?</w:t>
      </w:r>
      <w:r>
        <w:t xml:space="preserve"> </w:t>
      </w:r>
      <w:r>
        <w:t xml:space="preserve">-</w:t>
      </w:r>
      <w:r>
        <w:t xml:space="preserve"> </w:t>
      </w:r>
      <w:r>
        <w:rPr>
          <w:b/>
          <w:bCs/>
        </w:rPr>
        <w:t xml:space="preserve">Population-level risk mapping:</w:t>
      </w:r>
      <w:r>
        <w:t xml:space="preserve"> </w:t>
      </w:r>
      <w:r>
        <w:t xml:space="preserve">What proportion of</w:t>
      </w:r>
      <w:r>
        <w:t xml:space="preserve"> </w:t>
      </w:r>
      <w:r>
        <w:t xml:space="preserve">“idiopathic”</w:t>
      </w:r>
      <w:r>
        <w:t xml:space="preserve"> </w:t>
      </w:r>
      <w:r>
        <w:t xml:space="preserve">adult disease burden is attributable to detectable gestational hypoxic programming?</w:t>
      </w:r>
    </w:p>
    <w:bookmarkEnd w:id="56"/>
    <w:bookmarkStart w:id="57" w:name="existing-biobank-opportunities"/>
    <w:p>
      <w:pPr>
        <w:pStyle w:val="Heading3"/>
      </w:pPr>
      <w:r>
        <w:t xml:space="preserve">11.2 Existing Biobank Opportunities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Biobank</w:t>
            </w:r>
          </w:p>
        </w:tc>
        <w:tc>
          <w:tcPr/>
          <w:p>
            <w:pPr>
              <w:pStyle w:val="Compact"/>
            </w:pPr>
            <w:r>
              <w:t xml:space="preserve">Location</w:t>
            </w:r>
          </w:p>
        </w:tc>
        <w:tc>
          <w:tcPr/>
          <w:p>
            <w:pPr>
              <w:pStyle w:val="Compact"/>
            </w:pPr>
            <w:r>
              <w:t xml:space="preserve">Birth Years</w:t>
            </w:r>
          </w:p>
        </w:tc>
        <w:tc>
          <w:tcPr/>
          <w:p>
            <w:pPr>
              <w:pStyle w:val="Compact"/>
            </w:pPr>
            <w:r>
              <w:t xml:space="preserve">Linkage Available</w:t>
            </w:r>
          </w:p>
        </w:tc>
      </w:tr>
      <w:tr>
        <w:tc>
          <w:tcPr/>
          <w:p>
            <w:pPr>
              <w:pStyle w:val="Compact"/>
            </w:pPr>
            <w:r>
              <w:t xml:space="preserve">Danish Newborn Screening Biobank</w:t>
            </w:r>
          </w:p>
        </w:tc>
        <w:tc>
          <w:tcPr/>
          <w:p>
            <w:pPr>
              <w:pStyle w:val="Compact"/>
            </w:pPr>
            <w:r>
              <w:t xml:space="preserve">Denmark</w:t>
            </w:r>
          </w:p>
        </w:tc>
        <w:tc>
          <w:tcPr/>
          <w:p>
            <w:pPr>
              <w:pStyle w:val="Compact"/>
            </w:pPr>
            <w:r>
              <w:t xml:space="preserve">1982-present</w:t>
            </w:r>
          </w:p>
        </w:tc>
        <w:tc>
          <w:tcPr/>
          <w:p>
            <w:pPr>
              <w:pStyle w:val="Compact"/>
            </w:pPr>
            <w:r>
              <w:t xml:space="preserve">National health registry</w:t>
            </w:r>
          </w:p>
        </w:tc>
      </w:tr>
      <w:tr>
        <w:tc>
          <w:tcPr/>
          <w:p>
            <w:pPr>
              <w:pStyle w:val="Compact"/>
            </w:pPr>
            <w:r>
              <w:t xml:space="preserve">Swedish PKU Biobank</w:t>
            </w:r>
          </w:p>
        </w:tc>
        <w:tc>
          <w:tcPr/>
          <w:p>
            <w:pPr>
              <w:pStyle w:val="Compact"/>
            </w:pPr>
            <w:r>
              <w:t xml:space="preserve">Sweden</w:t>
            </w:r>
          </w:p>
        </w:tc>
        <w:tc>
          <w:tcPr/>
          <w:p>
            <w:pPr>
              <w:pStyle w:val="Compact"/>
            </w:pPr>
            <w:r>
              <w:t xml:space="preserve">1975-present</w:t>
            </w:r>
          </w:p>
        </w:tc>
        <w:tc>
          <w:tcPr/>
          <w:p>
            <w:pPr>
              <w:pStyle w:val="Compact"/>
            </w:pPr>
            <w:r>
              <w:t xml:space="preserve">National health registry</w:t>
            </w:r>
          </w:p>
        </w:tc>
      </w:tr>
      <w:tr>
        <w:tc>
          <w:tcPr/>
          <w:p>
            <w:pPr>
              <w:pStyle w:val="Compact"/>
            </w:pPr>
            <w:r>
              <w:t xml:space="preserve">Norwegian Neonatal Screening Biobank</w:t>
            </w:r>
          </w:p>
        </w:tc>
        <w:tc>
          <w:tcPr/>
          <w:p>
            <w:pPr>
              <w:pStyle w:val="Compact"/>
            </w:pPr>
            <w:r>
              <w:t xml:space="preserve">Norway</w:t>
            </w:r>
          </w:p>
        </w:tc>
        <w:tc>
          <w:tcPr/>
          <w:p>
            <w:pPr>
              <w:pStyle w:val="Compact"/>
            </w:pPr>
            <w:r>
              <w:t xml:space="preserve">1979-present</w:t>
            </w:r>
          </w:p>
        </w:tc>
        <w:tc>
          <w:tcPr/>
          <w:p>
            <w:pPr>
              <w:pStyle w:val="Compact"/>
            </w:pPr>
            <w:r>
              <w:t xml:space="preserve">National health registry</w:t>
            </w:r>
          </w:p>
        </w:tc>
      </w:tr>
      <w:tr>
        <w:tc>
          <w:tcPr/>
          <w:p>
            <w:pPr>
              <w:pStyle w:val="Compact"/>
            </w:pPr>
            <w:r>
              <w:t xml:space="preserve">Victorian Clinical Genetics Services</w:t>
            </w:r>
          </w:p>
        </w:tc>
        <w:tc>
          <w:tcPr/>
          <w:p>
            <w:pPr>
              <w:pStyle w:val="Compact"/>
            </w:pPr>
            <w:r>
              <w:t xml:space="preserve">Australia</w:t>
            </w:r>
          </w:p>
        </w:tc>
        <w:tc>
          <w:tcPr/>
          <w:p>
            <w:pPr>
              <w:pStyle w:val="Compact"/>
            </w:pPr>
            <w:r>
              <w:t xml:space="preserve">1965-present</w:t>
            </w:r>
          </w:p>
        </w:tc>
        <w:tc>
          <w:tcPr/>
          <w:p>
            <w:pPr>
              <w:pStyle w:val="Compact"/>
            </w:pPr>
            <w:r>
              <w:t xml:space="preserve">State health data</w:t>
            </w:r>
          </w:p>
        </w:tc>
      </w:tr>
      <w:tr>
        <w:tc>
          <w:tcPr/>
          <w:p>
            <w:pPr>
              <w:pStyle w:val="Compact"/>
            </w:pPr>
            <w:r>
              <w:t xml:space="preserve">UK Biobank (subset with birth data)</w:t>
            </w:r>
          </w:p>
        </w:tc>
        <w:tc>
          <w:tcPr/>
          <w:p>
            <w:pPr>
              <w:pStyle w:val="Compact"/>
            </w:pPr>
            <w:r>
              <w:t xml:space="preserve">UK</w:t>
            </w:r>
          </w:p>
        </w:tc>
        <w:tc>
          <w:tcPr/>
          <w:p>
            <w:pPr>
              <w:pStyle w:val="Compact"/>
            </w:pPr>
            <w:r>
              <w:t xml:space="preserve">1934-1971 (participants)</w:t>
            </w:r>
          </w:p>
        </w:tc>
        <w:tc>
          <w:tcPr/>
          <w:p>
            <w:pPr>
              <w:pStyle w:val="Compact"/>
            </w:pPr>
            <w:r>
              <w:t xml:space="preserve">Extensive health data</w:t>
            </w:r>
          </w:p>
        </w:tc>
      </w:tr>
    </w:tbl>
    <w:p>
      <w:pPr>
        <w:pStyle w:val="BodyText"/>
      </w:pPr>
      <w:r>
        <w:t xml:space="preserve">The Nordic biobanks are optimal because they combine (a) archived neonatal blood spots from (b) known birth conditions (PE, preterm, IUGR recorded) linked to (c) comprehensive adult health registries covering 40-50 years of follow-up.</w:t>
      </w:r>
    </w:p>
    <w:p>
      <w:r>
        <w:pict>
          <v:rect style="width:0;height:1.5pt" o:hralign="center" o:hrstd="t" o:hr="t"/>
        </w:pict>
      </w:r>
    </w:p>
    <w:bookmarkEnd w:id="57"/>
    <w:bookmarkEnd w:id="58"/>
    <w:bookmarkStart w:id="61" w:name="adversarial-stress-test"/>
    <w:p>
      <w:pPr>
        <w:pStyle w:val="Heading2"/>
      </w:pPr>
      <w:r>
        <w:t xml:space="preserve">12. Adversarial Stress Test</w:t>
      </w:r>
    </w:p>
    <w:bookmarkStart w:id="59" w:name="external-objections"/>
    <w:p>
      <w:pPr>
        <w:pStyle w:val="Heading3"/>
      </w:pPr>
      <w:r>
        <w:t xml:space="preserve">12.1 External Objections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Objection</w:t>
            </w:r>
          </w:p>
        </w:tc>
        <w:tc>
          <w:tcPr/>
          <w:p>
            <w:pPr>
              <w:pStyle w:val="Compact"/>
            </w:pPr>
            <w:r>
              <w:t xml:space="preserve">Severity</w:t>
            </w:r>
          </w:p>
        </w:tc>
        <w:tc>
          <w:tcPr/>
          <w:p>
            <w:pPr>
              <w:pStyle w:val="Compact"/>
            </w:pPr>
            <w:r>
              <w:t xml:space="preserve">Response</w:t>
            </w:r>
          </w:p>
        </w:tc>
      </w:tr>
      <w:tr>
        <w:tc>
          <w:tcPr/>
          <w:p>
            <w:pPr>
              <w:pStyle w:val="Compact"/>
            </w:pPr>
            <w:r>
              <w:t xml:space="preserve">“Epigenetic marks on Guthrie cards don’t reflect organ-specific programming”</w:t>
            </w:r>
          </w:p>
        </w:tc>
        <w:tc>
          <w:tcPr/>
          <w:p>
            <w:pPr>
              <w:pStyle w:val="Compact"/>
            </w:pPr>
            <w:r>
              <w:t xml:space="preserve">HIGH</w:t>
            </w:r>
          </w:p>
        </w:tc>
        <w:tc>
          <w:tcPr/>
          <w:p>
            <w:pPr>
              <w:pStyle w:val="Compact"/>
            </w:pPr>
            <w:r>
              <w:t xml:space="preserve">Partially valid. Peripheral blood methylation is an imperfect proxy for organ-specific epigenetic state. However, systemic HIF pathway markers (HIF3A) and some organ-derived methylation signals are detectable in blood. The limitation is acknowledged — peripheral blood provides pathway-level, not organ-level, information.</w:t>
            </w:r>
          </w:p>
        </w:tc>
      </w:tr>
      <w:tr>
        <w:tc>
          <w:tcPr/>
          <w:p>
            <w:pPr>
              <w:pStyle w:val="Compact"/>
            </w:pPr>
            <w:r>
              <w:t xml:space="preserve">“Epigenetic clocks were not designed for neonatal samples — they may be unreliable at birth”</w:t>
            </w:r>
          </w:p>
        </w:tc>
        <w:tc>
          <w:tcPr/>
          <w:p>
            <w:pPr>
              <w:pStyle w:val="Compact"/>
            </w:pPr>
            <w:r>
              <w:t xml:space="preserve">MODERATE</w:t>
            </w:r>
          </w:p>
        </w:tc>
        <w:tc>
          <w:tcPr/>
          <w:p>
            <w:pPr>
              <w:pStyle w:val="Compact"/>
            </w:pPr>
            <w:r>
              <w:t xml:space="preserve">Clock algorithms are being recalibrated for cord blood and neonatal applications (McEwen et al., 2019; Knight et al., 2016). Validation is ongoing, but early results show meaningful associations with gestational adversity.</w:t>
            </w:r>
          </w:p>
        </w:tc>
      </w:tr>
      <w:tr>
        <w:tc>
          <w:tcPr/>
          <w:p>
            <w:pPr>
              <w:pStyle w:val="Compact"/>
            </w:pPr>
            <w:r>
              <w:t xml:space="preserve">“The</w:t>
            </w:r>
            <w:r>
              <w:t xml:space="preserve"> </w:t>
            </w:r>
            <w:r>
              <w:t xml:space="preserve">‘idiopathic’</w:t>
            </w:r>
            <w:r>
              <w:t xml:space="preserve"> </w:t>
            </w:r>
            <w:r>
              <w:t xml:space="preserve">conditions you list have other established risk factors — genetics, lifestyle, environment”</w:t>
            </w:r>
          </w:p>
        </w:tc>
        <w:tc>
          <w:tcPr/>
          <w:p>
            <w:pPr>
              <w:pStyle w:val="Compact"/>
            </w:pPr>
            <w:r>
              <w:t xml:space="preserve">HIGH</w:t>
            </w:r>
          </w:p>
        </w:tc>
        <w:tc>
          <w:tcPr/>
          <w:p>
            <w:pPr>
              <w:pStyle w:val="Compact"/>
            </w:pPr>
            <w:r>
              <w:t xml:space="preserve">The model does not claim gestational hypoxia is the sole cause. It proposes that gestational programming is an underestimated contributor operating alongside genetic and environmental factors. For conditions like hypertension and T2DM, the DOHaD contribution is already accepted — the model extends this to additional conditions through the HIF mechanism.</w:t>
            </w:r>
          </w:p>
        </w:tc>
      </w:tr>
      <w:tr>
        <w:tc>
          <w:tcPr/>
          <w:p>
            <w:pPr>
              <w:pStyle w:val="Compact"/>
            </w:pPr>
            <w:r>
              <w:t xml:space="preserve">“You cannot validate a screening panel without prospective studies — retrospective designs are insufficient”</w:t>
            </w:r>
          </w:p>
        </w:tc>
        <w:tc>
          <w:tcPr/>
          <w:p>
            <w:pPr>
              <w:pStyle w:val="Compact"/>
            </w:pPr>
            <w:r>
              <w:t xml:space="preserve">MODERATE</w:t>
            </w:r>
          </w:p>
        </w:tc>
        <w:tc>
          <w:tcPr/>
          <w:p>
            <w:pPr>
              <w:pStyle w:val="Compact"/>
            </w:pPr>
            <w:r>
              <w:t xml:space="preserve">Correct for clinical implementation. The retrospective Guthrie card studies are proposed as hypothesis validation, not clinical validation. Prospective studies demonstrating that neonatal biomarker identification improves outcomes through early intervention would be required before clinical deployment.</w:t>
            </w:r>
          </w:p>
        </w:tc>
      </w:tr>
      <w:tr>
        <w:tc>
          <w:tcPr/>
          <w:p>
            <w:pPr>
              <w:pStyle w:val="Compact"/>
            </w:pPr>
            <w:r>
              <w:t xml:space="preserve">“miR-210 persistence from birth to adulthood is unproven”</w:t>
            </w:r>
          </w:p>
        </w:tc>
        <w:tc>
          <w:tcPr/>
          <w:p>
            <w:pPr>
              <w:pStyle w:val="Compact"/>
            </w:pPr>
            <w:r>
              <w:t xml:space="preserve">MODERATE</w:t>
            </w:r>
          </w:p>
        </w:tc>
        <w:tc>
          <w:tcPr/>
          <w:p>
            <w:pPr>
              <w:pStyle w:val="Compact"/>
            </w:pPr>
            <w:r>
              <w:t xml:space="preserve">Acknowledged as a key data gap. Longitudinal miR-210 tracking from birth is identified as a priority validation study, not assumed as fact.</w:t>
            </w:r>
          </w:p>
        </w:tc>
      </w:tr>
    </w:tbl>
    <w:bookmarkEnd w:id="59"/>
    <w:bookmarkStart w:id="60" w:name="self-identified-weaknesses"/>
    <w:p>
      <w:pPr>
        <w:pStyle w:val="Heading3"/>
      </w:pPr>
      <w:r>
        <w:t xml:space="preserve">12.2 Self-Identified Weaknesses</w:t>
      </w:r>
    </w:p>
    <w:p>
      <w:pPr>
        <w:numPr>
          <w:ilvl w:val="0"/>
          <w:numId w:val="1018"/>
        </w:numPr>
      </w:pPr>
      <w:r>
        <w:rPr>
          <w:b/>
          <w:bCs/>
        </w:rPr>
        <w:t xml:space="preserve">No prospective validation exists.</w:t>
      </w:r>
      <w:r>
        <w:t xml:space="preserve"> </w:t>
      </w:r>
      <w:r>
        <w:t xml:space="preserve">The biomarker framework is proposed based on mechanistic reasoning and cross-sectional evidence, not prospective cohort data demonstrating that neonatal screening predicts later disease.</w:t>
      </w:r>
    </w:p>
    <w:p>
      <w:pPr>
        <w:numPr>
          <w:ilvl w:val="0"/>
          <w:numId w:val="1018"/>
        </w:numPr>
      </w:pPr>
      <w:r>
        <w:rPr>
          <w:b/>
          <w:bCs/>
        </w:rPr>
        <w:t xml:space="preserve">The organ-specific panel is speculative.</w:t>
      </w:r>
      <w:r>
        <w:t xml:space="preserve"> </w:t>
      </w:r>
      <w:r>
        <w:t xml:space="preserve">While organ-specific methylation signatures are biologically plausible, they have not been systematically characterised in cord blood. Discovery EWAS studies are needed before any organ-specific panel could be constructed.</w:t>
      </w:r>
    </w:p>
    <w:p>
      <w:pPr>
        <w:numPr>
          <w:ilvl w:val="0"/>
          <w:numId w:val="1018"/>
        </w:numPr>
      </w:pPr>
      <w:r>
        <w:rPr>
          <w:b/>
          <w:bCs/>
        </w:rPr>
        <w:t xml:space="preserve">The idiopathic condition mapping varies widely in evidence quality.</w:t>
      </w:r>
      <w:r>
        <w:t xml:space="preserve"> </w:t>
      </w:r>
      <w:r>
        <w:t xml:space="preserve">Hypertension and T2DM have extensive DOHaD evidence; anxiety and autoimmune conditions have weak and inconsistent evidence. The mapping should be interpreted as a spectrum of confidence, not a uniform claim.</w:t>
      </w:r>
    </w:p>
    <w:p>
      <w:pPr>
        <w:numPr>
          <w:ilvl w:val="0"/>
          <w:numId w:val="1018"/>
        </w:numPr>
      </w:pPr>
      <w:r>
        <w:rPr>
          <w:b/>
          <w:bCs/>
        </w:rPr>
        <w:t xml:space="preserve">Clinical utility is unproven.</w:t>
      </w:r>
      <w:r>
        <w:t xml:space="preserve"> </w:t>
      </w:r>
      <w:r>
        <w:t xml:space="preserve">Even if biomarkers detect gestational HIF priming, it is unclear whether early identification improves outcomes. Screening is only valuable if it leads to interventions that change disease trajectory.</w:t>
      </w:r>
    </w:p>
    <w:p>
      <w:pPr>
        <w:numPr>
          <w:ilvl w:val="0"/>
          <w:numId w:val="1018"/>
        </w:numPr>
      </w:pPr>
      <w:r>
        <w:rPr>
          <w:b/>
          <w:bCs/>
        </w:rPr>
        <w:t xml:space="preserve">Ethical considerations of neonatal risk prediction.</w:t>
      </w:r>
      <w:r>
        <w:t xml:space="preserve"> </w:t>
      </w:r>
      <w:r>
        <w:t xml:space="preserve">Identifying infants as</w:t>
      </w:r>
      <w:r>
        <w:t xml:space="preserve"> </w:t>
      </w:r>
      <w:r>
        <w:t xml:space="preserve">“high-risk”</w:t>
      </w:r>
      <w:r>
        <w:t xml:space="preserve"> </w:t>
      </w:r>
      <w:r>
        <w:t xml:space="preserve">for conditions that may manifest decades later raises questions about labelling, insurance implications, psychological burden on families, and the proportionality of surveillance.</w:t>
      </w:r>
    </w:p>
    <w:p>
      <w:r>
        <w:pict>
          <v:rect style="width:0;height:1.5pt" o:hralign="center" o:hrstd="t" o:hr="t"/>
        </w:pict>
      </w:r>
    </w:p>
    <w:bookmarkEnd w:id="60"/>
    <w:bookmarkEnd w:id="61"/>
    <w:bookmarkStart w:id="62" w:name="significance-statement"/>
    <w:p>
      <w:pPr>
        <w:pStyle w:val="Heading2"/>
      </w:pPr>
      <w:r>
        <w:t xml:space="preserve">13. Significance Statement</w:t>
      </w:r>
    </w:p>
    <w:p>
      <w:pPr>
        <w:pStyle w:val="FirstParagraph"/>
      </w:pPr>
      <w:r>
        <w:t xml:space="preserve">This paper proposes that ten conditions currently classified as</w:t>
      </w:r>
      <w:r>
        <w:t xml:space="preserve"> </w:t>
      </w:r>
      <w:r>
        <w:t xml:space="preserve">“idiopathic”</w:t>
      </w:r>
      <w:r>
        <w:t xml:space="preserve"> </w:t>
      </w:r>
      <w:r>
        <w:t xml:space="preserve">— including hypertension, type 2 diabetes, ADHD, cardiovascular disease, and developmental coordination disorder — have identifiable gestational hypoxic origins detectable at birth through epigenetic biomarkers. Six biomarker classes are described, three of which (HIF3A methylation, epigenetic clocks, miR-210) are measurable on universally archived newborn blood spots. If validated through retrospective Guthrie card-registry linkage studies, this framework would transform</w:t>
      </w:r>
      <w:r>
        <w:t xml:space="preserve"> </w:t>
      </w:r>
      <w:r>
        <w:t xml:space="preserve">“idiopathic”</w:t>
      </w:r>
      <w:r>
        <w:t xml:space="preserve"> </w:t>
      </w:r>
      <w:r>
        <w:t xml:space="preserve">disease classification, enable lifelong risk stratification from birth, and establish gestational oxygen management as a multi-disease prevention strategy. The conditions addressed account for a substantial fraction of the global chronic disease burden — repositioning them as preventable consequences of gestational programming would redefine the economic calculus of antenatal and neonatal care.</w:t>
      </w:r>
    </w:p>
    <w:p>
      <w:r>
        <w:pict>
          <v:rect style="width:0;height:1.5pt" o:hralign="center" o:hrstd="t" o:hr="t"/>
        </w:pict>
      </w:r>
    </w:p>
    <w:bookmarkEnd w:id="62"/>
    <w:bookmarkStart w:id="63" w:name="references"/>
    <w:p>
      <w:pPr>
        <w:pStyle w:val="Heading2"/>
      </w:pPr>
      <w:r>
        <w:t xml:space="preserve">References</w:t>
      </w:r>
    </w:p>
    <w:p>
      <w:pPr>
        <w:pStyle w:val="Compact"/>
        <w:numPr>
          <w:ilvl w:val="0"/>
          <w:numId w:val="1019"/>
        </w:numPr>
      </w:pPr>
      <w:r>
        <w:t xml:space="preserve">Aarnoudse-Moens CS et al. (2009).</w:t>
      </w:r>
      <w:r>
        <w:t xml:space="preserve"> </w:t>
      </w:r>
      <w:r>
        <w:t xml:space="preserve">“Meta-analysis of neurobehavioral outcomes in very preterm and/or very low birth weight children.”</w:t>
      </w:r>
      <w:r>
        <w:t xml:space="preserve"> </w:t>
      </w:r>
      <w:r>
        <w:rPr>
          <w:i/>
          <w:iCs/>
        </w:rPr>
        <w:t xml:space="preserve">Pediatrics</w:t>
      </w:r>
      <w:r>
        <w:t xml:space="preserve">, 124:717-728.</w:t>
      </w:r>
    </w:p>
    <w:p>
      <w:pPr>
        <w:pStyle w:val="Compact"/>
        <w:numPr>
          <w:ilvl w:val="0"/>
          <w:numId w:val="1019"/>
        </w:numPr>
      </w:pPr>
      <w:r>
        <w:t xml:space="preserve">Balistreri CR et al. (2015).</w:t>
      </w:r>
      <w:r>
        <w:t xml:space="preserve"> </w:t>
      </w:r>
      <w:r>
        <w:t xml:space="preserve">“The role of adipose tissue and immune system in obesity-associated inflammation.”</w:t>
      </w:r>
      <w:r>
        <w:t xml:space="preserve"> </w:t>
      </w:r>
      <w:r>
        <w:rPr>
          <w:i/>
          <w:iCs/>
        </w:rPr>
        <w:t xml:space="preserve">Mediators Inflamm</w:t>
      </w:r>
      <w:r>
        <w:t xml:space="preserve">, 2015:802078.</w:t>
      </w:r>
    </w:p>
    <w:p>
      <w:pPr>
        <w:pStyle w:val="Compact"/>
        <w:numPr>
          <w:ilvl w:val="0"/>
          <w:numId w:val="1019"/>
        </w:numPr>
      </w:pPr>
      <w:r>
        <w:t xml:space="preserve">Barker DJ (2004).</w:t>
      </w:r>
      <w:r>
        <w:t xml:space="preserve"> </w:t>
      </w:r>
      <w:r>
        <w:t xml:space="preserve">“The developmental origins of adult disease.”</w:t>
      </w:r>
      <w:r>
        <w:t xml:space="preserve"> </w:t>
      </w:r>
      <w:r>
        <w:rPr>
          <w:i/>
          <w:iCs/>
        </w:rPr>
        <w:t xml:space="preserve">J Am Coll Nutr</w:t>
      </w:r>
      <w:r>
        <w:t xml:space="preserve">, 23:588S-595S.</w:t>
      </w:r>
    </w:p>
    <w:p>
      <w:pPr>
        <w:pStyle w:val="Compact"/>
        <w:numPr>
          <w:ilvl w:val="0"/>
          <w:numId w:val="1019"/>
        </w:numPr>
      </w:pPr>
      <w:r>
        <w:t xml:space="preserve">Barker DJ et al. (1989).</w:t>
      </w:r>
      <w:r>
        <w:t xml:space="preserve"> </w:t>
      </w:r>
      <w:r>
        <w:t xml:space="preserve">“Growth in utero, blood pressure in childhood and adult life, and mortality from cardiovascular disease.”</w:t>
      </w:r>
      <w:r>
        <w:t xml:space="preserve"> </w:t>
      </w:r>
      <w:r>
        <w:rPr>
          <w:i/>
          <w:iCs/>
        </w:rPr>
        <w:t xml:space="preserve">BMJ</w:t>
      </w:r>
      <w:r>
        <w:t xml:space="preserve">, 298:564-567.</w:t>
      </w:r>
    </w:p>
    <w:p>
      <w:pPr>
        <w:pStyle w:val="Compact"/>
        <w:numPr>
          <w:ilvl w:val="0"/>
          <w:numId w:val="1019"/>
        </w:numPr>
      </w:pPr>
      <w:r>
        <w:t xml:space="preserve">Bhutta AT et al. (2002).</w:t>
      </w:r>
      <w:r>
        <w:t xml:space="preserve"> </w:t>
      </w:r>
      <w:r>
        <w:t xml:space="preserve">“Cognitive and behavioral outcomes of school-aged children who were born preterm.”</w:t>
      </w:r>
      <w:r>
        <w:t xml:space="preserve"> </w:t>
      </w:r>
      <w:r>
        <w:rPr>
          <w:i/>
          <w:iCs/>
        </w:rPr>
        <w:t xml:space="preserve">JAMA</w:t>
      </w:r>
      <w:r>
        <w:t xml:space="preserve">, 288:728-737.</w:t>
      </w:r>
    </w:p>
    <w:p>
      <w:pPr>
        <w:pStyle w:val="Compact"/>
        <w:numPr>
          <w:ilvl w:val="0"/>
          <w:numId w:val="1019"/>
        </w:numPr>
      </w:pPr>
      <w:r>
        <w:t xml:space="preserve">Brenner BM et al. (1988).</w:t>
      </w:r>
      <w:r>
        <w:t xml:space="preserve"> </w:t>
      </w:r>
      <w:r>
        <w:t xml:space="preserve">“Glomeruli and blood pressure: less of one, more of the other?”</w:t>
      </w:r>
      <w:r>
        <w:t xml:space="preserve"> </w:t>
      </w:r>
      <w:r>
        <w:rPr>
          <w:i/>
          <w:iCs/>
        </w:rPr>
        <w:t xml:space="preserve">Am J Hypertens</w:t>
      </w:r>
      <w:r>
        <w:t xml:space="preserve">, 1:335-347.</w:t>
      </w:r>
    </w:p>
    <w:p>
      <w:pPr>
        <w:pStyle w:val="Compact"/>
        <w:numPr>
          <w:ilvl w:val="0"/>
          <w:numId w:val="1019"/>
        </w:numPr>
      </w:pPr>
      <w:r>
        <w:t xml:space="preserve">Camps C et al. (2008).</w:t>
      </w:r>
      <w:r>
        <w:t xml:space="preserve"> </w:t>
      </w:r>
      <w:r>
        <w:t xml:space="preserve">“hsa-miR-210 is induced by hypoxia and is an independent prognostic factor in breast cancer.”</w:t>
      </w:r>
      <w:r>
        <w:t xml:space="preserve"> </w:t>
      </w:r>
      <w:r>
        <w:rPr>
          <w:i/>
          <w:iCs/>
        </w:rPr>
        <w:t xml:space="preserve">Clin Cancer Res</w:t>
      </w:r>
      <w:r>
        <w:t xml:space="preserve">, 14:1340-1348.</w:t>
      </w:r>
    </w:p>
    <w:p>
      <w:pPr>
        <w:pStyle w:val="Compact"/>
        <w:numPr>
          <w:ilvl w:val="0"/>
          <w:numId w:val="1019"/>
        </w:numPr>
      </w:pPr>
      <w:r>
        <w:t xml:space="preserve">Carpenter JA (2026a).</w:t>
      </w:r>
      <w:r>
        <w:t xml:space="preserve"> </w:t>
      </w:r>
      <w:r>
        <w:t xml:space="preserve">“Gestational oxygen-timing alignment and oligodendrocyte progenitor cell maturation arrest: a unifying hypothesis for autism spectrum disorder.”</w:t>
      </w:r>
      <w:r>
        <w:t xml:space="preserve"> </w:t>
      </w:r>
      <w:r>
        <w:t xml:space="preserve">Preprint, medRxiv.</w:t>
      </w:r>
    </w:p>
    <w:p>
      <w:pPr>
        <w:pStyle w:val="Compact"/>
        <w:numPr>
          <w:ilvl w:val="0"/>
          <w:numId w:val="1019"/>
        </w:numPr>
      </w:pPr>
      <w:r>
        <w:t xml:space="preserve">Carpenter JA (2026b).</w:t>
      </w:r>
      <w:r>
        <w:t xml:space="preserve"> </w:t>
      </w:r>
      <w:r>
        <w:t xml:space="preserve">“A multi-organ gestational oxygen-timing alignment model.”</w:t>
      </w:r>
      <w:r>
        <w:t xml:space="preserve"> </w:t>
      </w:r>
      <w:r>
        <w:t xml:space="preserve">Preprint.</w:t>
      </w:r>
    </w:p>
    <w:p>
      <w:pPr>
        <w:pStyle w:val="Compact"/>
        <w:numPr>
          <w:ilvl w:val="0"/>
          <w:numId w:val="1019"/>
        </w:numPr>
      </w:pPr>
      <w:r>
        <w:t xml:space="preserve">Carpenter JA (2026c).</w:t>
      </w:r>
      <w:r>
        <w:t xml:space="preserve"> </w:t>
      </w:r>
      <w:r>
        <w:t xml:space="preserve">“Treatment convergence on the oxygen-OPC axis.”</w:t>
      </w:r>
      <w:r>
        <w:t xml:space="preserve"> </w:t>
      </w:r>
      <w:r>
        <w:t xml:space="preserve">Preprint.</w:t>
      </w:r>
    </w:p>
    <w:p>
      <w:pPr>
        <w:pStyle w:val="Compact"/>
        <w:numPr>
          <w:ilvl w:val="0"/>
          <w:numId w:val="1019"/>
        </w:numPr>
      </w:pPr>
      <w:r>
        <w:t xml:space="preserve">Carpenter JA (2026d).</w:t>
      </w:r>
      <w:r>
        <w:t xml:space="preserve"> </w:t>
      </w:r>
      <w:r>
        <w:t xml:space="preserve">“Gestational hypoxia and cancer predisposition: the HIF-1α epigenetic priming hypothesis.”</w:t>
      </w:r>
      <w:r>
        <w:t xml:space="preserve"> </w:t>
      </w:r>
      <w:r>
        <w:t xml:space="preserve">Preprint.</w:t>
      </w:r>
    </w:p>
    <w:p>
      <w:pPr>
        <w:pStyle w:val="Compact"/>
        <w:numPr>
          <w:ilvl w:val="0"/>
          <w:numId w:val="1019"/>
        </w:numPr>
      </w:pPr>
      <w:r>
        <w:t xml:space="preserve">Contreras NA et al. (2017).</w:t>
      </w:r>
      <w:r>
        <w:t xml:space="preserve"> </w:t>
      </w:r>
      <w:r>
        <w:t xml:space="preserve">“Life-long effects of early-life stress: from epigenetic changes to impact on autoimmunity.”</w:t>
      </w:r>
      <w:r>
        <w:t xml:space="preserve"> </w:t>
      </w:r>
      <w:r>
        <w:rPr>
          <w:i/>
          <w:iCs/>
        </w:rPr>
        <w:t xml:space="preserve">Prog Mol Biol Transl Sci</w:t>
      </w:r>
      <w:r>
        <w:t xml:space="preserve">, 151:77-110.</w:t>
      </w:r>
    </w:p>
    <w:p>
      <w:pPr>
        <w:pStyle w:val="Compact"/>
        <w:numPr>
          <w:ilvl w:val="0"/>
          <w:numId w:val="1019"/>
        </w:numPr>
      </w:pPr>
      <w:r>
        <w:t xml:space="preserve">Davis EF et al. (2012).</w:t>
      </w:r>
      <w:r>
        <w:t xml:space="preserve"> </w:t>
      </w:r>
      <w:r>
        <w:t xml:space="preserve">“Pre-eclampsia and offspring cardiovascular health.”</w:t>
      </w:r>
      <w:r>
        <w:t xml:space="preserve"> </w:t>
      </w:r>
      <w:r>
        <w:rPr>
          <w:i/>
          <w:iCs/>
        </w:rPr>
        <w:t xml:space="preserve">Curr Hypertens Rep</w:t>
      </w:r>
      <w:r>
        <w:t xml:space="preserve">, 14:360-366.</w:t>
      </w:r>
    </w:p>
    <w:p>
      <w:pPr>
        <w:pStyle w:val="Compact"/>
        <w:numPr>
          <w:ilvl w:val="0"/>
          <w:numId w:val="1019"/>
        </w:numPr>
      </w:pPr>
      <w:r>
        <w:t xml:space="preserve">Edwards J et al. (2011).</w:t>
      </w:r>
      <w:r>
        <w:t xml:space="preserve"> </w:t>
      </w:r>
      <w:r>
        <w:t xml:space="preserve">“Developmental coordination disorder in school-aged children born very preterm and/or at very low birth weight.”</w:t>
      </w:r>
      <w:r>
        <w:t xml:space="preserve"> </w:t>
      </w:r>
      <w:r>
        <w:rPr>
          <w:i/>
          <w:iCs/>
        </w:rPr>
        <w:t xml:space="preserve">Arch Dis Child</w:t>
      </w:r>
      <w:r>
        <w:t xml:space="preserve">, 96:178-182.</w:t>
      </w:r>
    </w:p>
    <w:p>
      <w:pPr>
        <w:pStyle w:val="Compact"/>
        <w:numPr>
          <w:ilvl w:val="0"/>
          <w:numId w:val="1019"/>
        </w:numPr>
      </w:pPr>
      <w:r>
        <w:t xml:space="preserve">Franz AP et al. (2018).</w:t>
      </w:r>
      <w:r>
        <w:t xml:space="preserve"> </w:t>
      </w:r>
      <w:r>
        <w:t xml:space="preserve">“Attention-deficit/hyperactivity disorder and very preterm/very low birth weight: a meta-analysis.”</w:t>
      </w:r>
      <w:r>
        <w:t xml:space="preserve"> </w:t>
      </w:r>
      <w:r>
        <w:rPr>
          <w:i/>
          <w:iCs/>
        </w:rPr>
        <w:t xml:space="preserve">Pediatrics</w:t>
      </w:r>
      <w:r>
        <w:t xml:space="preserve">, 141:e20171645.</w:t>
      </w:r>
    </w:p>
    <w:p>
      <w:pPr>
        <w:pStyle w:val="Compact"/>
        <w:numPr>
          <w:ilvl w:val="0"/>
          <w:numId w:val="1019"/>
        </w:numPr>
      </w:pPr>
      <w:r>
        <w:t xml:space="preserve">Getahun D et al. (2013).</w:t>
      </w:r>
      <w:r>
        <w:t xml:space="preserve"> </w:t>
      </w:r>
      <w:r>
        <w:t xml:space="preserve">“In utero exposure to ischemic-hypoxic conditions and attention-deficit/hyperactivity disorder.”</w:t>
      </w:r>
      <w:r>
        <w:t xml:space="preserve"> </w:t>
      </w:r>
      <w:r>
        <w:rPr>
          <w:i/>
          <w:iCs/>
        </w:rPr>
        <w:t xml:space="preserve">Pediatrics</w:t>
      </w:r>
      <w:r>
        <w:t xml:space="preserve">, 131:e53-e61.</w:t>
      </w:r>
    </w:p>
    <w:p>
      <w:pPr>
        <w:pStyle w:val="Compact"/>
        <w:numPr>
          <w:ilvl w:val="0"/>
          <w:numId w:val="1019"/>
        </w:numPr>
      </w:pPr>
      <w:r>
        <w:t xml:space="preserve">Hales CN, Barker DJ (2001).</w:t>
      </w:r>
      <w:r>
        <w:t xml:space="preserve"> </w:t>
      </w:r>
      <w:r>
        <w:t xml:space="preserve">“The thrifty phenotype hypothesis.”</w:t>
      </w:r>
      <w:r>
        <w:t xml:space="preserve"> </w:t>
      </w:r>
      <w:r>
        <w:rPr>
          <w:i/>
          <w:iCs/>
        </w:rPr>
        <w:t xml:space="preserve">Br Med Bull</w:t>
      </w:r>
      <w:r>
        <w:t xml:space="preserve">, 60:5-20.</w:t>
      </w:r>
    </w:p>
    <w:p>
      <w:pPr>
        <w:pStyle w:val="Compact"/>
        <w:numPr>
          <w:ilvl w:val="0"/>
          <w:numId w:val="1019"/>
        </w:numPr>
      </w:pPr>
      <w:r>
        <w:t xml:space="preserve">Halmøy A et al. (2012).</w:t>
      </w:r>
      <w:r>
        <w:t xml:space="preserve"> </w:t>
      </w:r>
      <w:r>
        <w:t xml:space="preserve">“Pre- and perinatal risk factors in adults with ADHD.”</w:t>
      </w:r>
      <w:r>
        <w:t xml:space="preserve"> </w:t>
      </w:r>
      <w:r>
        <w:rPr>
          <w:i/>
          <w:iCs/>
        </w:rPr>
        <w:t xml:space="preserve">J Atten Disord</w:t>
      </w:r>
      <w:r>
        <w:t xml:space="preserve">, 16:71-78.</w:t>
      </w:r>
    </w:p>
    <w:p>
      <w:pPr>
        <w:pStyle w:val="Compact"/>
        <w:numPr>
          <w:ilvl w:val="0"/>
          <w:numId w:val="1019"/>
        </w:numPr>
      </w:pPr>
      <w:r>
        <w:t xml:space="preserve">Hannum G et al. (2013).</w:t>
      </w:r>
      <w:r>
        <w:t xml:space="preserve"> </w:t>
      </w:r>
      <w:r>
        <w:t xml:space="preserve">“Genome-wide methylation profiles reveal quantitative views of human aging rates.”</w:t>
      </w:r>
      <w:r>
        <w:t xml:space="preserve"> </w:t>
      </w:r>
      <w:r>
        <w:rPr>
          <w:i/>
          <w:iCs/>
        </w:rPr>
        <w:t xml:space="preserve">Mol Cell</w:t>
      </w:r>
      <w:r>
        <w:t xml:space="preserve">, 49:359-367.</w:t>
      </w:r>
    </w:p>
    <w:p>
      <w:pPr>
        <w:pStyle w:val="Compact"/>
        <w:numPr>
          <w:ilvl w:val="0"/>
          <w:numId w:val="1019"/>
        </w:numPr>
      </w:pPr>
      <w:r>
        <w:t xml:space="preserve">Horvath S (2013).</w:t>
      </w:r>
      <w:r>
        <w:t xml:space="preserve"> </w:t>
      </w:r>
      <w:r>
        <w:t xml:space="preserve">“DNA methylation age of human tissues and cell types.”</w:t>
      </w:r>
      <w:r>
        <w:t xml:space="preserve"> </w:t>
      </w:r>
      <w:r>
        <w:rPr>
          <w:i/>
          <w:iCs/>
        </w:rPr>
        <w:t xml:space="preserve">Genome Biol</w:t>
      </w:r>
      <w:r>
        <w:t xml:space="preserve">, 14:R115.</w:t>
      </w:r>
    </w:p>
    <w:p>
      <w:pPr>
        <w:pStyle w:val="Compact"/>
        <w:numPr>
          <w:ilvl w:val="0"/>
          <w:numId w:val="1019"/>
        </w:numPr>
      </w:pPr>
      <w:r>
        <w:t xml:space="preserve">Huang X, Le QT, Giaccia AJ (2010).</w:t>
      </w:r>
      <w:r>
        <w:t xml:space="preserve"> </w:t>
      </w:r>
      <w:r>
        <w:t xml:space="preserve">“MiR-210 – micromanager of the hypoxia pathway.”</w:t>
      </w:r>
      <w:r>
        <w:t xml:space="preserve"> </w:t>
      </w:r>
      <w:r>
        <w:rPr>
          <w:i/>
          <w:iCs/>
        </w:rPr>
        <w:t xml:space="preserve">Trends Mol Med</w:t>
      </w:r>
      <w:r>
        <w:t xml:space="preserve">, 16:230-237.</w:t>
      </w:r>
    </w:p>
    <w:p>
      <w:pPr>
        <w:pStyle w:val="Compact"/>
        <w:numPr>
          <w:ilvl w:val="0"/>
          <w:numId w:val="1019"/>
        </w:numPr>
      </w:pPr>
      <w:r>
        <w:t xml:space="preserve">Johnson S, Marlow N (2011).</w:t>
      </w:r>
      <w:r>
        <w:t xml:space="preserve"> </w:t>
      </w:r>
      <w:r>
        <w:t xml:space="preserve">“Preterm birth and childhood psychiatric disorders.”</w:t>
      </w:r>
      <w:r>
        <w:t xml:space="preserve"> </w:t>
      </w:r>
      <w:r>
        <w:rPr>
          <w:i/>
          <w:iCs/>
        </w:rPr>
        <w:t xml:space="preserve">Pediatr Res</w:t>
      </w:r>
      <w:r>
        <w:t xml:space="preserve">, 69:11R-18R.</w:t>
      </w:r>
    </w:p>
    <w:p>
      <w:pPr>
        <w:pStyle w:val="Compact"/>
        <w:numPr>
          <w:ilvl w:val="0"/>
          <w:numId w:val="1019"/>
        </w:numPr>
      </w:pPr>
      <w:r>
        <w:t xml:space="preserve">Katsetos CD et al. (1993).</w:t>
      </w:r>
      <w:r>
        <w:t xml:space="preserve"> </w:t>
      </w:r>
      <w:r>
        <w:t xml:space="preserve">“Neuropathological features of pontocerebellar hypoplasia type 2.”</w:t>
      </w:r>
      <w:r>
        <w:t xml:space="preserve"> </w:t>
      </w:r>
      <w:r>
        <w:rPr>
          <w:i/>
          <w:iCs/>
        </w:rPr>
        <w:t xml:space="preserve">Acta Neuropathol</w:t>
      </w:r>
      <w:r>
        <w:t xml:space="preserve">, 85:280-287.</w:t>
      </w:r>
    </w:p>
    <w:p>
      <w:pPr>
        <w:pStyle w:val="Compact"/>
        <w:numPr>
          <w:ilvl w:val="0"/>
          <w:numId w:val="1019"/>
        </w:numPr>
      </w:pPr>
      <w:r>
        <w:t xml:space="preserve">Knight AK et al. (2016).</w:t>
      </w:r>
      <w:r>
        <w:t xml:space="preserve"> </w:t>
      </w:r>
      <w:r>
        <w:t xml:space="preserve">“An epigenetic clock for gestational age at birth based on blood methylation data.”</w:t>
      </w:r>
      <w:r>
        <w:t xml:space="preserve"> </w:t>
      </w:r>
      <w:r>
        <w:rPr>
          <w:i/>
          <w:iCs/>
        </w:rPr>
        <w:t xml:space="preserve">Genome Biol</w:t>
      </w:r>
      <w:r>
        <w:t xml:space="preserve">, 17:206.</w:t>
      </w:r>
    </w:p>
    <w:p>
      <w:pPr>
        <w:pStyle w:val="Compact"/>
        <w:numPr>
          <w:ilvl w:val="0"/>
          <w:numId w:val="1019"/>
        </w:numPr>
      </w:pPr>
      <w:r>
        <w:t xml:space="preserve">Kotecha SJ et al. (2013).</w:t>
      </w:r>
      <w:r>
        <w:t xml:space="preserve"> </w:t>
      </w:r>
      <w:r>
        <w:t xml:space="preserve">“Effect of preterm birth on later FEV1: a systematic review.”</w:t>
      </w:r>
      <w:r>
        <w:t xml:space="preserve"> </w:t>
      </w:r>
      <w:r>
        <w:rPr>
          <w:i/>
          <w:iCs/>
        </w:rPr>
        <w:t xml:space="preserve">BMJ Open</w:t>
      </w:r>
      <w:r>
        <w:t xml:space="preserve">, 3:e002312.</w:t>
      </w:r>
    </w:p>
    <w:p>
      <w:pPr>
        <w:pStyle w:val="Compact"/>
        <w:numPr>
          <w:ilvl w:val="0"/>
          <w:numId w:val="1019"/>
        </w:numPr>
      </w:pPr>
      <w:r>
        <w:t xml:space="preserve">Law CM et al. (1993).</w:t>
      </w:r>
      <w:r>
        <w:t xml:space="preserve"> </w:t>
      </w:r>
      <w:r>
        <w:t xml:space="preserve">“Initiation of hypertension in utero and its amplification throughout life.”</w:t>
      </w:r>
      <w:r>
        <w:t xml:space="preserve"> </w:t>
      </w:r>
      <w:r>
        <w:rPr>
          <w:i/>
          <w:iCs/>
        </w:rPr>
        <w:t xml:space="preserve">BMJ</w:t>
      </w:r>
      <w:r>
        <w:t xml:space="preserve">, 306:24-27.</w:t>
      </w:r>
    </w:p>
    <w:p>
      <w:pPr>
        <w:pStyle w:val="Compact"/>
        <w:numPr>
          <w:ilvl w:val="0"/>
          <w:numId w:val="1019"/>
        </w:numPr>
      </w:pPr>
      <w:r>
        <w:t xml:space="preserve">Levine ME et al. (2018).</w:t>
      </w:r>
      <w:r>
        <w:t xml:space="preserve"> </w:t>
      </w:r>
      <w:r>
        <w:t xml:space="preserve">“An epigenetic biomarker of aging for lifespan and healthspan.”</w:t>
      </w:r>
      <w:r>
        <w:t xml:space="preserve"> </w:t>
      </w:r>
      <w:r>
        <w:rPr>
          <w:i/>
          <w:iCs/>
        </w:rPr>
        <w:t xml:space="preserve">Aging</w:t>
      </w:r>
      <w:r>
        <w:t xml:space="preserve">, 10:573-591.</w:t>
      </w:r>
    </w:p>
    <w:p>
      <w:pPr>
        <w:pStyle w:val="Compact"/>
        <w:numPr>
          <w:ilvl w:val="0"/>
          <w:numId w:val="1019"/>
        </w:numPr>
      </w:pPr>
      <w:r>
        <w:t xml:space="preserve">Lu AT et al. (2019).</w:t>
      </w:r>
      <w:r>
        <w:t xml:space="preserve"> </w:t>
      </w:r>
      <w:r>
        <w:t xml:space="preserve">“DNA methylation GrimAge strongly predicts lifespan and healthspan.”</w:t>
      </w:r>
      <w:r>
        <w:t xml:space="preserve"> </w:t>
      </w:r>
      <w:r>
        <w:rPr>
          <w:i/>
          <w:iCs/>
        </w:rPr>
        <w:t xml:space="preserve">Aging</w:t>
      </w:r>
      <w:r>
        <w:t xml:space="preserve">, 11:303-327.</w:t>
      </w:r>
    </w:p>
    <w:p>
      <w:pPr>
        <w:pStyle w:val="Compact"/>
        <w:numPr>
          <w:ilvl w:val="0"/>
          <w:numId w:val="1019"/>
        </w:numPr>
      </w:pPr>
      <w:r>
        <w:t xml:space="preserve">Mann JR et al. (2015).</w:t>
      </w:r>
      <w:r>
        <w:t xml:space="preserve"> </w:t>
      </w:r>
      <w:r>
        <w:t xml:space="preserve">“Pre-eclampsia and offspring ADHD and ASD.”</w:t>
      </w:r>
      <w:r>
        <w:t xml:space="preserve"> </w:t>
      </w:r>
      <w:r>
        <w:rPr>
          <w:i/>
          <w:iCs/>
        </w:rPr>
        <w:t xml:space="preserve">J Atten Disord</w:t>
      </w:r>
      <w:r>
        <w:t xml:space="preserve">, 19:692-700.</w:t>
      </w:r>
    </w:p>
    <w:p>
      <w:pPr>
        <w:pStyle w:val="Compact"/>
        <w:numPr>
          <w:ilvl w:val="0"/>
          <w:numId w:val="1019"/>
        </w:numPr>
      </w:pPr>
      <w:r>
        <w:t xml:space="preserve">McEwen LM et al. (2019).</w:t>
      </w:r>
      <w:r>
        <w:t xml:space="preserve"> </w:t>
      </w:r>
      <w:r>
        <w:t xml:space="preserve">“The PedBE clock accurately estimates DNA methylation age in pediatric buccal cells.”</w:t>
      </w:r>
      <w:r>
        <w:t xml:space="preserve"> </w:t>
      </w:r>
      <w:r>
        <w:rPr>
          <w:i/>
          <w:iCs/>
        </w:rPr>
        <w:t xml:space="preserve">PNAS</w:t>
      </w:r>
      <w:r>
        <w:t xml:space="preserve">, 117:23329-23335.</w:t>
      </w:r>
    </w:p>
    <w:p>
      <w:pPr>
        <w:pStyle w:val="Compact"/>
        <w:numPr>
          <w:ilvl w:val="0"/>
          <w:numId w:val="1019"/>
        </w:numPr>
      </w:pPr>
      <w:r>
        <w:t xml:space="preserve">Park JH et al. (2008).</w:t>
      </w:r>
      <w:r>
        <w:t xml:space="preserve"> </w:t>
      </w:r>
      <w:r>
        <w:t xml:space="preserve">“Development of type 2 diabetes following intrauterine growth retardation in rats is associated with progressive epigenetic silencing of Pdx1.”</w:t>
      </w:r>
      <w:r>
        <w:t xml:space="preserve"> </w:t>
      </w:r>
      <w:r>
        <w:rPr>
          <w:i/>
          <w:iCs/>
        </w:rPr>
        <w:t xml:space="preserve">J Clin Invest</w:t>
      </w:r>
      <w:r>
        <w:t xml:space="preserve">, 118:2316-2324.</w:t>
      </w:r>
    </w:p>
    <w:p>
      <w:pPr>
        <w:pStyle w:val="Compact"/>
        <w:numPr>
          <w:ilvl w:val="0"/>
          <w:numId w:val="1019"/>
        </w:numPr>
      </w:pPr>
      <w:r>
        <w:t xml:space="preserve">Schmidt-Kastner R (2015).</w:t>
      </w:r>
      <w:r>
        <w:t xml:space="preserve"> </w:t>
      </w:r>
      <w:r>
        <w:t xml:space="preserve">“Genomic approach to selective vulnerability of the hippocampus in brain ischemia-hypoxia.”</w:t>
      </w:r>
      <w:r>
        <w:t xml:space="preserve"> </w:t>
      </w:r>
      <w:r>
        <w:rPr>
          <w:i/>
          <w:iCs/>
        </w:rPr>
        <w:t xml:space="preserve">Neuroscience</w:t>
      </w:r>
      <w:r>
        <w:t xml:space="preserve">, 309:259-279.</w:t>
      </w:r>
    </w:p>
    <w:p>
      <w:pPr>
        <w:pStyle w:val="Compact"/>
        <w:numPr>
          <w:ilvl w:val="0"/>
          <w:numId w:val="1019"/>
        </w:numPr>
      </w:pPr>
      <w:r>
        <w:t xml:space="preserve">Simmons RA et al. (2001).</w:t>
      </w:r>
      <w:r>
        <w:t xml:space="preserve"> </w:t>
      </w:r>
      <w:r>
        <w:t xml:space="preserve">“Intrauterine growth retardation leads to the development of type 2 diabetes in the rat.”</w:t>
      </w:r>
      <w:r>
        <w:t xml:space="preserve"> </w:t>
      </w:r>
      <w:r>
        <w:rPr>
          <w:i/>
          <w:iCs/>
        </w:rPr>
        <w:t xml:space="preserve">Diabetes</w:t>
      </w:r>
      <w:r>
        <w:t xml:space="preserve">, 50:2279-2286.</w:t>
      </w:r>
    </w:p>
    <w:p>
      <w:pPr>
        <w:pStyle w:val="Compact"/>
        <w:numPr>
          <w:ilvl w:val="0"/>
          <w:numId w:val="1019"/>
        </w:numPr>
      </w:pPr>
      <w:r>
        <w:t xml:space="preserve">Sun Y et al. (2008).</w:t>
      </w:r>
      <w:r>
        <w:t xml:space="preserve"> </w:t>
      </w:r>
      <w:r>
        <w:t xml:space="preserve">“Preterm birth and risk for epilepsy in childhood.”</w:t>
      </w:r>
      <w:r>
        <w:t xml:space="preserve"> </w:t>
      </w:r>
      <w:r>
        <w:rPr>
          <w:i/>
          <w:iCs/>
        </w:rPr>
        <w:t xml:space="preserve">Pediatrics</w:t>
      </w:r>
      <w:r>
        <w:t xml:space="preserve">, 122:1086-1091.</w:t>
      </w:r>
    </w:p>
    <w:p>
      <w:pPr>
        <w:pStyle w:val="Compact"/>
        <w:numPr>
          <w:ilvl w:val="0"/>
          <w:numId w:val="1019"/>
        </w:numPr>
      </w:pPr>
      <w:r>
        <w:t xml:space="preserve">Volpe JJ (2009).</w:t>
      </w:r>
      <w:r>
        <w:t xml:space="preserve"> </w:t>
      </w:r>
      <w:r>
        <w:t xml:space="preserve">“Cerebellum of the premature infant: rapidly developing, vulnerable, clinically important.”</w:t>
      </w:r>
      <w:r>
        <w:t xml:space="preserve"> </w:t>
      </w:r>
      <w:r>
        <w:rPr>
          <w:i/>
          <w:iCs/>
        </w:rPr>
        <w:t xml:space="preserve">J Child Neurol</w:t>
      </w:r>
      <w:r>
        <w:t xml:space="preserve">, 24:1085-1104.</w:t>
      </w:r>
    </w:p>
    <w:p>
      <w:pPr>
        <w:pStyle w:val="Compact"/>
        <w:numPr>
          <w:ilvl w:val="0"/>
          <w:numId w:val="1019"/>
        </w:numPr>
      </w:pPr>
      <w:r>
        <w:t xml:space="preserve">Zar Kyaw T et al. (2019).</w:t>
      </w:r>
      <w:r>
        <w:t xml:space="preserve"> </w:t>
      </w:r>
      <w:r>
        <w:t xml:space="preserve">“HIF3A methylation in newborn blood spots.”</w:t>
      </w:r>
      <w:r>
        <w:t xml:space="preserve"> </w:t>
      </w:r>
      <w:r>
        <w:rPr>
          <w:i/>
          <w:iCs/>
        </w:rPr>
        <w:t xml:space="preserve">J Hum Genet</w:t>
      </w:r>
      <w:r>
        <w:t xml:space="preserve">, 64:795-801.</w:t>
      </w:r>
    </w:p>
    <w:p>
      <w:r>
        <w:pict>
          <v:rect style="width:0;height:1.5pt" o:hralign="center" o:hrstd="t" o:hr="t"/>
        </w:pict>
      </w:r>
    </w:p>
    <w:p>
      <w:pPr>
        <w:pStyle w:val="FirstParagraph"/>
      </w:pPr>
      <w:r>
        <w:rPr>
          <w:i/>
          <w:iCs/>
        </w:rPr>
        <w:t xml:space="preserve">This preprint has not undergone peer review. The biomarker framework presented generates testable predictions using existing biobanks and archived samples. All citations are to peer-reviewed, PubMed-indexed publications. No citation is fabricated.</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2026-03-05T02:10:04Z</dcterms:created>
  <dcterms:modified xsi:type="dcterms:W3CDTF">2026-03-05T02:10:04Z</dcterms:modified>
</cp:coreProperties>
</file>

<file path=docProps/custom.xml><?xml version="1.0" encoding="utf-8"?>
<Properties xmlns="http://schemas.openxmlformats.org/officeDocument/2006/custom-properties" xmlns:vt="http://schemas.openxmlformats.org/officeDocument/2006/docPropsVTypes"/>
</file>