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3d39d6214377c6dca27af8a7390c9880ee07f12"/>
    <w:p>
      <w:pPr>
        <w:pStyle w:val="Heading1"/>
      </w:pPr>
      <w:r>
        <w:t xml:space="preserve">Gestational Oxygen-Timing Alignment: A Unifying Hypothesis Linking Placental Insufficiency, HIF-1α Counter-Regulation, and Latent Multi-Organ Developmental Injury</w:t>
      </w:r>
    </w:p>
    <w:p>
      <w:r>
        <w:pict>
          <v:rect style="width:0;height:1.5pt" o:hralign="center" o:hrstd="t" o:hr="t"/>
        </w:pict>
      </w:r>
    </w:p>
    <w:p>
      <w:pPr>
        <w:pStyle w:val="FirstParagraph"/>
      </w:pPr>
      <w:r>
        <w:rPr>
          <w:b/>
          <w:bCs/>
        </w:rPr>
        <w:t xml:space="preserve">Jay Carpenter</w:t>
      </w:r>
    </w:p>
    <w:p>
      <w:pPr>
        <w:pStyle w:val="BodyText"/>
      </w:pPr>
      <w:r>
        <w:t xml:space="preserve">Independent Researcher, Sydney, Australia</w:t>
      </w:r>
    </w:p>
    <w:p>
      <w:pPr>
        <w:pStyle w:val="BodyText"/>
      </w:pPr>
      <w:r>
        <w:rPr>
          <w:b/>
          <w:bCs/>
        </w:rPr>
        <w:t xml:space="preserve">Corresponding Author:</w:t>
      </w:r>
      <w:r>
        <w:t xml:space="preserve"> </w:t>
      </w:r>
      <w:r>
        <w:t xml:space="preserve">Jay Carpenter. Email: jay.andrew.carpenter@gmail.com | jay@secs.observer</w:t>
      </w:r>
    </w:p>
    <w:p>
      <w:pPr>
        <w:pStyle w:val="BodyText"/>
      </w:pPr>
      <w:r>
        <w:rPr>
          <w:b/>
          <w:bCs/>
        </w:rPr>
        <w:t xml:space="preserve">Word Count:</w:t>
      </w:r>
      <w:r>
        <w:t xml:space="preserve"> </w:t>
      </w:r>
      <w:r>
        <w:t xml:space="preserve">~8,200 (excluding references)</w:t>
      </w:r>
    </w:p>
    <w:p>
      <w:pPr>
        <w:pStyle w:val="BodyText"/>
      </w:pPr>
      <w:r>
        <w:rPr>
          <w:b/>
          <w:bCs/>
        </w:rPr>
        <w:t xml:space="preserve">Article Category:</w:t>
      </w:r>
      <w:r>
        <w:t xml:space="preserve"> </w:t>
      </w:r>
      <w:r>
        <w:t xml:space="preserve">Review / Hypothesis-Generating</w:t>
      </w:r>
    </w:p>
    <w:p>
      <w:pPr>
        <w:pStyle w:val="BodyText"/>
      </w:pPr>
      <w:r>
        <w:rPr>
          <w:b/>
          <w:bCs/>
        </w:rPr>
        <w:t xml:space="preserve">Subject Area:</w:t>
      </w:r>
      <w:r>
        <w:t xml:space="preserve"> </w:t>
      </w:r>
      <w:r>
        <w:t xml:space="preserve">Pediatrics; Neurology; Obstetrics and Gynecology</w:t>
      </w:r>
    </w:p>
    <w:p>
      <w:r>
        <w:pict>
          <v:rect style="width:0;height:1.5pt" o:hralign="center" o:hrstd="t" o:hr="t"/>
        </w:pict>
      </w:r>
    </w:p>
    <w:bookmarkStart w:id="10" w:name="abstract"/>
    <w:p>
      <w:pPr>
        <w:pStyle w:val="Heading2"/>
      </w:pPr>
      <w:r>
        <w:t xml:space="preserve">ABSTRACT</w:t>
      </w:r>
    </w:p>
    <w:p>
      <w:pPr>
        <w:pStyle w:val="FirstParagraph"/>
      </w:pPr>
      <w:r>
        <w:rPr>
          <w:b/>
          <w:bCs/>
        </w:rPr>
        <w:t xml:space="preserve">Background:</w:t>
      </w:r>
      <w:r>
        <w:t xml:space="preserve"> </w:t>
      </w:r>
      <w:r>
        <w:t xml:space="preserve">Preeclampsia affects 3–8% of pregnancies globally and is associated with elevated offspring risk of neurodevelopmental disorders, cardiovascular disease, chronic kidney disease, and metabolic syndrome. These outcomes are typically investigated as independent conditions by separate clinical specialties, and no unifying mechanistic framework connects them to specific gestational timing.</w:t>
      </w:r>
    </w:p>
    <w:p>
      <w:pPr>
        <w:pStyle w:val="BodyText"/>
      </w:pPr>
      <w:r>
        <w:rPr>
          <w:b/>
          <w:bCs/>
        </w:rPr>
        <w:t xml:space="preserve">Objective:</w:t>
      </w:r>
      <w:r>
        <w:t xml:space="preserve"> </w:t>
      </w:r>
      <w:r>
        <w:t xml:space="preserve">To propose and evaluate a hypothesis-generating framework — the Gestational Oxygen-Timing Alignment Model — which posits that the specific gestational timing of oxygen supply disruption determines which fetal organ systems sustain injury, based on which developmental vulnerability windows are open at the moment of insult.</w:t>
      </w:r>
    </w:p>
    <w:p>
      <w:pPr>
        <w:pStyle w:val="BodyText"/>
      </w:pPr>
      <w:r>
        <w:rPr>
          <w:b/>
          <w:bCs/>
        </w:rPr>
        <w:t xml:space="preserve">Methods:</w:t>
      </w:r>
      <w:r>
        <w:t xml:space="preserve"> </w:t>
      </w:r>
      <w:r>
        <w:t xml:space="preserve">Systematic narrative literature synthesis across developmental neuroscience, neonatal physiology, HIF molecular biology, perinatal epidemiology, DTI neuroimaging, and the Developmental Origins of Health and Disease (DOHaD) paradigm. Over 400 primary and secondary citations were evaluated across 22 thematic research documents.</w:t>
      </w:r>
    </w:p>
    <w:p>
      <w:pPr>
        <w:pStyle w:val="BodyText"/>
      </w:pPr>
      <w:r>
        <w:rPr>
          <w:b/>
          <w:bCs/>
        </w:rPr>
        <w:t xml:space="preserve">Results:</w:t>
      </w:r>
      <w:r>
        <w:t xml:space="preserve"> </w:t>
      </w:r>
      <w:r>
        <w:t xml:space="preserve">Ten fetal organ systems were mapped with cell-type-specific vulnerability windows, revealing a convergent super-window at 23–36 weeks’ gestation when 9–10 systems are simultaneously in their peak construction phase. HIF-1α emerged as the common molecular sensor across all systems, with the PHD–VHL–FIH counter-regulatory apparatus providing a multi-input integration point sensitive to oxygen, iron, ascorbate, and metabolic intermediates. This creates a pseudohypoxia pathway through which 40–60% of pregnancies globally (via maternal iron deficiency) may experience HIF-mediated developmental injury without measurable oxygen deprivation. Analysis of 11 pharmacologically unrelated therapies showing neurodevelopmental benefit revealed convergence on two mechanisms: oxygen delivery and oligodendrocyte precursor cell (OPC) maturation. An adversarial stress test identified serious challenges (60–95% heritability of autism, grey matter pathology, connectivity paradox) that constrain the model to a subset hypothesis for autism but preserve its broader applicability to multi-organ gestational programming.</w:t>
      </w:r>
    </w:p>
    <w:p>
      <w:pPr>
        <w:pStyle w:val="BodyText"/>
      </w:pPr>
      <w:r>
        <w:rPr>
          <w:b/>
          <w:bCs/>
        </w:rPr>
        <w:t xml:space="preserve">Conclusions:</w:t>
      </w:r>
      <w:r>
        <w:t xml:space="preserve"> </w:t>
      </w:r>
      <w:r>
        <w:t xml:space="preserve">The alignment model extends the DOHaD paradigm by adding cellular-level temporal resolution: which oxygen event, at which gestational week, injures which cell type, producing which latent deficit at which age. The model generates falsifiable predictions testable with existing cohort data and biobank samples. Two study designs (PRISM and PRISM-Lite) are proposed for prospective validation.</w:t>
      </w:r>
    </w:p>
    <w:p>
      <w:pPr>
        <w:pStyle w:val="BodyText"/>
      </w:pPr>
      <w:r>
        <w:rPr>
          <w:b/>
          <w:bCs/>
        </w:rPr>
        <w:t xml:space="preserve">Keywords:</w:t>
      </w:r>
      <w:r>
        <w:t xml:space="preserve"> </w:t>
      </w:r>
      <w:r>
        <w:t xml:space="preserve">preeclampsia, developmental origins of health and disease, HIF-1α, oligodendrocyte precursor cells, white matter injury, gestational programming, pseudohypoxia, myelination, prolyl hydroxylase domain enzymes</w:t>
      </w:r>
    </w:p>
    <w:bookmarkStart w:id="9" w:name="significance-statement"/>
    <w:p>
      <w:pPr>
        <w:pStyle w:val="Heading3"/>
      </w:pPr>
      <w:r>
        <w:t xml:space="preserve">Significance Statement</w:t>
      </w:r>
    </w:p>
    <w:p>
      <w:pPr>
        <w:pStyle w:val="FirstParagraph"/>
      </w:pPr>
      <w:r>
        <w:t xml:space="preserve">Preeclampsia offspring outcomes — neurodevelopmental disorders, cardiovascular disease, chronic kidney disease, metabolic syndrome — are currently investigated as independent conditions by separate specialties. No framework links them to specific gestational timing. The Gestational Oxygen-Timing Alignment Model proposes that these are not separate diseases but staggered manifestations of a single multi-organ programming event whose expression depends on which developmental vulnerability windows were open at the moment of placental insufficiency. If validated, this model would shift clinical practice from reactive treatment of each condition as it emerges across the lifespan to prospective identification and surveillance at birth.</w:t>
      </w:r>
    </w:p>
    <w:p>
      <w:r>
        <w:pict>
          <v:rect style="width:0;height:1.5pt" o:hralign="center" o:hrstd="t" o:hr="t"/>
        </w:pict>
      </w:r>
    </w:p>
    <w:bookmarkEnd w:id="9"/>
    <w:bookmarkEnd w:id="10"/>
    <w:bookmarkStart w:id="11" w:name="introduction"/>
    <w:p>
      <w:pPr>
        <w:pStyle w:val="Heading2"/>
      </w:pPr>
      <w:r>
        <w:t xml:space="preserve">1. INTRODUCTION</w:t>
      </w:r>
    </w:p>
    <w:p>
      <w:pPr>
        <w:pStyle w:val="FirstParagraph"/>
      </w:pPr>
      <w:r>
        <w:t xml:space="preserve">The human fetus builds most of its organ systems during a concentrated period of the second and third trimesters. Each system passes through a defined vulnerability window during which a specific progenitor cell type depends on oxygen-sensitive signalling for maturation. The timing of these windows is staggered — cardiac septation completes before white matter myelination begins, nephron generation closes before the uncinate fasciculus finishes myelinating — but during weeks 23–36 of gestation, nearly all windows overlap simultaneously.</w:t>
      </w:r>
    </w:p>
    <w:p>
      <w:pPr>
        <w:pStyle w:val="BodyText"/>
      </w:pPr>
      <w:r>
        <w:t xml:space="preserve">Preeclampsia, the most common serious complication of pregnancy, produces chronic episodic placental insufficiency during precisely this convergent window. Yet research into offspring outcomes has overwhelmingly treated preeclampsia as a unitary exposure, comparing</w:t>
      </w:r>
      <w:r>
        <w:t xml:space="preserve"> </w:t>
      </w:r>
      <w:r>
        <w:t xml:space="preserve">“PE versus no PE”</w:t>
      </w:r>
      <w:r>
        <w:t xml:space="preserve"> </w:t>
      </w:r>
      <w:r>
        <w:t xml:space="preserve">without resolving gestational timing to the level where individual organ-system alignment can be tested [1–3].</w:t>
      </w:r>
    </w:p>
    <w:p>
      <w:pPr>
        <w:pStyle w:val="BodyText"/>
      </w:pPr>
      <w:r>
        <w:t xml:space="preserve">Meanwhile, a parallel literature has established, system by system, that specific progenitor cells are vulnerable to hypoxic-ischaemic injury during defined gestational windows: pre-oligodendrocytes (preOLs) in white matter [4–6], Six2+ nephron progenitors in the kidney [7,8], Purkinje cells in the cerebellum [9], cardiomyocytes [10], and CA1 pyramidal neurons in the hippocampus [11]. The Developmental Origins of Health and Disease (DOHaD) paradigm, established over 35 years of epidemiological evidence beginning with Barker [12–14], has demonstrated that fetal adversity programmes adult disease. Gluckman and Hanson extended this with the Predictive Adaptive Response framework [15,16], and Godfrey et al. established epigenetic mechanisms as the molecular memory [17].</w:t>
      </w:r>
    </w:p>
    <w:p>
      <w:pPr>
        <w:pStyle w:val="BodyText"/>
      </w:pPr>
      <w:r>
        <w:t xml:space="preserve">What has been missing is a synthesis that integrates these system-specific vulnerabilities into a single temporally resolved framework, connects them through a common molecular mechanism, and generates testable predictions about which gestational events produce which lifetime health trajectories.</w:t>
      </w:r>
    </w:p>
    <w:p>
      <w:pPr>
        <w:pStyle w:val="BodyText"/>
      </w:pPr>
      <w:r>
        <w:t xml:space="preserve">This paper proposes the Gestational Oxygen-Timing Alignment Model, evaluates it against available evidence across multiple domains, subjects it to adversarial stress testing, and identifies its boundaries, predictions, and limitations.</w:t>
      </w:r>
    </w:p>
    <w:p>
      <w:r>
        <w:pict>
          <v:rect style="width:0;height:1.5pt" o:hralign="center" o:hrstd="t" o:hr="t"/>
        </w:pict>
      </w:r>
    </w:p>
    <w:bookmarkEnd w:id="11"/>
    <w:bookmarkStart w:id="15" w:name="methods"/>
    <w:p>
      <w:pPr>
        <w:pStyle w:val="Heading2"/>
      </w:pPr>
      <w:r>
        <w:t xml:space="preserve">2. METHODS</w:t>
      </w:r>
    </w:p>
    <w:bookmarkStart w:id="12" w:name="literature-synthesis-approach"/>
    <w:p>
      <w:pPr>
        <w:pStyle w:val="Heading3"/>
      </w:pPr>
      <w:r>
        <w:t xml:space="preserve">2.1 Literature Synthesis Approach</w:t>
      </w:r>
    </w:p>
    <w:p>
      <w:pPr>
        <w:pStyle w:val="FirstParagraph"/>
      </w:pPr>
      <w:r>
        <w:t xml:space="preserve">This is a hypothesis-generating narrative synthesis, not a systematic review. Literature was identified through PubMed, Google Scholar, and reference-chain searching across the following domains: (1) oligodendrocyte precursor cell biology and white matter injury, (2) fetal organ-system developmental windows, (3) HIF-1α molecular biology and the PHD–VHL–FIH counter-regulatory pathway, (4) preeclampsia epidemiology and offspring outcomes, (5) diffusion tensor imaging (DTI) in autism spectrum disorder, (6) DOHaD literature, (7) neonatal intermittent hypoxaemia, (8) therapeutic interventions with white matter or neurodevelopmental benefit, and (9) low- and middle-income country (LMIC) neonatal oxygen technology.</w:t>
      </w:r>
    </w:p>
    <w:p>
      <w:pPr>
        <w:pStyle w:val="BodyText"/>
      </w:pPr>
      <w:r>
        <w:t xml:space="preserve">Over 400 primary and secondary citations were evaluated. Twenty-two thematic research documents totalling approximately 12,500 lines were produced as the evidence base (available at https://github.com/JustNothingJay/SECS_Research/tree/main/biological-research).</w:t>
      </w:r>
    </w:p>
    <w:bookmarkEnd w:id="12"/>
    <w:bookmarkStart w:id="13" w:name="evidence-grading"/>
    <w:p>
      <w:pPr>
        <w:pStyle w:val="Heading3"/>
      </w:pPr>
      <w:r>
        <w:t xml:space="preserve">2.2 Evidence Grading</w:t>
      </w:r>
    </w:p>
    <w:p>
      <w:pPr>
        <w:pStyle w:val="FirstParagraph"/>
      </w:pPr>
      <w:r>
        <w:t xml:space="preserve">Throughout this paper, evidence is graded as:</w:t>
      </w:r>
      <w:r>
        <w:t xml:space="preserve"> </w:t>
      </w:r>
      <w:r>
        <w:t xml:space="preserve">-</w:t>
      </w:r>
      <w:r>
        <w:t xml:space="preserve"> </w:t>
      </w:r>
      <w:r>
        <w:rPr>
          <w:b/>
          <w:bCs/>
        </w:rPr>
        <w:t xml:space="preserve">Strong</w:t>
      </w:r>
      <w:r>
        <w:t xml:space="preserve">: replicated across multiple independent studies, human tissue or large cohort data</w:t>
      </w:r>
      <w:r>
        <w:t xml:space="preserve"> </w:t>
      </w:r>
      <w:r>
        <w:t xml:space="preserve">-</w:t>
      </w:r>
      <w:r>
        <w:t xml:space="preserve"> </w:t>
      </w:r>
      <w:r>
        <w:rPr>
          <w:b/>
          <w:bCs/>
        </w:rPr>
        <w:t xml:space="preserve">Moderate</w:t>
      </w:r>
      <w:r>
        <w:t xml:space="preserve">: consistent animal model data or smaller human studies without full replication</w:t>
      </w:r>
      <w:r>
        <w:t xml:space="preserve"> </w:t>
      </w:r>
      <w:r>
        <w:t xml:space="preserve">-</w:t>
      </w:r>
      <w:r>
        <w:t xml:space="preserve"> </w:t>
      </w:r>
      <w:r>
        <w:rPr>
          <w:b/>
          <w:bCs/>
        </w:rPr>
        <w:t xml:space="preserve">Speculative</w:t>
      </w:r>
      <w:r>
        <w:t xml:space="preserve">: plausible mechanistic chain not yet directly tested; explicitly flagged with</w:t>
      </w:r>
      <w:r>
        <w:t xml:space="preserve"> </w:t>
      </w:r>
      <w:r>
        <w:t xml:space="preserve">“(speculative)”</w:t>
      </w:r>
    </w:p>
    <w:bookmarkEnd w:id="13"/>
    <w:bookmarkStart w:id="14" w:name="adversarial-methodology"/>
    <w:p>
      <w:pPr>
        <w:pStyle w:val="Heading3"/>
      </w:pPr>
      <w:r>
        <w:t xml:space="preserve">2.3 Adversarial Methodology</w:t>
      </w:r>
    </w:p>
    <w:p>
      <w:pPr>
        <w:pStyle w:val="FirstParagraph"/>
      </w:pPr>
      <w:r>
        <w:t xml:space="preserve">An explicit adversarial stress test was conducted, identifying the strongest counterevidence against each component of the model. Challenges are reported in Section 7 (Limitations and Adversarial Assessment) rather than suppressed.</w:t>
      </w:r>
    </w:p>
    <w:p>
      <w:r>
        <w:pict>
          <v:rect style="width:0;height:1.5pt" o:hralign="center" o:hrstd="t" o:hr="t"/>
        </w:pict>
      </w:r>
    </w:p>
    <w:bookmarkEnd w:id="14"/>
    <w:bookmarkEnd w:id="15"/>
    <w:bookmarkStart w:id="21" w:name="the-alignment-model"/>
    <w:p>
      <w:pPr>
        <w:pStyle w:val="Heading2"/>
      </w:pPr>
      <w:r>
        <w:t xml:space="preserve">3. THE ALIGNMENT MODEL</w:t>
      </w:r>
    </w:p>
    <w:bookmarkStart w:id="16" w:name="core-thesis"/>
    <w:p>
      <w:pPr>
        <w:pStyle w:val="Heading3"/>
      </w:pPr>
      <w:r>
        <w:t xml:space="preserve">3.1 Core Thesis</w:t>
      </w:r>
    </w:p>
    <w:p>
      <w:pPr>
        <w:pStyle w:val="FirstParagraph"/>
      </w:pPr>
      <w:r>
        <w:t xml:space="preserve">The model rests on three propositions:</w:t>
      </w:r>
    </w:p>
    <w:p>
      <w:pPr>
        <w:numPr>
          <w:ilvl w:val="0"/>
          <w:numId w:val="1001"/>
        </w:numPr>
      </w:pPr>
      <w:r>
        <w:rPr>
          <w:b/>
          <w:bCs/>
        </w:rPr>
        <w:t xml:space="preserve">Oxygen demand is not constant across gestation.</w:t>
      </w:r>
      <w:r>
        <w:t xml:space="preserve"> </w:t>
      </w:r>
      <w:r>
        <w:t xml:space="preserve">Each fetal organ system has a peak oxygen-demand window during which a specific progenitor cell type depends on precisely calibrated oxygen signalling for maturation.</w:t>
      </w:r>
    </w:p>
    <w:p>
      <w:pPr>
        <w:numPr>
          <w:ilvl w:val="0"/>
          <w:numId w:val="1001"/>
        </w:numPr>
      </w:pPr>
      <w:r>
        <w:rPr>
          <w:b/>
          <w:bCs/>
        </w:rPr>
        <w:t xml:space="preserve">These windows are staggered but overlapping.</w:t>
      </w:r>
      <w:r>
        <w:t xml:space="preserve"> </w:t>
      </w:r>
      <w:r>
        <w:t xml:space="preserve">The fetus cannot build all systems simultaneously. Construction is sequenced, but between weeks 23 and 36, nearly all windows overlap — creating a convergent super-window of maximum vulnerability.</w:t>
      </w:r>
    </w:p>
    <w:p>
      <w:pPr>
        <w:numPr>
          <w:ilvl w:val="0"/>
          <w:numId w:val="1001"/>
        </w:numPr>
      </w:pPr>
      <w:r>
        <w:rPr>
          <w:b/>
          <w:bCs/>
        </w:rPr>
        <w:t xml:space="preserve">The specific timing of oxygen disruption determines which systems sustain injury.</w:t>
      </w:r>
      <w:r>
        <w:t xml:space="preserve"> </w:t>
      </w:r>
      <w:r>
        <w:t xml:space="preserve">Which developmental windows are open at the moment of insult determines which systems absorb injury. The injury is latent — normal clinical assessment at birth, symptoms emerging months to decades later when functional demand exceeds compromised capacity.</w:t>
      </w:r>
    </w:p>
    <w:bookmarkEnd w:id="16"/>
    <w:bookmarkStart w:id="17" w:name="the-vulnerable-cell-principle"/>
    <w:p>
      <w:pPr>
        <w:pStyle w:val="Heading3"/>
      </w:pPr>
      <w:r>
        <w:t xml:space="preserve">3.2 The Vulnerable Cell Principle</w:t>
      </w:r>
    </w:p>
    <w:p>
      <w:pPr>
        <w:pStyle w:val="FirstParagraph"/>
      </w:pPr>
      <w:r>
        <w:t xml:space="preserve">Every organ system has its equivalent of the pre-oligodendrocyte — a specific progenitor cell type operating during a defined developmental window, whose injury produces a latent deficit:</w:t>
      </w:r>
    </w:p>
    <w:tbl>
      <w:tblPr>
        <w:tblStyle w:val="Table"/>
        <w:tblW w:type="pct" w:w="5000"/>
        <w:tblLayout w:type="fixed"/>
        <w:tblLook w:firstRow="1" w:lastRow="0" w:firstColumn="0" w:lastColumn="0" w:noHBand="0" w:noVBand="0" w:val="0020"/>
      </w:tblPr>
      <w:tblGrid>
        <w:gridCol w:w="1021"/>
        <w:gridCol w:w="2043"/>
        <w:gridCol w:w="2427"/>
        <w:gridCol w:w="1149"/>
        <w:gridCol w:w="1277"/>
      </w:tblGrid>
      <w:tr>
        <w:trPr>
          <w:tblHeader w:val="on"/>
        </w:trPr>
        <w:tc>
          <w:tcPr/>
          <w:p>
            <w:pPr>
              <w:pStyle w:val="Compact"/>
            </w:pPr>
            <w:r>
              <w:t xml:space="preserve">System</w:t>
            </w:r>
          </w:p>
        </w:tc>
        <w:tc>
          <w:tcPr/>
          <w:p>
            <w:pPr>
              <w:pStyle w:val="Compact"/>
            </w:pPr>
            <w:r>
              <w:t xml:space="preserve">Vulnerable Cell</w:t>
            </w:r>
          </w:p>
        </w:tc>
        <w:tc>
          <w:tcPr/>
          <w:p>
            <w:pPr>
              <w:pStyle w:val="Compact"/>
            </w:pPr>
            <w:r>
              <w:t xml:space="preserve">Window (weeks GA)</w:t>
            </w:r>
          </w:p>
        </w:tc>
        <w:tc>
          <w:tcPr/>
          <w:p>
            <w:pPr>
              <w:pStyle w:val="Compact"/>
            </w:pPr>
            <w:r>
              <w:t xml:space="preserve">Closure</w:t>
            </w:r>
          </w:p>
        </w:tc>
        <w:tc>
          <w:tcPr/>
          <w:p>
            <w:pPr>
              <w:pStyle w:val="Compact"/>
            </w:pPr>
            <w:r>
              <w:t xml:space="preserve">Evidence</w:t>
            </w:r>
          </w:p>
        </w:tc>
      </w:tr>
      <w:tr>
        <w:tc>
          <w:tcPr/>
          <w:p>
            <w:pPr>
              <w:pStyle w:val="Compact"/>
            </w:pPr>
            <w:r>
              <w:t xml:space="preserve">White matter</w:t>
            </w:r>
          </w:p>
        </w:tc>
        <w:tc>
          <w:tcPr/>
          <w:p>
            <w:pPr>
              <w:pStyle w:val="Compact"/>
            </w:pPr>
            <w:r>
              <w:t xml:space="preserve">Pre-oligodendrocyte</w:t>
            </w:r>
          </w:p>
        </w:tc>
        <w:tc>
          <w:tcPr/>
          <w:p>
            <w:pPr>
              <w:pStyle w:val="Compact"/>
            </w:pPr>
            <w:r>
              <w:t xml:space="preserve">23–32</w:t>
            </w:r>
          </w:p>
        </w:tc>
        <w:tc>
          <w:tcPr/>
          <w:p>
            <w:pPr>
              <w:pStyle w:val="Compact"/>
            </w:pPr>
            <w:r>
              <w:t xml:space="preserve">Partial — OPCs persist</w:t>
            </w:r>
          </w:p>
        </w:tc>
        <w:tc>
          <w:tcPr/>
          <w:p>
            <w:pPr>
              <w:pStyle w:val="Compact"/>
            </w:pPr>
            <w:r>
              <w:t xml:space="preserve">Strong [4–6]</w:t>
            </w:r>
          </w:p>
        </w:tc>
      </w:tr>
      <w:tr>
        <w:tc>
          <w:tcPr/>
          <w:p>
            <w:pPr>
              <w:pStyle w:val="Compact"/>
            </w:pPr>
            <w:r>
              <w:t xml:space="preserve">Renal</w:t>
            </w:r>
          </w:p>
        </w:tc>
        <w:tc>
          <w:tcPr/>
          <w:p>
            <w:pPr>
              <w:pStyle w:val="Compact"/>
            </w:pPr>
            <w:r>
              <w:t xml:space="preserve">Six2+ nephron progenitor</w:t>
            </w:r>
          </w:p>
        </w:tc>
        <w:tc>
          <w:tcPr/>
          <w:p>
            <w:pPr>
              <w:pStyle w:val="Compact"/>
            </w:pPr>
            <w:r>
              <w:t xml:space="preserve">20–36</w:t>
            </w:r>
          </w:p>
        </w:tc>
        <w:tc>
          <w:tcPr/>
          <w:p>
            <w:pPr>
              <w:pStyle w:val="Compact"/>
            </w:pPr>
            <w:r>
              <w:rPr>
                <w:b/>
                <w:bCs/>
              </w:rPr>
              <w:t xml:space="preserve">Permanent</w:t>
            </w:r>
            <w:r>
              <w:t xml:space="preserve"> </w:t>
            </w:r>
            <w:r>
              <w:t xml:space="preserve">— no postnatal nephrons</w:t>
            </w:r>
          </w:p>
        </w:tc>
        <w:tc>
          <w:tcPr/>
          <w:p>
            <w:pPr>
              <w:pStyle w:val="Compact"/>
            </w:pPr>
            <w:r>
              <w:t xml:space="preserve">Strong [7,8]</w:t>
            </w:r>
          </w:p>
        </w:tc>
      </w:tr>
      <w:tr>
        <w:tc>
          <w:tcPr/>
          <w:p>
            <w:pPr>
              <w:pStyle w:val="Compact"/>
            </w:pPr>
            <w:r>
              <w:t xml:space="preserve">Cardiac</w:t>
            </w:r>
          </w:p>
        </w:tc>
        <w:tc>
          <w:tcPr/>
          <w:p>
            <w:pPr>
              <w:pStyle w:val="Compact"/>
            </w:pPr>
            <w:r>
              <w:t xml:space="preserve">Proliferating cardiomyocyte</w:t>
            </w:r>
          </w:p>
        </w:tc>
        <w:tc>
          <w:tcPr/>
          <w:p>
            <w:pPr>
              <w:pStyle w:val="Compact"/>
            </w:pPr>
            <w:r>
              <w:t xml:space="preserve">20–38</w:t>
            </w:r>
          </w:p>
        </w:tc>
        <w:tc>
          <w:tcPr/>
          <w:p>
            <w:pPr>
              <w:pStyle w:val="Compact"/>
            </w:pPr>
            <w:r>
              <w:t xml:space="preserve">Effective — ~1%/yr renewal</w:t>
            </w:r>
          </w:p>
        </w:tc>
        <w:tc>
          <w:tcPr/>
          <w:p>
            <w:pPr>
              <w:pStyle w:val="Compact"/>
            </w:pPr>
            <w:r>
              <w:t xml:space="preserve">Moderate [10]</w:t>
            </w:r>
          </w:p>
        </w:tc>
      </w:tr>
      <w:tr>
        <w:tc>
          <w:tcPr/>
          <w:p>
            <w:pPr>
              <w:pStyle w:val="Compact"/>
            </w:pPr>
            <w:r>
              <w:t xml:space="preserve">Hippocampal</w:t>
            </w:r>
          </w:p>
        </w:tc>
        <w:tc>
          <w:tcPr/>
          <w:p>
            <w:pPr>
              <w:pStyle w:val="Compact"/>
            </w:pPr>
            <w:r>
              <w:t xml:space="preserve">CA1 pyramidal neuron</w:t>
            </w:r>
          </w:p>
        </w:tc>
        <w:tc>
          <w:tcPr/>
          <w:p>
            <w:pPr>
              <w:pStyle w:val="Compact"/>
            </w:pPr>
            <w:r>
              <w:t xml:space="preserve">22–36</w:t>
            </w:r>
          </w:p>
        </w:tc>
        <w:tc>
          <w:tcPr/>
          <w:p>
            <w:pPr>
              <w:pStyle w:val="Compact"/>
            </w:pPr>
            <w:r>
              <w:t xml:space="preserve">Neurogenesis largely complete</w:t>
            </w:r>
          </w:p>
        </w:tc>
        <w:tc>
          <w:tcPr/>
          <w:p>
            <w:pPr>
              <w:pStyle w:val="Compact"/>
            </w:pPr>
            <w:r>
              <w:t xml:space="preserve">Strong [11]</w:t>
            </w:r>
          </w:p>
        </w:tc>
      </w:tr>
      <w:tr>
        <w:tc>
          <w:tcPr/>
          <w:p>
            <w:pPr>
              <w:pStyle w:val="Compact"/>
            </w:pPr>
            <w:r>
              <w:t xml:space="preserve">Cerebellar</w:t>
            </w:r>
          </w:p>
        </w:tc>
        <w:tc>
          <w:tcPr/>
          <w:p>
            <w:pPr>
              <w:pStyle w:val="Compact"/>
            </w:pPr>
            <w:r>
              <w:t xml:space="preserve">Purkinje cell</w:t>
            </w:r>
          </w:p>
        </w:tc>
        <w:tc>
          <w:tcPr/>
          <w:p>
            <w:pPr>
              <w:pStyle w:val="Compact"/>
            </w:pPr>
            <w:r>
              <w:t xml:space="preserve">24–36+</w:t>
            </w:r>
          </w:p>
        </w:tc>
        <w:tc>
          <w:tcPr/>
          <w:p>
            <w:pPr>
              <w:pStyle w:val="Compact"/>
            </w:pPr>
            <w:r>
              <w:t xml:space="preserve">Cannot be replaced</w:t>
            </w:r>
          </w:p>
        </w:tc>
        <w:tc>
          <w:tcPr/>
          <w:p>
            <w:pPr>
              <w:pStyle w:val="Compact"/>
            </w:pPr>
            <w:r>
              <w:t xml:space="preserve">Strong [9]</w:t>
            </w:r>
          </w:p>
        </w:tc>
      </w:tr>
      <w:tr>
        <w:tc>
          <w:tcPr/>
          <w:p>
            <w:pPr>
              <w:pStyle w:val="Compact"/>
            </w:pPr>
            <w:r>
              <w:t xml:space="preserve">Immune</w:t>
            </w:r>
          </w:p>
        </w:tc>
        <w:tc>
          <w:tcPr/>
          <w:p>
            <w:pPr>
              <w:pStyle w:val="Compact"/>
            </w:pPr>
            <w:r>
              <w:t xml:space="preserve">DP thymocyte</w:t>
            </w:r>
          </w:p>
        </w:tc>
        <w:tc>
          <w:tcPr/>
          <w:p>
            <w:pPr>
              <w:pStyle w:val="Compact"/>
            </w:pPr>
            <w:r>
              <w:t xml:space="preserve">12–36</w:t>
            </w:r>
          </w:p>
        </w:tc>
        <w:tc>
          <w:tcPr/>
          <w:p>
            <w:pPr>
              <w:pStyle w:val="Compact"/>
            </w:pPr>
            <w:r>
              <w:t xml:space="preserve">Thymic involution begins</w:t>
            </w:r>
          </w:p>
        </w:tc>
        <w:tc>
          <w:tcPr/>
          <w:p>
            <w:pPr>
              <w:pStyle w:val="Compact"/>
            </w:pPr>
            <w:r>
              <w:t xml:space="preserve">Moderate [18]</w:t>
            </w:r>
          </w:p>
        </w:tc>
      </w:tr>
      <w:tr>
        <w:tc>
          <w:tcPr/>
          <w:p>
            <w:pPr>
              <w:pStyle w:val="Compact"/>
            </w:pPr>
            <w:r>
              <w:t xml:space="preserve">Pancreatic</w:t>
            </w:r>
          </w:p>
        </w:tc>
        <w:tc>
          <w:tcPr/>
          <w:p>
            <w:pPr>
              <w:pStyle w:val="Compact"/>
            </w:pPr>
            <w:r>
              <w:t xml:space="preserve">β-cell</w:t>
            </w:r>
          </w:p>
        </w:tc>
        <w:tc>
          <w:tcPr/>
          <w:p>
            <w:pPr>
              <w:pStyle w:val="Compact"/>
            </w:pPr>
            <w:r>
              <w:t xml:space="preserve">20–38</w:t>
            </w:r>
          </w:p>
        </w:tc>
        <w:tc>
          <w:tcPr/>
          <w:p>
            <w:pPr>
              <w:pStyle w:val="Compact"/>
            </w:pPr>
            <w:r>
              <w:t xml:space="preserve">Limited postnatal expansion</w:t>
            </w:r>
          </w:p>
        </w:tc>
        <w:tc>
          <w:tcPr/>
          <w:p>
            <w:pPr>
              <w:pStyle w:val="Compact"/>
            </w:pPr>
            <w:r>
              <w:t xml:space="preserve">Moderate [19]</w:t>
            </w:r>
          </w:p>
        </w:tc>
      </w:tr>
      <w:tr>
        <w:tc>
          <w:tcPr/>
          <w:p>
            <w:pPr>
              <w:pStyle w:val="Compact"/>
            </w:pPr>
            <w:r>
              <w:t xml:space="preserve">Pulmonary</w:t>
            </w:r>
          </w:p>
        </w:tc>
        <w:tc>
          <w:tcPr/>
          <w:p>
            <w:pPr>
              <w:pStyle w:val="Compact"/>
            </w:pPr>
            <w:r>
              <w:t xml:space="preserve">ATII epithelial cell</w:t>
            </w:r>
          </w:p>
        </w:tc>
        <w:tc>
          <w:tcPr/>
          <w:p>
            <w:pPr>
              <w:pStyle w:val="Compact"/>
            </w:pPr>
            <w:r>
              <w:t xml:space="preserve">24–36</w:t>
            </w:r>
          </w:p>
        </w:tc>
        <w:tc>
          <w:tcPr/>
          <w:p>
            <w:pPr>
              <w:pStyle w:val="Compact"/>
            </w:pPr>
            <w:r>
              <w:t xml:space="preserve">Alveolarisation extends ~3 yr</w:t>
            </w:r>
          </w:p>
        </w:tc>
        <w:tc>
          <w:tcPr/>
          <w:p>
            <w:pPr>
              <w:pStyle w:val="Compact"/>
            </w:pPr>
            <w:r>
              <w:t xml:space="preserve">Moderate [20]</w:t>
            </w:r>
          </w:p>
        </w:tc>
      </w:tr>
      <w:tr>
        <w:tc>
          <w:tcPr/>
          <w:p>
            <w:pPr>
              <w:pStyle w:val="Compact"/>
            </w:pPr>
            <w:r>
              <w:t xml:space="preserve">Cortical</w:t>
            </w:r>
          </w:p>
        </w:tc>
        <w:tc>
          <w:tcPr/>
          <w:p>
            <w:pPr>
              <w:pStyle w:val="Compact"/>
            </w:pPr>
            <w:r>
              <w:t xml:space="preserve">Subplate neuron</w:t>
            </w:r>
          </w:p>
        </w:tc>
        <w:tc>
          <w:tcPr/>
          <w:p>
            <w:pPr>
              <w:pStyle w:val="Compact"/>
            </w:pPr>
            <w:r>
              <w:t xml:space="preserve">23–32</w:t>
            </w:r>
          </w:p>
        </w:tc>
        <w:tc>
          <w:tcPr/>
          <w:p>
            <w:pPr>
              <w:pStyle w:val="Compact"/>
            </w:pPr>
            <w:r>
              <w:t xml:space="preserve">Transient — programmed death</w:t>
            </w:r>
          </w:p>
        </w:tc>
        <w:tc>
          <w:tcPr/>
          <w:p>
            <w:pPr>
              <w:pStyle w:val="Compact"/>
            </w:pPr>
            <w:r>
              <w:t xml:space="preserve">Moderate [21,22]</w:t>
            </w:r>
          </w:p>
        </w:tc>
      </w:tr>
      <w:tr>
        <w:tc>
          <w:tcPr/>
          <w:p>
            <w:pPr>
              <w:pStyle w:val="Compact"/>
            </w:pPr>
            <w:r>
              <w:t xml:space="preserve">Retinal</w:t>
            </w:r>
          </w:p>
        </w:tc>
        <w:tc>
          <w:tcPr/>
          <w:p>
            <w:pPr>
              <w:pStyle w:val="Compact"/>
            </w:pPr>
            <w:r>
              <w:t xml:space="preserve">RGC + vascular endothelium</w:t>
            </w:r>
          </w:p>
        </w:tc>
        <w:tc>
          <w:tcPr/>
          <w:p>
            <w:pPr>
              <w:pStyle w:val="Compact"/>
            </w:pPr>
            <w:r>
              <w:t xml:space="preserve">14–32</w:t>
            </w:r>
          </w:p>
        </w:tc>
        <w:tc>
          <w:tcPr/>
          <w:p>
            <w:pPr>
              <w:pStyle w:val="Compact"/>
            </w:pPr>
            <w:r>
              <w:t xml:space="preserve">Vascularisation completes</w:t>
            </w:r>
          </w:p>
        </w:tc>
        <w:tc>
          <w:tcPr/>
          <w:p>
            <w:pPr>
              <w:pStyle w:val="Compact"/>
            </w:pPr>
            <w:r>
              <w:t xml:space="preserve">Strong [23]</w:t>
            </w:r>
          </w:p>
        </w:tc>
      </w:tr>
    </w:tbl>
    <w:p>
      <w:pPr>
        <w:pStyle w:val="BodyText"/>
      </w:pPr>
      <w:r>
        <w:t xml:space="preserve">Multiple systems follow a</w:t>
      </w:r>
      <w:r>
        <w:t xml:space="preserve"> </w:t>
      </w:r>
      <w:r>
        <w:rPr>
          <w:b/>
          <w:bCs/>
        </w:rPr>
        <w:t xml:space="preserve">fixed endowment principle</w:t>
      </w:r>
      <w:r>
        <w:t xml:space="preserve">: the cell population established during fetal life represents the lifetime reserve. Nephrons close at 36 weeks with a 10-fold range in human nephron number (200,000 to &gt;2,000,000); low endowment predicts hypertension and CKD decades later [7,8]. Purkinje cells cannot be replaced — their loss is the most consistently replicated neuropathological finding in autism [9]. Cardiomyocytes renew at approximately 1% per year; the fetal endowment determines lifetime cardiac reserve [10].</w:t>
      </w:r>
    </w:p>
    <w:bookmarkEnd w:id="17"/>
    <w:bookmarkStart w:id="18" w:name="the-2336-week-super-window"/>
    <w:p>
      <w:pPr>
        <w:pStyle w:val="Heading3"/>
      </w:pPr>
      <w:r>
        <w:t xml:space="preserve">3.3 The 23–36 Week Super-Window</w:t>
      </w:r>
    </w:p>
    <w:p>
      <w:pPr>
        <w:pStyle w:val="FirstParagraph"/>
      </w:pPr>
      <w:r>
        <w:t xml:space="preserve">Mapping all ten systems onto a gestational timeline reveals that 9–10 of 10 organ systems are simultaneously in their vulnerability windows during weeks 23–36, with peak convergence at weeks 24–32. This is not coincidence — it reflects embryological timing: the fetus builds most of its organs during the window when the placenta provides maximum nutrient and oxygen transfer capacity.</w:t>
      </w:r>
    </w:p>
    <w:p>
      <w:pPr>
        <w:pStyle w:val="BodyText"/>
      </w:pPr>
      <w:r>
        <w:t xml:space="preserve">Preeclampsia typically develops and worsens during exactly this window. Early-onset preeclampsia (EOPE, &lt;34 weeks) may present from ~20 weeks; late-onset preeclampsia (LOPE, ≥34 weeks) develops after most critical windows have begun closing. The alignment model predicts that EOPE and LOPE should produce qualitatively different offspring outcome profiles — not merely different severity. When tested, different molecular signatures do emerge: EOPE and LOPE placentas show distinguishable DNA methylation patterns [24], and different lipid profiles by onset timing [25].</w:t>
      </w:r>
    </w:p>
    <w:bookmarkEnd w:id="18"/>
    <w:bookmarkStart w:id="19" w:name="stacking-the-combination-effect"/>
    <w:p>
      <w:pPr>
        <w:pStyle w:val="Heading3"/>
      </w:pPr>
      <w:r>
        <w:t xml:space="preserve">3.4 Stacking: The Combination Effect</w:t>
      </w:r>
    </w:p>
    <w:p>
      <w:pPr>
        <w:pStyle w:val="FirstParagraph"/>
      </w:pPr>
      <w:r>
        <w:t xml:space="preserve">A single deprivation event during a single vulnerability window produces a single-system latent deficit. But preeclampsia is chronic with episodic exacerbations across weeks to months. Multiple events hit multiple open windows. Each event may be subclinical individually; combined, they accumulate across systems. Each system absorbs its injury silently. Each failure is diagnosed independently: speech delay at age 3, motor issues at age 5, learning difficulty at age 7, hypertension at age 35, metabolic syndrome at age 45.</w:t>
      </w:r>
    </w:p>
    <w:p>
      <w:pPr>
        <w:pStyle w:val="BodyText"/>
      </w:pPr>
      <w:r>
        <w:t xml:space="preserve">No clinician connects them because they present as separate diseases at separate times to separate specialists.</w:t>
      </w:r>
    </w:p>
    <w:bookmarkEnd w:id="19"/>
    <w:bookmarkStart w:id="20" w:name="the-demand-spike-timeline"/>
    <w:p>
      <w:pPr>
        <w:pStyle w:val="Heading3"/>
      </w:pPr>
      <w:r>
        <w:t xml:space="preserve">3.5 The Demand Spike Timeline</w:t>
      </w:r>
    </w:p>
    <w:p>
      <w:pPr>
        <w:pStyle w:val="FirstParagraph"/>
      </w:pPr>
      <w:r>
        <w:t xml:space="preserve">Each injured system reaches its functional failure point at a different age — when demand exceeds the compromised capacity:</w:t>
      </w:r>
    </w:p>
    <w:p>
      <w:pPr>
        <w:pStyle w:val="Compact"/>
        <w:numPr>
          <w:ilvl w:val="0"/>
          <w:numId w:val="1002"/>
        </w:numPr>
      </w:pPr>
      <w:r>
        <w:rPr>
          <w:b/>
          <w:bCs/>
        </w:rPr>
        <w:t xml:space="preserve">Birth:</w:t>
      </w:r>
      <w:r>
        <w:t xml:space="preserve"> </w:t>
      </w:r>
      <w:r>
        <w:t xml:space="preserve">Respiratory (surfactant)</w:t>
      </w:r>
    </w:p>
    <w:p>
      <w:pPr>
        <w:pStyle w:val="Compact"/>
        <w:numPr>
          <w:ilvl w:val="0"/>
          <w:numId w:val="1002"/>
        </w:numPr>
      </w:pPr>
      <w:r>
        <w:rPr>
          <w:b/>
          <w:bCs/>
        </w:rPr>
        <w:t xml:space="preserve">6–18 months:</w:t>
      </w:r>
      <w:r>
        <w:t xml:space="preserve"> </w:t>
      </w:r>
      <w:r>
        <w:t xml:space="preserve">Motor (cerebellar)</w:t>
      </w:r>
    </w:p>
    <w:p>
      <w:pPr>
        <w:pStyle w:val="Compact"/>
        <w:numPr>
          <w:ilvl w:val="0"/>
          <w:numId w:val="1002"/>
        </w:numPr>
      </w:pPr>
      <w:r>
        <w:rPr>
          <w:b/>
          <w:bCs/>
        </w:rPr>
        <w:t xml:space="preserve">18–36 months:</w:t>
      </w:r>
      <w:r>
        <w:t xml:space="preserve"> </w:t>
      </w:r>
      <w:r>
        <w:t xml:space="preserve">Language (white matter — arcuate fasciculus)</w:t>
      </w:r>
    </w:p>
    <w:p>
      <w:pPr>
        <w:pStyle w:val="Compact"/>
        <w:numPr>
          <w:ilvl w:val="0"/>
          <w:numId w:val="1002"/>
        </w:numPr>
      </w:pPr>
      <w:r>
        <w:rPr>
          <w:b/>
          <w:bCs/>
        </w:rPr>
        <w:t xml:space="preserve">2–5 years:</w:t>
      </w:r>
      <w:r>
        <w:t xml:space="preserve"> </w:t>
      </w:r>
      <w:r>
        <w:t xml:space="preserve">Social cognition (uncinate fasciculus, cingulum)</w:t>
      </w:r>
    </w:p>
    <w:p>
      <w:pPr>
        <w:pStyle w:val="Compact"/>
        <w:numPr>
          <w:ilvl w:val="0"/>
          <w:numId w:val="1002"/>
        </w:numPr>
      </w:pPr>
      <w:r>
        <w:rPr>
          <w:b/>
          <w:bCs/>
        </w:rPr>
        <w:t xml:space="preserve">5–6 years:</w:t>
      </w:r>
      <w:r>
        <w:t xml:space="preserve"> </w:t>
      </w:r>
      <w:r>
        <w:t xml:space="preserve">Memory/learning (hippocampus)</w:t>
      </w:r>
    </w:p>
    <w:p>
      <w:pPr>
        <w:pStyle w:val="Compact"/>
        <w:numPr>
          <w:ilvl w:val="0"/>
          <w:numId w:val="1002"/>
        </w:numPr>
      </w:pPr>
      <w:r>
        <w:rPr>
          <w:b/>
          <w:bCs/>
        </w:rPr>
        <w:t xml:space="preserve">Adolescence:</w:t>
      </w:r>
      <w:r>
        <w:t xml:space="preserve"> </w:t>
      </w:r>
      <w:r>
        <w:t xml:space="preserve">Executive function (prefrontal); autoimmune onset</w:t>
      </w:r>
    </w:p>
    <w:p>
      <w:pPr>
        <w:pStyle w:val="Compact"/>
        <w:numPr>
          <w:ilvl w:val="0"/>
          <w:numId w:val="1002"/>
        </w:numPr>
      </w:pPr>
      <w:r>
        <w:rPr>
          <w:b/>
          <w:bCs/>
        </w:rPr>
        <w:t xml:space="preserve">20s–30s:</w:t>
      </w:r>
      <w:r>
        <w:t xml:space="preserve"> </w:t>
      </w:r>
      <w:r>
        <w:t xml:space="preserve">Social-emotional (UF myelinates to age 30 [26])</w:t>
      </w:r>
    </w:p>
    <w:p>
      <w:pPr>
        <w:pStyle w:val="Compact"/>
        <w:numPr>
          <w:ilvl w:val="0"/>
          <w:numId w:val="1002"/>
        </w:numPr>
      </w:pPr>
      <w:r>
        <w:rPr>
          <w:b/>
          <w:bCs/>
        </w:rPr>
        <w:t xml:space="preserve">35–50:</w:t>
      </w:r>
      <w:r>
        <w:t xml:space="preserve"> </w:t>
      </w:r>
      <w:r>
        <w:t xml:space="preserve">Cardiovascular; hypertension (nephron reserve)</w:t>
      </w:r>
    </w:p>
    <w:p>
      <w:pPr>
        <w:pStyle w:val="Compact"/>
        <w:numPr>
          <w:ilvl w:val="0"/>
          <w:numId w:val="1002"/>
        </w:numPr>
      </w:pPr>
      <w:r>
        <w:rPr>
          <w:b/>
          <w:bCs/>
        </w:rPr>
        <w:t xml:space="preserve">40–60:</w:t>
      </w:r>
      <w:r>
        <w:t xml:space="preserve"> </w:t>
      </w:r>
      <w:r>
        <w:t xml:space="preserve">Type 2 diabetes (β-cell failure)</w:t>
      </w:r>
    </w:p>
    <w:p>
      <w:pPr>
        <w:pStyle w:val="FirstParagraph"/>
      </w:pPr>
      <w:r>
        <w:t xml:space="preserve">The same vasospasm at week 28 can produce a speech delay at age 3 and a heart attack at age 55. They are diagnosed 52 years apart.</w:t>
      </w:r>
    </w:p>
    <w:p>
      <w:r>
        <w:pict>
          <v:rect style="width:0;height:1.5pt" o:hralign="center" o:hrstd="t" o:hr="t"/>
        </w:pict>
      </w:r>
    </w:p>
    <w:bookmarkEnd w:id="20"/>
    <w:bookmarkEnd w:id="21"/>
    <w:bookmarkStart w:id="26" w:name="Xa5ee8860ac530638454aafa8c9cff445a0f3c12"/>
    <w:p>
      <w:pPr>
        <w:pStyle w:val="Heading2"/>
      </w:pPr>
      <w:r>
        <w:t xml:space="preserve">4. THE MOLECULAR MECHANISM: HIF-1α AND ITS COUNTER-REGULATION</w:t>
      </w:r>
    </w:p>
    <w:bookmarkStart w:id="22" w:name="hif-1α-as-the-common-thread"/>
    <w:p>
      <w:pPr>
        <w:pStyle w:val="Heading3"/>
      </w:pPr>
      <w:r>
        <w:t xml:space="preserve">4.1 HIF-1α as the Common Thread</w:t>
      </w:r>
    </w:p>
    <w:p>
      <w:pPr>
        <w:pStyle w:val="FirstParagraph"/>
      </w:pPr>
      <w:r>
        <w:t xml:space="preserve">Hypoxia-Inducible Factor 1-alpha (HIF-1α) is the master transcriptional regulator of the hypoxic response, activating &gt;100 target genes. It operates in every developing organ system mapped in this model [27–29]. When oxygen drops, HIF-1α stabilises and activates developmental programmes. When oxygen is restored, HIF-1α is degraded. When oxygen oscillates — as in preeclamptic vasospasm — HIF-mediated programmes are disrupted simultaneously across every system in its construction phase.</w:t>
      </w:r>
    </w:p>
    <w:p>
      <w:pPr>
        <w:pStyle w:val="BodyText"/>
      </w:pPr>
      <w:r>
        <w:t xml:space="preserve">Oxygen is not merely fuel; it is a signalling molecule. Llurba Olive et al. [30] captured this:</w:t>
      </w:r>
      <w:r>
        <w:t xml:space="preserve"> </w:t>
      </w:r>
      <w:r>
        <w:t xml:space="preserve">“Low oxygen concentration (hypoxia) is part of normal embryonic development, yet the situation is complex. Oxygen is a janus gas.”</w:t>
      </w:r>
      <w:r>
        <w:t xml:space="preserve"> </w:t>
      </w:r>
      <w:r>
        <w:t xml:space="preserve">Both excess and insufficient oxygen damage developing white matter [31]. The critical requirement is the right oxygen at the right time.</w:t>
      </w:r>
    </w:p>
    <w:bookmarkEnd w:id="22"/>
    <w:bookmarkStart w:id="23" w:name="Xf03433d8620a2c2e6b30cc03eba6caa9e05a865"/>
    <w:p>
      <w:pPr>
        <w:pStyle w:val="Heading3"/>
      </w:pPr>
      <w:r>
        <w:t xml:space="preserve">4.2 The PHD–VHL–FIH Counter-Regulatory Apparatus</w:t>
      </w:r>
    </w:p>
    <w:p>
      <w:pPr>
        <w:pStyle w:val="FirstParagraph"/>
      </w:pPr>
      <w:r>
        <w:t xml:space="preserve">The 2019 Nobel Prize in Physiology or Medicine (Kaelin, Ratcliffe, Semenza) was awarded for elucidating the oxygen-sensing pathway that degrades HIF-1α [32]:</w:t>
      </w:r>
    </w:p>
    <w:p>
      <w:pPr>
        <w:pStyle w:val="BodyText"/>
      </w:pPr>
      <w:r>
        <w:t xml:space="preserve">Under normoxia, prolyl hydroxylase domain (PHD) enzymes hydroxylate HIF-1α at Pro402 and Pro564. The von Hippel-Lindau protein (pVHL) recognises the hydroxylated residues, recruits an E3 ubiquitin ligase complex, and targets HIF-1α for proteasomal degradation. HIF-1α half-life under normoxia: &lt;5 minutes [33]. Factor Inhibiting HIF (FIH) provides a second checkpoint, hydroxylating Asn803 to block transcriptional coactivator recruitment even when HIF-1α escapes degradation [34].</w:t>
      </w:r>
    </w:p>
    <w:p>
      <w:pPr>
        <w:pStyle w:val="BodyText"/>
      </w:pPr>
      <w:r>
        <w:t xml:space="preserve">The critical insight for this model: PHD enzymes require</w:t>
      </w:r>
      <w:r>
        <w:t xml:space="preserve"> </w:t>
      </w:r>
      <w:r>
        <w:rPr>
          <w:b/>
          <w:bCs/>
        </w:rPr>
        <w:t xml:space="preserve">four cofactors</w:t>
      </w:r>
      <w:r>
        <w:t xml:space="preserve"> </w:t>
      </w:r>
      <w:r>
        <w:t xml:space="preserve">— molecular oxygen, Fe²⁺ (iron), ascorbate (vitamin C), and 2-oxoglutarate (a TCA cycle intermediate) [35]. Deficiency of any one produces the same downstream effect as hypoxia — HIF-1α stabilisation and developmental programme disruption — even with normal oxygen levels. This is</w:t>
      </w:r>
      <w:r>
        <w:t xml:space="preserve"> </w:t>
      </w:r>
      <w:r>
        <w:rPr>
          <w:b/>
          <w:bCs/>
        </w:rPr>
        <w:t xml:space="preserve">pseudohypoxia</w:t>
      </w:r>
      <w:r>
        <w:t xml:space="preserve">.</w:t>
      </w:r>
    </w:p>
    <w:bookmarkEnd w:id="23"/>
    <w:bookmarkStart w:id="24" w:name="the-pseudohypoxia-extension"/>
    <w:p>
      <w:pPr>
        <w:pStyle w:val="Heading3"/>
      </w:pPr>
      <w:r>
        <w:t xml:space="preserve">4.3 The Pseudohypoxia Extension</w:t>
      </w:r>
    </w:p>
    <w:p>
      <w:pPr>
        <w:pStyle w:val="FirstParagraph"/>
      </w:pPr>
      <w:r>
        <w:t xml:space="preserve">PHD cofactor dependencies create multiple axes of dysregulation beyond oxygen:</w:t>
      </w:r>
    </w:p>
    <w:p>
      <w:pPr>
        <w:numPr>
          <w:ilvl w:val="0"/>
          <w:numId w:val="1003"/>
        </w:numPr>
      </w:pPr>
      <w:r>
        <w:rPr>
          <w:b/>
          <w:bCs/>
        </w:rPr>
        <w:t xml:space="preserve">Low iron → PHDs lose catalytic activity → pseudohypoxia.</w:t>
      </w:r>
      <w:r>
        <w:t xml:space="preserve"> </w:t>
      </w:r>
      <w:r>
        <w:t xml:space="preserve">Maternal iron deficiency affects 40–60% of pregnancies globally (WHO 2023). Iron is also required directly for myelin lipid synthesis [36] and OPC maturation [37], creating a triple mechanism through which iron deficiency impairs white matter development.</w:t>
      </w:r>
    </w:p>
    <w:p>
      <w:pPr>
        <w:numPr>
          <w:ilvl w:val="0"/>
          <w:numId w:val="1003"/>
        </w:numPr>
      </w:pPr>
      <w:r>
        <w:rPr>
          <w:b/>
          <w:bCs/>
        </w:rPr>
        <w:t xml:space="preserve">Low ascorbate → Fe²⁺ oxidised to Fe³⁺ → PHDs inactivated → pseudohypoxia.</w:t>
      </w:r>
      <w:r>
        <w:t xml:space="preserve"> </w:t>
      </w:r>
      <w:r>
        <w:t xml:space="preserve">More common in LMICs, smokers, poor nutrition.</w:t>
      </w:r>
    </w:p>
    <w:p>
      <w:pPr>
        <w:numPr>
          <w:ilvl w:val="0"/>
          <w:numId w:val="1003"/>
        </w:numPr>
      </w:pPr>
      <w:r>
        <w:rPr>
          <w:b/>
          <w:bCs/>
        </w:rPr>
        <w:t xml:space="preserve">Succinate accumulation → competitive PHD inhibition → pseudohypoxia.</w:t>
      </w:r>
      <w:r>
        <w:t xml:space="preserve"> </w:t>
      </w:r>
      <w:r>
        <w:t xml:space="preserve">Preeclamptic placentas produce altered metabolic intermediates from ischaemia-reperfusion [38]. Preeclampsia attacks the counter-regulation from both sides: reducing oxygen AND impairing the sensors.</w:t>
      </w:r>
    </w:p>
    <w:p>
      <w:pPr>
        <w:pStyle w:val="FirstParagraph"/>
      </w:pPr>
      <w:r>
        <w:t xml:space="preserve">FIH has a lower Km for O₂ than PHDs (~90 μM vs ~230–250 μM) [39], creating a graded two-tier system: moderate hypoxia → HIF-1α protein accumulates but is partially silenced; severe hypoxia → both PHDs and FIH fail → full activation. Mild and severe placental insufficiency activate different HIF-1α gene sets — different injuries, not just different severity.</w:t>
      </w:r>
    </w:p>
    <w:bookmarkEnd w:id="24"/>
    <w:bookmarkStart w:id="25" w:name="the-oscillation-amplifier"/>
    <w:p>
      <w:pPr>
        <w:pStyle w:val="Heading3"/>
      </w:pPr>
      <w:r>
        <w:t xml:space="preserve">4.4 The Oscillation Amplifier</w:t>
      </w:r>
    </w:p>
    <w:p>
      <w:pPr>
        <w:pStyle w:val="FirstParagraph"/>
      </w:pPr>
      <w:r>
        <w:t xml:space="preserve">The oscillation problem identified in white matter research [40] applies universally through HIF:</w:t>
      </w:r>
    </w:p>
    <w:p>
      <w:pPr>
        <w:pStyle w:val="Compact"/>
        <w:numPr>
          <w:ilvl w:val="0"/>
          <w:numId w:val="1004"/>
        </w:numPr>
      </w:pPr>
      <w:r>
        <w:t xml:space="preserve">Hypoxic dip → HIF-1α stabilises → arrests maturation</w:t>
      </w:r>
    </w:p>
    <w:p>
      <w:pPr>
        <w:pStyle w:val="Compact"/>
        <w:numPr>
          <w:ilvl w:val="0"/>
          <w:numId w:val="1004"/>
        </w:numPr>
      </w:pPr>
      <w:r>
        <w:t xml:space="preserve">Reoxygenation → HIF-1α degrades → generates reactive oxygen species → oxidative damage</w:t>
      </w:r>
    </w:p>
    <w:p>
      <w:pPr>
        <w:pStyle w:val="Compact"/>
        <w:numPr>
          <w:ilvl w:val="0"/>
          <w:numId w:val="1004"/>
        </w:numPr>
      </w:pPr>
      <w:r>
        <w:t xml:space="preserve">Next dip → maturation arrest deepens</w:t>
      </w:r>
    </w:p>
    <w:p>
      <w:pPr>
        <w:pStyle w:val="Compact"/>
        <w:numPr>
          <w:ilvl w:val="0"/>
          <w:numId w:val="1004"/>
        </w:numPr>
      </w:pPr>
      <w:r>
        <w:t xml:space="preserve">Next reoxygenation → cumulative oxidative burden</w:t>
      </w:r>
    </w:p>
    <w:p>
      <w:pPr>
        <w:pStyle w:val="FirstParagraph"/>
      </w:pPr>
      <w:r>
        <w:t xml:space="preserve">Each cycle hits developing cells from both directions. Preeclampsia produces exactly this pattern: episodic vasospasm → episodic placental insufficiency → episodic fetal hypoxia → episodic reoxygenation → cumulative multi-organ HIF oscillation damage.</w:t>
      </w:r>
    </w:p>
    <w:p>
      <w:r>
        <w:pict>
          <v:rect style="width:0;height:1.5pt" o:hralign="center" o:hrstd="t" o:hr="t"/>
        </w:pict>
      </w:r>
    </w:p>
    <w:bookmarkEnd w:id="25"/>
    <w:bookmarkEnd w:id="26"/>
    <w:bookmarkStart w:id="32" w:name="Xa27f6b1960a2c47d7140b1783eda00e87b09fd5"/>
    <w:p>
      <w:pPr>
        <w:pStyle w:val="Heading2"/>
      </w:pPr>
      <w:r>
        <w:t xml:space="preserve">5. THE WHITE MATTER CASE: THE MOST COMPLETE EVIDENCE CHAIN</w:t>
      </w:r>
    </w:p>
    <w:bookmarkStart w:id="27" w:name="opc-maturation-arrest"/>
    <w:p>
      <w:pPr>
        <w:pStyle w:val="Heading3"/>
      </w:pPr>
      <w:r>
        <w:t xml:space="preserve">5.1 OPC Maturation Arrest</w:t>
      </w:r>
    </w:p>
    <w:p>
      <w:pPr>
        <w:pStyle w:val="FirstParagraph"/>
      </w:pPr>
      <w:r>
        <w:t xml:space="preserve">The white matter model is the most fully evidenced instance of the general alignment principle. Back et al. [4,5] demonstrated that pre-oligodendrocytes (preOLs) — the precursor cells responsible for myelination — are selectively vulnerable to hypoxic-ischaemic injury during a defined gestational window (23–32 weeks). In a landmark finding, 72% of preOLs died following simulated ischaemia, while earlier and later-lineage cells survived [5]. Buser et al. [6] confirmed arrested preOL maturation in human preterm infant tissue — not cell death, but developmental stall.</w:t>
      </w:r>
    </w:p>
    <w:p>
      <w:pPr>
        <w:pStyle w:val="BodyText"/>
      </w:pPr>
      <w:r>
        <w:t xml:space="preserve">The mechanism: preOLs that survive injury fail to mature into myelinating oligodendrocytes. They proliferate but do not differentiate. Myelination does not proceed on schedule. White matter tracts remain undermyelinated — potentially indefinitely.</w:t>
      </w:r>
    </w:p>
    <w:bookmarkEnd w:id="27"/>
    <w:bookmarkStart w:id="28" w:name="X75688d040c7a3dafc3c48c74591ce523fa34ea9"/>
    <w:p>
      <w:pPr>
        <w:pStyle w:val="Heading3"/>
      </w:pPr>
      <w:r>
        <w:t xml:space="preserve">5.2 Staggered Deficit Emergence Along Myelination Timeline</w:t>
      </w:r>
    </w:p>
    <w:p>
      <w:pPr>
        <w:pStyle w:val="FirstParagraph"/>
      </w:pPr>
      <w:r>
        <w:t xml:space="preserve">Eight major white matter tracts myelinate on a staggered schedule [26,41–43]:</w:t>
      </w:r>
    </w:p>
    <w:tbl>
      <w:tblPr>
        <w:tblStyle w:val="Table"/>
        <w:tblW w:type="pct" w:w="5000"/>
        <w:tblLayout w:type="fixed"/>
        <w:tblLook w:firstRow="1" w:lastRow="0" w:firstColumn="0" w:lastColumn="0" w:noHBand="0" w:noVBand="0" w:val="0020"/>
      </w:tblPr>
      <w:tblGrid>
        <w:gridCol w:w="1232"/>
        <w:gridCol w:w="3344"/>
        <w:gridCol w:w="3344"/>
      </w:tblGrid>
      <w:tr>
        <w:trPr>
          <w:tblHeader w:val="on"/>
        </w:trPr>
        <w:tc>
          <w:tcPr/>
          <w:p>
            <w:pPr>
              <w:pStyle w:val="Compact"/>
            </w:pPr>
            <w:r>
              <w:t xml:space="preserve">Tract</w:t>
            </w:r>
          </w:p>
        </w:tc>
        <w:tc>
          <w:tcPr/>
          <w:p>
            <w:pPr>
              <w:pStyle w:val="Compact"/>
            </w:pPr>
            <w:r>
              <w:t xml:space="preserve">Myelination Period</w:t>
            </w:r>
          </w:p>
        </w:tc>
        <w:tc>
          <w:tcPr/>
          <w:p>
            <w:pPr>
              <w:pStyle w:val="Compact"/>
            </w:pPr>
            <w:r>
              <w:t xml:space="preserve">Functional Domain</w:t>
            </w:r>
          </w:p>
        </w:tc>
      </w:tr>
      <w:tr>
        <w:tc>
          <w:tcPr/>
          <w:p>
            <w:pPr>
              <w:pStyle w:val="Compact"/>
            </w:pPr>
            <w:r>
              <w:t xml:space="preserve">Corticospinal tract</w:t>
            </w:r>
          </w:p>
        </w:tc>
        <w:tc>
          <w:tcPr/>
          <w:p>
            <w:pPr>
              <w:pStyle w:val="Compact"/>
            </w:pPr>
            <w:r>
              <w:t xml:space="preserve">Birth–2 years</w:t>
            </w:r>
          </w:p>
        </w:tc>
        <w:tc>
          <w:tcPr/>
          <w:p>
            <w:pPr>
              <w:pStyle w:val="Compact"/>
            </w:pPr>
            <w:r>
              <w:t xml:space="preserve">Motor control</w:t>
            </w:r>
          </w:p>
        </w:tc>
      </w:tr>
      <w:tr>
        <w:tc>
          <w:tcPr/>
          <w:p>
            <w:pPr>
              <w:pStyle w:val="Compact"/>
            </w:pPr>
            <w:r>
              <w:t xml:space="preserve">Corpus callosum (body)</w:t>
            </w:r>
          </w:p>
        </w:tc>
        <w:tc>
          <w:tcPr/>
          <w:p>
            <w:pPr>
              <w:pStyle w:val="Compact"/>
            </w:pPr>
            <w:r>
              <w:t xml:space="preserve">1–35 years</w:t>
            </w:r>
          </w:p>
        </w:tc>
        <w:tc>
          <w:tcPr/>
          <w:p>
            <w:pPr>
              <w:pStyle w:val="Compact"/>
            </w:pPr>
            <w:r>
              <w:t xml:space="preserve">Interhemispheric integration</w:t>
            </w:r>
          </w:p>
        </w:tc>
      </w:tr>
      <w:tr>
        <w:tc>
          <w:tcPr/>
          <w:p>
            <w:pPr>
              <w:pStyle w:val="Compact"/>
            </w:pPr>
            <w:r>
              <w:t xml:space="preserve">Superior longitudinal fasciculus</w:t>
            </w:r>
          </w:p>
        </w:tc>
        <w:tc>
          <w:tcPr/>
          <w:p>
            <w:pPr>
              <w:pStyle w:val="Compact"/>
            </w:pPr>
            <w:r>
              <w:t xml:space="preserve">2–12 years</w:t>
            </w:r>
          </w:p>
        </w:tc>
        <w:tc>
          <w:tcPr/>
          <w:p>
            <w:pPr>
              <w:pStyle w:val="Compact"/>
            </w:pPr>
            <w:r>
              <w:t xml:space="preserve">Articulation, phonological processing</w:t>
            </w:r>
          </w:p>
        </w:tc>
      </w:tr>
      <w:tr>
        <w:tc>
          <w:tcPr/>
          <w:p>
            <w:pPr>
              <w:pStyle w:val="Compact"/>
            </w:pPr>
            <w:r>
              <w:t xml:space="preserve">Arcuate fasciculus</w:t>
            </w:r>
          </w:p>
        </w:tc>
        <w:tc>
          <w:tcPr/>
          <w:p>
            <w:pPr>
              <w:pStyle w:val="Compact"/>
            </w:pPr>
            <w:r>
              <w:t xml:space="preserve">3–15 years</w:t>
            </w:r>
          </w:p>
        </w:tc>
        <w:tc>
          <w:tcPr/>
          <w:p>
            <w:pPr>
              <w:pStyle w:val="Compact"/>
            </w:pPr>
            <w:r>
              <w:t xml:space="preserve">Complex syntax, language comprehension</w:t>
            </w:r>
          </w:p>
        </w:tc>
      </w:tr>
      <w:tr>
        <w:tc>
          <w:tcPr/>
          <w:p>
            <w:pPr>
              <w:pStyle w:val="Compact"/>
            </w:pPr>
            <w:r>
              <w:t xml:space="preserve">Inferior longitudinal fasciculus</w:t>
            </w:r>
          </w:p>
        </w:tc>
        <w:tc>
          <w:tcPr/>
          <w:p>
            <w:pPr>
              <w:pStyle w:val="Compact"/>
            </w:pPr>
            <w:r>
              <w:t xml:space="preserve">4–30 years</w:t>
            </w:r>
          </w:p>
        </w:tc>
        <w:tc>
          <w:tcPr/>
          <w:p>
            <w:pPr>
              <w:pStyle w:val="Compact"/>
            </w:pPr>
            <w:r>
              <w:t xml:space="preserve">Face recognition, visual-emotional</w:t>
            </w:r>
          </w:p>
        </w:tc>
      </w:tr>
      <w:tr>
        <w:tc>
          <w:tcPr/>
          <w:p>
            <w:pPr>
              <w:pStyle w:val="Compact"/>
            </w:pPr>
            <w:r>
              <w:t xml:space="preserve">Inferior fronto-occipital fasciculus</w:t>
            </w:r>
          </w:p>
        </w:tc>
        <w:tc>
          <w:tcPr/>
          <w:p>
            <w:pPr>
              <w:pStyle w:val="Compact"/>
            </w:pPr>
            <w:r>
              <w:t xml:space="preserve">4–30 years</w:t>
            </w:r>
          </w:p>
        </w:tc>
        <w:tc>
          <w:tcPr/>
          <w:p>
            <w:pPr>
              <w:pStyle w:val="Compact"/>
            </w:pPr>
            <w:r>
              <w:t xml:space="preserve">Semantic processing</w:t>
            </w:r>
          </w:p>
        </w:tc>
      </w:tr>
      <w:tr>
        <w:tc>
          <w:tcPr/>
          <w:p>
            <w:pPr>
              <w:pStyle w:val="Compact"/>
            </w:pPr>
            <w:r>
              <w:t xml:space="preserve">Cingulum</w:t>
            </w:r>
          </w:p>
        </w:tc>
        <w:tc>
          <w:tcPr/>
          <w:p>
            <w:pPr>
              <w:pStyle w:val="Compact"/>
            </w:pPr>
            <w:r>
              <w:t xml:space="preserve">5–40+ years</w:t>
            </w:r>
          </w:p>
        </w:tc>
        <w:tc>
          <w:tcPr/>
          <w:p>
            <w:pPr>
              <w:pStyle w:val="Compact"/>
            </w:pPr>
            <w:r>
              <w:t xml:space="preserve">Emotional regulation, social cognition</w:t>
            </w:r>
          </w:p>
        </w:tc>
      </w:tr>
      <w:tr>
        <w:tc>
          <w:tcPr/>
          <w:p>
            <w:pPr>
              <w:pStyle w:val="Compact"/>
            </w:pPr>
            <w:r>
              <w:t xml:space="preserve">Uncinate fasciculus</w:t>
            </w:r>
          </w:p>
        </w:tc>
        <w:tc>
          <w:tcPr/>
          <w:p>
            <w:pPr>
              <w:pStyle w:val="Compact"/>
            </w:pPr>
            <w:r>
              <w:t xml:space="preserve">5–30 years</w:t>
            </w:r>
          </w:p>
        </w:tc>
        <w:tc>
          <w:tcPr/>
          <w:p>
            <w:pPr>
              <w:pStyle w:val="Compact"/>
            </w:pPr>
            <w:r>
              <w:t xml:space="preserve">Word retrieval, social cognition</w:t>
            </w:r>
          </w:p>
        </w:tc>
      </w:tr>
    </w:tbl>
    <w:p>
      <w:pPr>
        <w:pStyle w:val="BodyText"/>
      </w:pPr>
      <w:r>
        <w:t xml:space="preserve">If OPC maturation arrest reduces the available pool of myelinating oligodendrocytes, deficits will emerge tract-by-tract in the order each tract reaches its myelination demand spike. Motor issues appear first (CST), followed by language delay (AF), then social cognition difficulties (UF, cingulum). This temporal sequence matches the clinical presentation of many neurodevelopmental conditions.</w:t>
      </w:r>
    </w:p>
    <w:bookmarkEnd w:id="28"/>
    <w:bookmarkStart w:id="29" w:name="Xcc912ffdf33f8b5670c2b864affdbedf7378300"/>
    <w:p>
      <w:pPr>
        <w:pStyle w:val="Heading3"/>
      </w:pPr>
      <w:r>
        <w:t xml:space="preserve">5.3 Therapy as Activity-Dependent Myelination</w:t>
      </w:r>
    </w:p>
    <w:p>
      <w:pPr>
        <w:pStyle w:val="FirstParagraph"/>
      </w:pPr>
      <w:r>
        <w:t xml:space="preserve">Fields [44] and Gibson et al. [45] established that neuronal activity directly promotes OPC recruitment and myelination in active circuits. This reframes therapeutic intervention: speech therapy drives arcuate fasciculus circuit activation → OPC recruitment → AF myelination. Social skills training drives UF/cingulum activation → social tract myelination. Therapy is not merely behavioural conditioning — it is biologically-driven myelination acceleration.</w:t>
      </w:r>
    </w:p>
    <w:p>
      <w:pPr>
        <w:pStyle w:val="BodyText"/>
      </w:pPr>
      <w:r>
        <w:t xml:space="preserve">Dawson et al. [46] demonstrated that Early Start Denver Model intervention normalised ERP brain responses in autistic children — not just behavioural improvement, actual neural change. Fein et al. [47] documented</w:t>
      </w:r>
      <w:r>
        <w:t xml:space="preserve"> </w:t>
      </w:r>
      <w:r>
        <w:t xml:space="preserve">“optimal outcome”</w:t>
      </w:r>
      <w:r>
        <w:t xml:space="preserve"> </w:t>
      </w:r>
      <w:r>
        <w:t xml:space="preserve">in which some children no longer met ASD criteria after early intervention. Crucially, earlier intervention consistently produces better outcomes [48–50], consistent with the model’s prediction that intervention during the</w:t>
      </w:r>
      <w:r>
        <w:t xml:space="preserve"> </w:t>
      </w:r>
      <w:r>
        <w:t xml:space="preserve">“forming”</w:t>
      </w:r>
      <w:r>
        <w:t xml:space="preserve"> </w:t>
      </w:r>
      <w:r>
        <w:t xml:space="preserve">phase (active myelination) is additive to an already-running process, while intervention during the</w:t>
      </w:r>
      <w:r>
        <w:t xml:space="preserve"> </w:t>
      </w:r>
      <w:r>
        <w:t xml:space="preserve">“formed”</w:t>
      </w:r>
      <w:r>
        <w:t xml:space="preserve"> </w:t>
      </w:r>
      <w:r>
        <w:t xml:space="preserve">phase requires initiating de novo myelination.</w:t>
      </w:r>
    </w:p>
    <w:bookmarkEnd w:id="29"/>
    <w:bookmarkStart w:id="30" w:name="dti-evidence"/>
    <w:p>
      <w:pPr>
        <w:pStyle w:val="Heading3"/>
      </w:pPr>
      <w:r>
        <w:t xml:space="preserve">5.4 DTI Evidence</w:t>
      </w:r>
    </w:p>
    <w:p>
      <w:pPr>
        <w:pStyle w:val="FirstParagraph"/>
      </w:pPr>
      <w:r>
        <w:t xml:space="preserve">Meta-analyses of DTI studies in ASD demonstrate widespread white matter tract abnormalities:</w:t>
      </w:r>
    </w:p>
    <w:p>
      <w:pPr>
        <w:pStyle w:val="Compact"/>
        <w:numPr>
          <w:ilvl w:val="0"/>
          <w:numId w:val="1005"/>
        </w:numPr>
      </w:pPr>
      <w:r>
        <w:rPr>
          <w:b/>
          <w:bCs/>
        </w:rPr>
        <w:t xml:space="preserve">Yoon et al. (2025)</w:t>
      </w:r>
      <w:r>
        <w:t xml:space="preserve"> </w:t>
      </w:r>
      <w:r>
        <w:t xml:space="preserve">[51]: 59 studies, 1,750 participants — FA reduced in 8 tracts, MD increased in 6.</w:t>
      </w:r>
    </w:p>
    <w:p>
      <w:pPr>
        <w:pStyle w:val="Compact"/>
        <w:numPr>
          <w:ilvl w:val="0"/>
          <w:numId w:val="1005"/>
        </w:numPr>
      </w:pPr>
      <w:r>
        <w:rPr>
          <w:b/>
          <w:bCs/>
        </w:rPr>
        <w:t xml:space="preserve">Li et al. (2022)</w:t>
      </w:r>
      <w:r>
        <w:t xml:space="preserve"> </w:t>
      </w:r>
      <w:r>
        <w:t xml:space="preserve">[52]: 33 studies, 831 participants — left hemisphere more affected; children show more pronounced disturbances than adults, consistent with a developmental myelination deficit.</w:t>
      </w:r>
    </w:p>
    <w:p>
      <w:pPr>
        <w:pStyle w:val="Compact"/>
        <w:numPr>
          <w:ilvl w:val="0"/>
          <w:numId w:val="1005"/>
        </w:numPr>
      </w:pPr>
      <w:r>
        <w:rPr>
          <w:b/>
          <w:bCs/>
        </w:rPr>
        <w:t xml:space="preserve">Fletcher et al. (2010)</w:t>
      </w:r>
      <w:r>
        <w:t xml:space="preserve"> </w:t>
      </w:r>
      <w:r>
        <w:t xml:space="preserve">[53]: Increased radial diffusivity in the arcuate fasciculus without proportional axial diffusivity increase — the specific DTI signature of reduced myelination with intact axons.</w:t>
      </w:r>
    </w:p>
    <w:bookmarkEnd w:id="30"/>
    <w:bookmarkStart w:id="31" w:name="Xc765ae20218f45f2418da868d3382f359ac6fd1"/>
    <w:p>
      <w:pPr>
        <w:pStyle w:val="Heading3"/>
      </w:pPr>
      <w:r>
        <w:t xml:space="preserve">5.5 Preeclampsia → ASD Epidemiological Evidence</w:t>
      </w:r>
    </w:p>
    <w:p>
      <w:pPr>
        <w:pStyle w:val="FirstParagraph"/>
      </w:pPr>
      <w:r>
        <w:t xml:space="preserve">Five population cohort studies and two meta-analyses establish the PE → ASD association:</w:t>
      </w:r>
    </w:p>
    <w:p>
      <w:pPr>
        <w:pStyle w:val="Compact"/>
        <w:numPr>
          <w:ilvl w:val="0"/>
          <w:numId w:val="1006"/>
        </w:numPr>
      </w:pPr>
      <w:r>
        <w:rPr>
          <w:b/>
          <w:bCs/>
        </w:rPr>
        <w:t xml:space="preserve">Dachew et al. (2018)</w:t>
      </w:r>
      <w:r>
        <w:t xml:space="preserve"> </w:t>
      </w:r>
      <w:r>
        <w:t xml:space="preserve">[54]: PE → ASD risk +32% (RR 1.32, 95% CI 1.20–1.45).</w:t>
      </w:r>
    </w:p>
    <w:p>
      <w:pPr>
        <w:pStyle w:val="Compact"/>
        <w:numPr>
          <w:ilvl w:val="0"/>
          <w:numId w:val="1006"/>
        </w:numPr>
      </w:pPr>
      <w:r>
        <w:rPr>
          <w:b/>
          <w:bCs/>
        </w:rPr>
        <w:t xml:space="preserve">Maher et al. (2018)</w:t>
      </w:r>
      <w:r>
        <w:t xml:space="preserve"> </w:t>
      </w:r>
      <w:r>
        <w:t xml:space="preserve">[55]: 61 studies; HDP → ASD (OR 1.35, 95% CI 1.11–1.64).</w:t>
      </w:r>
    </w:p>
    <w:p>
      <w:pPr>
        <w:pStyle w:val="Compact"/>
        <w:numPr>
          <w:ilvl w:val="0"/>
          <w:numId w:val="1006"/>
        </w:numPr>
      </w:pPr>
      <w:r>
        <w:rPr>
          <w:b/>
          <w:bCs/>
        </w:rPr>
        <w:t xml:space="preserve">Maher et al. (2020)</w:t>
      </w:r>
      <w:r>
        <w:t xml:space="preserve"> </w:t>
      </w:r>
      <w:r>
        <w:t xml:space="preserve">[56]: Swedish cohort (n=2,842,230); sibling-matched HR 1.17; PE+SGA combined HR 1.95.</w:t>
      </w:r>
    </w:p>
    <w:p>
      <w:pPr>
        <w:pStyle w:val="Compact"/>
        <w:numPr>
          <w:ilvl w:val="0"/>
          <w:numId w:val="1006"/>
        </w:numPr>
      </w:pPr>
      <w:r>
        <w:rPr>
          <w:b/>
          <w:bCs/>
        </w:rPr>
        <w:t xml:space="preserve">Sun et al. (2020)</w:t>
      </w:r>
      <w:r>
        <w:t xml:space="preserve"> </w:t>
      </w:r>
      <w:r>
        <w:t xml:space="preserve">[57]: Norwegian cohort (n=980,560); effect persists in term births (OR 1.29), eliminating prematurity as confounder.</w:t>
      </w:r>
    </w:p>
    <w:p>
      <w:pPr>
        <w:pStyle w:val="Compact"/>
        <w:numPr>
          <w:ilvl w:val="0"/>
          <w:numId w:val="1006"/>
        </w:numPr>
      </w:pPr>
      <w:r>
        <w:rPr>
          <w:b/>
          <w:bCs/>
        </w:rPr>
        <w:t xml:space="preserve">Wang et al. (2021)</w:t>
      </w:r>
      <w:r>
        <w:t xml:space="preserve"> </w:t>
      </w:r>
      <w:r>
        <w:t xml:space="preserve">[58]: 4.5M cohort; dose-response confirmed — severe PE → ASD HR 1.86; severe PE → ID HR 3.99.</w:t>
      </w:r>
    </w:p>
    <w:p>
      <w:pPr>
        <w:pStyle w:val="FirstParagraph"/>
      </w:pPr>
      <w:r>
        <w:t xml:space="preserve">The effect persists in sibling analyses, persists in term births, shows dose-response, and is amplified by placental dysfunction markers — consistent with a causal hypoxia mechanism rather than shared genetic confounding.</w:t>
      </w:r>
    </w:p>
    <w:p>
      <w:r>
        <w:pict>
          <v:rect style="width:0;height:1.5pt" o:hralign="center" o:hrstd="t" o:hr="t"/>
        </w:pict>
      </w:r>
    </w:p>
    <w:bookmarkEnd w:id="31"/>
    <w:bookmarkEnd w:id="32"/>
    <w:bookmarkStart w:id="33" w:name="X43943ec9aeddf91538780b2f4b81dfdc331dcaf"/>
    <w:p>
      <w:pPr>
        <w:pStyle w:val="Heading2"/>
      </w:pPr>
      <w:r>
        <w:t xml:space="preserve">6. TREATMENT CONVERGENCE: 11 THERAPIES, ONE TARGET</w:t>
      </w:r>
    </w:p>
    <w:p>
      <w:pPr>
        <w:pStyle w:val="FirstParagraph"/>
      </w:pPr>
      <w:r>
        <w:t xml:space="preserve">A striking pattern emerges when analysing therapies that show unexplained or partially explained neurodevelopmental benefit: across 11 pharmacologically unrelated treatments, all converge on oxygen delivery and/or OPC maturation.</w:t>
      </w:r>
    </w:p>
    <w:tbl>
      <w:tblPr>
        <w:tblStyle w:val="Table"/>
        <w:tblW w:type="pct" w:w="5000"/>
        <w:tblLayout w:type="fixed"/>
        <w:tblLook w:firstRow="1" w:lastRow="0" w:firstColumn="0" w:lastColumn="0" w:noHBand="0" w:noVBand="0" w:val="0020"/>
      </w:tblPr>
      <w:tblGrid>
        <w:gridCol w:w="1370"/>
        <w:gridCol w:w="1980"/>
        <w:gridCol w:w="2436"/>
        <w:gridCol w:w="2132"/>
      </w:tblGrid>
      <w:tr>
        <w:trPr>
          <w:tblHeader w:val="on"/>
        </w:trPr>
        <w:tc>
          <w:tcPr/>
          <w:p>
            <w:pPr>
              <w:pStyle w:val="Compact"/>
            </w:pPr>
            <w:r>
              <w:t xml:space="preserve">Therapy</w:t>
            </w:r>
          </w:p>
        </w:tc>
        <w:tc>
          <w:tcPr/>
          <w:p>
            <w:pPr>
              <w:pStyle w:val="Compact"/>
            </w:pPr>
            <w:r>
              <w:t xml:space="preserve">O₂ Delivery</w:t>
            </w:r>
          </w:p>
        </w:tc>
        <w:tc>
          <w:tcPr/>
          <w:p>
            <w:pPr>
              <w:pStyle w:val="Compact"/>
            </w:pPr>
            <w:r>
              <w:t xml:space="preserve">OPC Maturation</w:t>
            </w:r>
          </w:p>
        </w:tc>
        <w:tc>
          <w:tcPr/>
          <w:p>
            <w:pPr>
              <w:pStyle w:val="Compact"/>
            </w:pPr>
            <w:r>
              <w:t xml:space="preserve">Key Evidence</w:t>
            </w:r>
          </w:p>
        </w:tc>
      </w:tr>
      <w:tr>
        <w:tc>
          <w:tcPr/>
          <w:p>
            <w:pPr>
              <w:pStyle w:val="Compact"/>
            </w:pPr>
            <w:r>
              <w:t xml:space="preserve">HBOT</w:t>
            </w:r>
          </w:p>
        </w:tc>
        <w:tc>
          <w:tcPr/>
          <w:p>
            <w:pPr>
              <w:pStyle w:val="Compact"/>
            </w:pPr>
            <w:r>
              <w:t xml:space="preserve">Yes — Direct</w:t>
            </w:r>
          </w:p>
        </w:tc>
        <w:tc>
          <w:tcPr/>
          <w:p>
            <w:pPr>
              <w:pStyle w:val="Compact"/>
            </w:pPr>
            <w:r>
              <w:t xml:space="preserve">Yes — Notch signalling [59]</w:t>
            </w:r>
          </w:p>
        </w:tc>
        <w:tc>
          <w:tcPr/>
          <w:p>
            <w:pPr>
              <w:pStyle w:val="Compact"/>
            </w:pPr>
            <w:r>
              <w:t xml:space="preserve">ASD improvement (Rossignol RCT [60]); meta-analysis SMD −0.66 [61]</w:t>
            </w:r>
          </w:p>
        </w:tc>
      </w:tr>
      <w:tr>
        <w:tc>
          <w:tcPr/>
          <w:p>
            <w:pPr>
              <w:pStyle w:val="Compact"/>
            </w:pPr>
            <w:r>
              <w:t xml:space="preserve">EPO</w:t>
            </w:r>
          </w:p>
        </w:tc>
        <w:tc>
          <w:tcPr/>
          <w:p>
            <w:pPr>
              <w:pStyle w:val="Compact"/>
            </w:pPr>
            <w:r>
              <w:t xml:space="preserve">Yes — Hb capacity</w:t>
            </w:r>
          </w:p>
        </w:tc>
        <w:tc>
          <w:tcPr/>
          <w:p>
            <w:pPr>
              <w:pStyle w:val="Compact"/>
            </w:pPr>
            <w:r>
              <w:t xml:space="preserve">Yes — Direct EPO receptors on OPCs [62]</w:t>
            </w:r>
          </w:p>
        </w:tc>
        <w:tc>
          <w:tcPr/>
          <w:p>
            <w:pPr>
              <w:pStyle w:val="Compact"/>
            </w:pPr>
            <w:r>
              <w:t xml:space="preserve">OPC rescue in chronic hypoxia models [63]</w:t>
            </w:r>
          </w:p>
        </w:tc>
      </w:tr>
      <w:tr>
        <w:tc>
          <w:tcPr/>
          <w:p>
            <w:pPr>
              <w:pStyle w:val="Compact"/>
            </w:pPr>
            <w:r>
              <w:t xml:space="preserve">T3 (thyroid hormone)</w:t>
            </w:r>
          </w:p>
        </w:tc>
        <w:tc>
          <w:tcPr/>
          <w:p>
            <w:pPr>
              <w:pStyle w:val="Compact"/>
            </w:pPr>
            <w:r>
              <w:t xml:space="preserve">—</w:t>
            </w:r>
          </w:p>
        </w:tc>
        <w:tc>
          <w:tcPr/>
          <w:p>
            <w:pPr>
              <w:pStyle w:val="Compact"/>
            </w:pPr>
            <w:r>
              <w:t xml:space="preserve">Yes — Canonical OPC differentiation signal [64]</w:t>
            </w:r>
          </w:p>
        </w:tc>
        <w:tc>
          <w:tcPr/>
          <w:p>
            <w:pPr>
              <w:pStyle w:val="Compact"/>
            </w:pPr>
            <w:r>
              <w:t xml:space="preserve">Phase 1b remyelination trial in MS [65]</w:t>
            </w:r>
          </w:p>
        </w:tc>
      </w:tr>
      <w:tr>
        <w:tc>
          <w:tcPr/>
          <w:p>
            <w:pPr>
              <w:pStyle w:val="Compact"/>
            </w:pPr>
            <w:r>
              <w:t xml:space="preserve">Iron</w:t>
            </w:r>
          </w:p>
        </w:tc>
        <w:tc>
          <w:tcPr/>
          <w:p>
            <w:pPr>
              <w:pStyle w:val="Compact"/>
            </w:pPr>
            <w:r>
              <w:t xml:space="preserve">Yes — Hb restoration</w:t>
            </w:r>
          </w:p>
        </w:tc>
        <w:tc>
          <w:tcPr/>
          <w:p>
            <w:pPr>
              <w:pStyle w:val="Compact"/>
            </w:pPr>
            <w:r>
              <w:t xml:space="preserve">Yes — Reverses pseudohypoxia + myelin substrate [36,37]</w:t>
            </w:r>
          </w:p>
        </w:tc>
        <w:tc>
          <w:tcPr/>
          <w:p>
            <w:pPr>
              <w:pStyle w:val="Compact"/>
            </w:pPr>
            <w:r>
              <w:t xml:space="preserve">DMT1-KO: OPCs proliferate but do not mature [37]</w:t>
            </w:r>
          </w:p>
        </w:tc>
      </w:tr>
      <w:tr>
        <w:tc>
          <w:tcPr/>
          <w:p>
            <w:pPr>
              <w:pStyle w:val="Compact"/>
            </w:pPr>
            <w:r>
              <w:t xml:space="preserve">Caffeine</w:t>
            </w:r>
          </w:p>
        </w:tc>
        <w:tc>
          <w:tcPr/>
          <w:p>
            <w:pPr>
              <w:pStyle w:val="Compact"/>
            </w:pPr>
            <w:r>
              <w:t xml:space="preserve">Yes — Reduces IH</w:t>
            </w:r>
          </w:p>
        </w:tc>
        <w:tc>
          <w:tcPr/>
          <w:p>
            <w:pPr>
              <w:pStyle w:val="Compact"/>
            </w:pPr>
            <w:r>
              <w:t xml:space="preserve">Yes — Increases OL density [66]</w:t>
            </w:r>
          </w:p>
        </w:tc>
        <w:tc>
          <w:tcPr/>
          <w:p>
            <w:pPr>
              <w:pStyle w:val="Compact"/>
            </w:pPr>
            <w:r>
              <w:t xml:space="preserve">CAP trial: CP reduced ~50% [67,68]</w:t>
            </w:r>
          </w:p>
        </w:tc>
      </w:tr>
      <w:tr>
        <w:tc>
          <w:tcPr/>
          <w:p>
            <w:pPr>
              <w:pStyle w:val="Compact"/>
            </w:pPr>
            <w:r>
              <w:t xml:space="preserve">MgSO₄</w:t>
            </w:r>
          </w:p>
        </w:tc>
        <w:tc>
          <w:tcPr/>
          <w:p>
            <w:pPr>
              <w:pStyle w:val="Compact"/>
            </w:pPr>
            <w:r>
              <w:t xml:space="preserve">—</w:t>
            </w:r>
          </w:p>
        </w:tc>
        <w:tc>
          <w:tcPr/>
          <w:p>
            <w:pPr>
              <w:pStyle w:val="Compact"/>
            </w:pPr>
            <w:r>
              <w:t xml:space="preserve">Yes — NMDA receptor blockade protects OPCs</w:t>
            </w:r>
          </w:p>
        </w:tc>
        <w:tc>
          <w:tcPr/>
          <w:p>
            <w:pPr>
              <w:pStyle w:val="Compact"/>
            </w:pPr>
            <w:r>
              <w:t xml:space="preserve">CP reduced ~30% (meta-analysis of 5 RCTs) [69]</w:t>
            </w:r>
          </w:p>
        </w:tc>
      </w:tr>
      <w:tr>
        <w:tc>
          <w:tcPr/>
          <w:p>
            <w:pPr>
              <w:pStyle w:val="Compact"/>
            </w:pPr>
            <w:r>
              <w:t xml:space="preserve">Clemastine</w:t>
            </w:r>
          </w:p>
        </w:tc>
        <w:tc>
          <w:tcPr/>
          <w:p>
            <w:pPr>
              <w:pStyle w:val="Compact"/>
            </w:pPr>
            <w:r>
              <w:t xml:space="preserve">—</w:t>
            </w:r>
          </w:p>
        </w:tc>
        <w:tc>
          <w:tcPr/>
          <w:p>
            <w:pPr>
              <w:pStyle w:val="Compact"/>
            </w:pPr>
            <w:r>
              <w:t xml:space="preserve">Yes — Most potent known OPC differentiator [70]</w:t>
            </w:r>
          </w:p>
        </w:tc>
        <w:tc>
          <w:tcPr/>
          <w:p>
            <w:pPr>
              <w:pStyle w:val="Compact"/>
            </w:pPr>
            <w:r>
              <w:t xml:space="preserve">Remyelination in primates [71]; not yet tested in developmental WMI</w:t>
            </w:r>
          </w:p>
        </w:tc>
      </w:tr>
      <w:tr>
        <w:tc>
          <w:tcPr/>
          <w:p>
            <w:pPr>
              <w:pStyle w:val="Compact"/>
            </w:pPr>
            <w:r>
              <w:t xml:space="preserve">Exercise</w:t>
            </w:r>
          </w:p>
        </w:tc>
        <w:tc>
          <w:tcPr/>
          <w:p>
            <w:pPr>
              <w:pStyle w:val="Compact"/>
            </w:pPr>
            <w:r>
              <w:t xml:space="preserve">Yes — Cerebral blood flow</w:t>
            </w:r>
          </w:p>
        </w:tc>
        <w:tc>
          <w:tcPr/>
          <w:p>
            <w:pPr>
              <w:pStyle w:val="Compact"/>
            </w:pPr>
            <w:r>
              <w:t xml:space="preserve">Yes — BDNF to OPC differentiation [72]</w:t>
            </w:r>
          </w:p>
        </w:tc>
        <w:tc>
          <w:tcPr/>
          <w:p>
            <w:pPr>
              <w:pStyle w:val="Compact"/>
            </w:pPr>
            <w:r>
              <w:t xml:space="preserve">ASD improvement in WM-dependent domains [73]</w:t>
            </w:r>
          </w:p>
        </w:tc>
      </w:tr>
      <w:tr>
        <w:tc>
          <w:tcPr/>
          <w:p>
            <w:pPr>
              <w:pStyle w:val="Compact"/>
            </w:pPr>
            <w:r>
              <w:t xml:space="preserve">DHA</w:t>
            </w:r>
          </w:p>
        </w:tc>
        <w:tc>
          <w:tcPr/>
          <w:p>
            <w:pPr>
              <w:pStyle w:val="Compact"/>
            </w:pPr>
            <w:r>
              <w:t xml:space="preserve">—</w:t>
            </w:r>
          </w:p>
        </w:tc>
        <w:tc>
          <w:tcPr/>
          <w:p>
            <w:pPr>
              <w:pStyle w:val="Compact"/>
            </w:pPr>
            <w:r>
              <w:t xml:space="preserve">Yes — Myelin substrate</w:t>
            </w:r>
          </w:p>
        </w:tc>
        <w:tc>
          <w:tcPr/>
          <w:p>
            <w:pPr>
              <w:pStyle w:val="Compact"/>
            </w:pPr>
            <w:r>
              <w:t xml:space="preserve">Higher myelination in all brain regions (animal) [74]</w:t>
            </w:r>
          </w:p>
        </w:tc>
      </w:tr>
      <w:tr>
        <w:tc>
          <w:tcPr/>
          <w:p>
            <w:pPr>
              <w:pStyle w:val="Compact"/>
            </w:pPr>
            <w:r>
              <w:t xml:space="preserve">UCB stem cells</w:t>
            </w:r>
          </w:p>
        </w:tc>
        <w:tc>
          <w:tcPr/>
          <w:p>
            <w:pPr>
              <w:pStyle w:val="Compact"/>
            </w:pPr>
            <w:r>
              <w:t xml:space="preserve">—</w:t>
            </w:r>
          </w:p>
        </w:tc>
        <w:tc>
          <w:tcPr/>
          <w:p>
            <w:pPr>
              <w:pStyle w:val="Compact"/>
            </w:pPr>
            <w:r>
              <w:t xml:space="preserve">Yes — Paracrine OPC support</w:t>
            </w:r>
          </w:p>
        </w:tc>
        <w:tc>
          <w:tcPr/>
          <w:p>
            <w:pPr>
              <w:pStyle w:val="Compact"/>
            </w:pPr>
            <w:r>
              <w:t xml:space="preserve">WM preservation in CP models [75]</w:t>
            </w:r>
          </w:p>
        </w:tc>
      </w:tr>
      <w:tr>
        <w:tc>
          <w:tcPr/>
          <w:p>
            <w:pPr>
              <w:pStyle w:val="Compact"/>
            </w:pPr>
            <w:r>
              <w:t xml:space="preserve">Music therapy (NICU)</w:t>
            </w:r>
          </w:p>
        </w:tc>
        <w:tc>
          <w:tcPr/>
          <w:p>
            <w:pPr>
              <w:pStyle w:val="Compact"/>
            </w:pPr>
            <w:r>
              <w:t xml:space="preserve">—</w:t>
            </w:r>
          </w:p>
        </w:tc>
        <w:tc>
          <w:tcPr/>
          <w:p>
            <w:pPr>
              <w:pStyle w:val="Compact"/>
            </w:pPr>
            <w:r>
              <w:t xml:space="preserve">Yes — Activity-dependent myelination</w:t>
            </w:r>
          </w:p>
        </w:tc>
        <w:tc>
          <w:tcPr/>
          <w:p>
            <w:pPr>
              <w:pStyle w:val="Compact"/>
            </w:pPr>
            <w:r>
              <w:t xml:space="preserve">Neurodevelopmental improvement [76]</w:t>
            </w:r>
          </w:p>
        </w:tc>
      </w:tr>
    </w:tbl>
    <w:p>
      <w:pPr>
        <w:pStyle w:val="BodyText"/>
      </w:pPr>
      <w:r>
        <w:t xml:space="preserve">The probability that 11 pharmacologically diverse treatments would independently converge on the same two pathways by coincidence is low. The parsimonious explanation: they share a common target — arrested OPC maturation in chronically hypoperfused white matter — even though none were designed for that purpose.</w:t>
      </w:r>
    </w:p>
    <w:p>
      <w:pPr>
        <w:pStyle w:val="BodyText"/>
      </w:pPr>
      <w:r>
        <w:t xml:space="preserve">The strongest signal comes from caffeine: the CAP trial [67,68] demonstrated that caffeine treatment for apnoea of prematurity reduced cerebral palsy by approximately 50% and increased white matter oligodendrocyte density. Its primary mechanism — reducing intermittent hypoxia episodes — directly reduces HIF-1α oscillation cycling, allowing OPCs to maintain stable differentiation programmes. This is the alignment model in action.</w:t>
      </w:r>
    </w:p>
    <w:p>
      <w:pPr>
        <w:pStyle w:val="BodyText"/>
      </w:pPr>
      <w:r>
        <w:t xml:space="preserve">The most significant untested prediction: clemastine fumarate, the most potent known pharmacological promoter of OPC differentiation [70], has been demonstrated in adult remyelination (MS and primate models) but has never been tested in developmental white matter injury. If OPC maturation arrest contributes to neurodevelopmental pathology, clemastine represents a directly targeted intervention.</w:t>
      </w:r>
    </w:p>
    <w:p>
      <w:r>
        <w:pict>
          <v:rect style="width:0;height:1.5pt" o:hralign="center" o:hrstd="t" o:hr="t"/>
        </w:pict>
      </w:r>
    </w:p>
    <w:bookmarkEnd w:id="33"/>
    <w:bookmarkStart w:id="41" w:name="limitations-and-adversarial-assessment"/>
    <w:p>
      <w:pPr>
        <w:pStyle w:val="Heading2"/>
      </w:pPr>
      <w:r>
        <w:t xml:space="preserve">7. LIMITATIONS AND ADVERSARIAL ASSESSMENT</w:t>
      </w:r>
    </w:p>
    <w:p>
      <w:pPr>
        <w:pStyle w:val="FirstParagraph"/>
      </w:pPr>
      <w:r>
        <w:t xml:space="preserve">The following challenges to the model are stated plainly. The model’s integrity depends on honest acknowledgement of what is demonstrated and what is not.</w:t>
      </w:r>
    </w:p>
    <w:bookmarkStart w:id="34" w:name="the-genetics-problem-severity-very-high"/>
    <w:p>
      <w:pPr>
        <w:pStyle w:val="Heading3"/>
      </w:pPr>
      <w:r>
        <w:t xml:space="preserve">7.1 The Genetics Problem (Severity: Very High)</w:t>
      </w:r>
    </w:p>
    <w:p>
      <w:pPr>
        <w:pStyle w:val="FirstParagraph"/>
      </w:pPr>
      <w:r>
        <w:t xml:space="preserve">Autism heritability is estimated at 60–95%, with the most recent large study estimating 83% [77]. Over 350 genes have been identified, and the overwhelming majority affect</w:t>
      </w:r>
      <w:r>
        <w:t xml:space="preserve"> </w:t>
      </w:r>
      <w:r>
        <w:rPr>
          <w:b/>
          <w:bCs/>
        </w:rPr>
        <w:t xml:space="preserve">synapses, not oligodendrocytes</w:t>
      </w:r>
      <w:r>
        <w:t xml:space="preserve">: SHANK3 (postsynaptic scaffolding), CHD8 (chromatin remodelling), SCN2A (sodium channels), PTEN (mTOR pathway) [78]. Bailey’s 1995 twin study concluded that obstetric hazards</w:t>
      </w:r>
      <w:r>
        <w:t xml:space="preserve"> </w:t>
      </w:r>
      <w:r>
        <w:t xml:space="preserve">“usually appear to be consequences of genetically influenced abnormal development, rather than independent aetiological factors”</w:t>
      </w:r>
      <w:r>
        <w:t xml:space="preserve"> </w:t>
      </w:r>
      <w:r>
        <w:t xml:space="preserve">[79] — directly challenging the model’s causal arrow.</w:t>
      </w:r>
    </w:p>
    <w:p>
      <w:pPr>
        <w:pStyle w:val="BodyText"/>
      </w:pPr>
      <w:r>
        <w:t xml:space="preserve">The model can survive only as a subset hypothesis (perhaps 5–20% of autism associated with perinatal complications), or if gene–OPC vulnerability interactions are demonstrated. The broader multi-organ alignment model is less affected by this challenge, as it does not depend on autism being the primary outcome.</w:t>
      </w:r>
    </w:p>
    <w:p>
      <w:pPr>
        <w:pStyle w:val="BodyText"/>
      </w:pPr>
      <w:r>
        <w:t xml:space="preserve">However, the heritability data may be partially reframed within the alignment model itself. High heritability does not require purely genetic causation — it requires familial transmission. A mother whose own gestational development was compromised by placental insufficiency may carry latent vascular, endocrine, or metabolic programming that predisposes her to preeclampsia in her own pregnancies, thereby reproducing the gestational insult environment for her offspring. Intergenerational transmission of gestational programming — a well-documented phenomenon within the DOHaD literature [93,94] — would produce twin concordance and family clustering patterns indistinguishable from genetic heritability in conventional study designs. Epigenetic marks established during the mother’s own fetal development can persist into her reproductive years and influence placental function [17,95]. This does not eliminate genetic contribution, but it suggests that the observed heritability may conflate genomic inheritance with intergenerational epigenetic transmission of gestational vulnerability — an empirically testable distinction using adoption studies and cross-fostering designs.</w:t>
      </w:r>
    </w:p>
    <w:p>
      <w:pPr>
        <w:pStyle w:val="BodyText"/>
      </w:pPr>
      <w:r>
        <w:t xml:space="preserve">Under this reframe, whether a condition conventionally labelled</w:t>
      </w:r>
      <w:r>
        <w:t xml:space="preserve"> </w:t>
      </w:r>
      <w:r>
        <w:t xml:space="preserve">“hereditary”</w:t>
      </w:r>
      <w:r>
        <w:t xml:space="preserve"> </w:t>
      </w:r>
      <w:r>
        <w:t xml:space="preserve">manifests in the next generation reduces to two variables: (1) whether the mother’s own programmed physiology causes her placenta to mount an anti-angiogenic response (elevated sFlt-1, reduced PlGF, inflammatory cytokine release) during pregnancy, and (2) which fetal vulnerability windows are open when that placental signal reaches the fetus and triggers the HIF-1α counter-regulatory response documented throughout this paper. The genome sets the threshold for placental stress tolerance, but the injury itself is environmental — transduced through oxygen, iron, and metabolic intermediates at the placental interface. The fetus has no independent developmental reference; it builds its organ systems using whatever molecular template the placenta provides. If that template carries an anti-angiogenic or hypoxic signature during a critical window, the resulting tissue architecture reflects that signature — not because the condition is genomically encoded, but because the developmental environment was faithfully reproduced across generations. This distinction is not semantic: genomically encoded conditions require gene therapy; environmentally transmitted conditions require placental intervention — a fundamentally different and more immediately actionable clinical target.</w:t>
      </w:r>
    </w:p>
    <w:bookmarkEnd w:id="34"/>
    <w:bookmarkStart w:id="35" w:name="X381ace3681f0a59b978054ae0aecefd7090c1b5"/>
    <w:p>
      <w:pPr>
        <w:pStyle w:val="Heading3"/>
      </w:pPr>
      <w:r>
        <w:t xml:space="preserve">7.2 Grey Matter and Cortical Pathology (Severity: High)</w:t>
      </w:r>
    </w:p>
    <w:p>
      <w:pPr>
        <w:pStyle w:val="FirstParagraph"/>
      </w:pPr>
      <w:r>
        <w:t xml:space="preserve">Stoner et al. [80] found focal patches of cortical disorganisation in autism — prenatal cortical migration defects preceding myelination. Brain overgrowth in autism [81] involves excess neurons producing local overconnectivity, a neuronal phenomenon independent of myelin deficit. These findings cannot be explained by OPC arrest.</w:t>
      </w:r>
    </w:p>
    <w:bookmarkEnd w:id="35"/>
    <w:bookmarkStart w:id="36" w:name="the-connectivity-paradox-severity-high"/>
    <w:p>
      <w:pPr>
        <w:pStyle w:val="Heading3"/>
      </w:pPr>
      <w:r>
        <w:t xml:space="preserve">7.3 The Connectivity Paradox (Severity: High)</w:t>
      </w:r>
    </w:p>
    <w:p>
      <w:pPr>
        <w:pStyle w:val="FirstParagraph"/>
      </w:pPr>
      <w:r>
        <w:t xml:space="preserve">The model predicts underconnectivity from failed myelination, but connectivity findings in autism show both hypo- and hyperconnectivity. Infants later diagnosed with autism show abnormally high long-range connectivity that decreases to underconnectivity by adulthood [82]. SHANK2 mutations cause hyperconnectivity [78]. The pattern is simultaneous local overconnectivity and deficient long-range connectivity — more complex than a simple myelination deficit.</w:t>
      </w:r>
    </w:p>
    <w:bookmarkEnd w:id="36"/>
    <w:bookmarkStart w:id="37" w:name="X0ff24ec306b428463399c7e4e92d486dac76803"/>
    <w:p>
      <w:pPr>
        <w:pStyle w:val="Heading3"/>
      </w:pPr>
      <w:r>
        <w:t xml:space="preserve">7.4 The Preterm Paradox (Severity: Moderate–High)</w:t>
      </w:r>
    </w:p>
    <w:p>
      <w:pPr>
        <w:pStyle w:val="FirstParagraph"/>
      </w:pPr>
      <w:r>
        <w:t xml:space="preserve">Periventricular leukomalacia (PVL) results from confirmed preOL destruction — the exact mechanism proposed — yet its primary outcome is cerebral palsy, not autism [83]. The vast majority of preterm infants with confirmed white matter injury do not develop autism. If OPC arrest were sufficient for autism, autism rates in white matter-injured preterms should be much higher. The model must invoke tract-specificity (motor tracts → CP; association tracts → autism features) but direct evidence for this is limited.</w:t>
      </w:r>
    </w:p>
    <w:bookmarkEnd w:id="37"/>
    <w:bookmarkStart w:id="38" w:name="syndromic-autism-severity-moderate"/>
    <w:p>
      <w:pPr>
        <w:pStyle w:val="Heading3"/>
      </w:pPr>
      <w:r>
        <w:t xml:space="preserve">7.5 Syndromic Autism (Severity: Moderate)</w:t>
      </w:r>
    </w:p>
    <w:p>
      <w:pPr>
        <w:pStyle w:val="FirstParagraph"/>
      </w:pPr>
      <w:r>
        <w:t xml:space="preserve">Fragile X (synaptic/dendritic mechanism via mGluR5 [84]), Rett syndrome (transcriptional/MECP2 [85]), and tuberous sclerosis (mTOR/cortical tubers [86]) account for up to 20% of autism cases through mechanisms that are not white matter-based. These represent independent pathways that the OPC model cannot explain.</w:t>
      </w:r>
    </w:p>
    <w:bookmarkEnd w:id="38"/>
    <w:bookmarkStart w:id="39" w:name="evidence-gaps"/>
    <w:p>
      <w:pPr>
        <w:pStyle w:val="Heading3"/>
      </w:pPr>
      <w:r>
        <w:t xml:space="preserve">7.6 Evidence Gaps</w:t>
      </w:r>
    </w:p>
    <w:p>
      <w:pPr>
        <w:pStyle w:val="FirstParagraph"/>
      </w:pPr>
      <w:r>
        <w:t xml:space="preserve">Thirteen explicit evidence gaps are identified in the full evidence base. The most critical:</w:t>
      </w:r>
    </w:p>
    <w:p>
      <w:pPr>
        <w:pStyle w:val="Compact"/>
        <w:numPr>
          <w:ilvl w:val="0"/>
          <w:numId w:val="1007"/>
        </w:numPr>
      </w:pPr>
      <w:r>
        <w:t xml:space="preserve">No study directly measures myelination during autistic regression (DTI/FA is an indirect proxy).</w:t>
      </w:r>
    </w:p>
    <w:p>
      <w:pPr>
        <w:pStyle w:val="Compact"/>
        <w:numPr>
          <w:ilvl w:val="0"/>
          <w:numId w:val="1007"/>
        </w:numPr>
      </w:pPr>
      <w:r>
        <w:t xml:space="preserve">No direct demonstration that therapy drives language tract myelination in autistic children.</w:t>
      </w:r>
    </w:p>
    <w:p>
      <w:pPr>
        <w:pStyle w:val="Compact"/>
        <w:numPr>
          <w:ilvl w:val="0"/>
          <w:numId w:val="1007"/>
        </w:numPr>
      </w:pPr>
      <w:r>
        <w:t xml:space="preserve">No post-mortem OPC quantification specifically in autism brain tissue.</w:t>
      </w:r>
    </w:p>
    <w:p>
      <w:pPr>
        <w:pStyle w:val="Compact"/>
        <w:numPr>
          <w:ilvl w:val="0"/>
          <w:numId w:val="1007"/>
        </w:numPr>
      </w:pPr>
      <w:r>
        <w:t xml:space="preserve">No single longitudinal study tracks the complete chain: preeclampsia → IH events → OPC arrest → tract-specific myelination failure → functional deficit.</w:t>
      </w:r>
    </w:p>
    <w:p>
      <w:pPr>
        <w:pStyle w:val="Compact"/>
        <w:numPr>
          <w:ilvl w:val="0"/>
          <w:numId w:val="1007"/>
        </w:numPr>
      </w:pPr>
      <w:r>
        <w:t xml:space="preserve">No head-to-head DTI comparison between PE-born and ASD children in the same protocol.</w:t>
      </w:r>
    </w:p>
    <w:bookmarkEnd w:id="39"/>
    <w:bookmarkStart w:id="40" w:name="model-scope"/>
    <w:p>
      <w:pPr>
        <w:pStyle w:val="Heading3"/>
      </w:pPr>
      <w:r>
        <w:t xml:space="preserve">7.7 Model Scope</w:t>
      </w:r>
    </w:p>
    <w:p>
      <w:pPr>
        <w:pStyle w:val="FirstParagraph"/>
      </w:pPr>
      <w:r>
        <w:t xml:space="preserve">The adversarial assessment yields a clear verdict: the OPC maturation arrest model faces serious but not fatal challenges as an explanation for autism; it is viable as a subset hypothesis for perhaps 5–20% of cases. The broader alignment model — linking gestational oxygen timing to multi-organ disease through HIF-mediated developmental programming — is on stronger ground, as it extends a well-established paradigm (DOHaD) with cellular-level temporal resolution.</w:t>
      </w:r>
    </w:p>
    <w:p>
      <w:r>
        <w:pict>
          <v:rect style="width:0;height:1.5pt" o:hralign="center" o:hrstd="t" o:hr="t"/>
        </w:pict>
      </w:r>
    </w:p>
    <w:bookmarkEnd w:id="40"/>
    <w:bookmarkEnd w:id="41"/>
    <w:bookmarkStart w:id="42" w:name="the-lmic-natural-experiment"/>
    <w:p>
      <w:pPr>
        <w:pStyle w:val="Heading2"/>
      </w:pPr>
      <w:r>
        <w:t xml:space="preserve">8. THE LMIC NATURAL EXPERIMENT</w:t>
      </w:r>
    </w:p>
    <w:p>
      <w:pPr>
        <w:pStyle w:val="FirstParagraph"/>
      </w:pPr>
      <w:r>
        <w:t xml:space="preserve">As neonatal oxygen technology rolls out across developing nations — Lifebox has distributed 37,000+ pulse oximeters in 116 countries; NEST360 has operated in Kenya, Malawi, Nigeria, and Tanzania since 2019; the MOXY Consortium established baseline data across 7 countries [87] — a population-level natural experiment is underway.</w:t>
      </w:r>
    </w:p>
    <w:p>
      <w:pPr>
        <w:pStyle w:val="BodyText"/>
      </w:pPr>
      <w:r>
        <w:t xml:space="preserve">The MOXY baseline (Subhi et al.,</w:t>
      </w:r>
      <w:r>
        <w:t xml:space="preserve"> </w:t>
      </w:r>
      <w:r>
        <w:rPr>
          <w:i/>
          <w:iCs/>
        </w:rPr>
        <w:t xml:space="preserve">Lancet Glob Health</w:t>
      </w:r>
      <w:r>
        <w:t xml:space="preserve">, 2025) found that only 24% of primary facilities have functional pulse oximeters. If the alignment model is correct, improved neonatal oxygen management should produce a lagged decline in childhood and adult disease burden across neurodevelopmental, cardiovascular, renal, and metabolic domains.</w:t>
      </w:r>
    </w:p>
    <w:p>
      <w:pPr>
        <w:pStyle w:val="BodyText"/>
      </w:pPr>
      <w:r>
        <w:t xml:space="preserve">The first NEST360 cohorts (2019–2020 births) are now reaching developmental assessment age (5–6 years). Four studies are actionable with existing data:</w:t>
      </w:r>
    </w:p>
    <w:p>
      <w:pPr>
        <w:pStyle w:val="Compact"/>
        <w:numPr>
          <w:ilvl w:val="0"/>
          <w:numId w:val="1008"/>
        </w:numPr>
      </w:pPr>
      <w:r>
        <w:rPr>
          <w:b/>
          <w:bCs/>
        </w:rPr>
        <w:t xml:space="preserve">GBD ecological analysis</w:t>
      </w:r>
      <w:r>
        <w:t xml:space="preserve">: country-level neonatal mortality trends vs lagged childhood disease burden (1990–2023)</w:t>
      </w:r>
    </w:p>
    <w:p>
      <w:pPr>
        <w:pStyle w:val="Compact"/>
        <w:numPr>
          <w:ilvl w:val="0"/>
          <w:numId w:val="1008"/>
        </w:numPr>
      </w:pPr>
      <w:r>
        <w:rPr>
          <w:b/>
          <w:bCs/>
        </w:rPr>
        <w:t xml:space="preserve">NEST360 retrospective cohort</w:t>
      </w:r>
      <w:r>
        <w:t xml:space="preserve">: 2019–2020 neonatal cohorts vs pre-NEST360 comparators</w:t>
      </w:r>
    </w:p>
    <w:p>
      <w:pPr>
        <w:pStyle w:val="Compact"/>
        <w:numPr>
          <w:ilvl w:val="0"/>
          <w:numId w:val="1008"/>
        </w:numPr>
      </w:pPr>
      <w:r>
        <w:rPr>
          <w:b/>
          <w:bCs/>
        </w:rPr>
        <w:t xml:space="preserve">Kenya CIN linkage</w:t>
      </w:r>
      <w:r>
        <w:t xml:space="preserve">: neonatal data since 2014, children now age 10–12, linkable to school health records</w:t>
      </w:r>
    </w:p>
    <w:p>
      <w:pPr>
        <w:pStyle w:val="Compact"/>
        <w:numPr>
          <w:ilvl w:val="0"/>
          <w:numId w:val="1008"/>
        </w:numPr>
      </w:pPr>
      <w:r>
        <w:rPr>
          <w:b/>
          <w:bCs/>
        </w:rPr>
        <w:t xml:space="preserve">Ethiopia altitude natural experiment</w:t>
      </w:r>
      <w:r>
        <w:t xml:space="preserve">: highland vs lowland PE outcomes with oxygen availability as modifier</w:t>
      </w:r>
    </w:p>
    <w:p>
      <w:r>
        <w:pict>
          <v:rect style="width:0;height:1.5pt" o:hralign="center" o:hrstd="t" o:hr="t"/>
        </w:pict>
      </w:r>
    </w:p>
    <w:bookmarkEnd w:id="42"/>
    <w:bookmarkStart w:id="44" w:name="testable-predictions"/>
    <w:p>
      <w:pPr>
        <w:pStyle w:val="Heading2"/>
      </w:pPr>
      <w:r>
        <w:t xml:space="preserve">9. TESTABLE PREDICTIONS</w:t>
      </w:r>
    </w:p>
    <w:p>
      <w:pPr>
        <w:pStyle w:val="FirstParagraph"/>
      </w:pPr>
      <w:r>
        <w:t xml:space="preserve">The model generates falsifiable predictions testable with current methods:</w:t>
      </w:r>
    </w:p>
    <w:p>
      <w:pPr>
        <w:numPr>
          <w:ilvl w:val="0"/>
          <w:numId w:val="1009"/>
        </w:numPr>
      </w:pPr>
      <w:r>
        <w:rPr>
          <w:b/>
          <w:bCs/>
        </w:rPr>
        <w:t xml:space="preserve">Temporal prediction:</w:t>
      </w:r>
      <w:r>
        <w:t xml:space="preserve"> </w:t>
      </w:r>
      <w:r>
        <w:t xml:space="preserve">Language regression should correlate with reduced arcuate fasciculus myelination at ages 2–4; social cognition deficits with reduced uncinate fasciculus myelination at ages 4–8. Testable with longitudinal DTI + behavioural assessment.</w:t>
      </w:r>
    </w:p>
    <w:p>
      <w:pPr>
        <w:numPr>
          <w:ilvl w:val="0"/>
          <w:numId w:val="1009"/>
        </w:numPr>
      </w:pPr>
      <w:r>
        <w:rPr>
          <w:b/>
          <w:bCs/>
        </w:rPr>
        <w:t xml:space="preserve">Tract-specificity prediction:</w:t>
      </w:r>
      <w:r>
        <w:t xml:space="preserve"> </w:t>
      </w:r>
      <w:r>
        <w:t xml:space="preserve">White matter deficits in ASD should be tract-specific and staggered, not globally uniform. If deficits are evenly distributed, the staggered-demand model is weakened.</w:t>
      </w:r>
    </w:p>
    <w:p>
      <w:pPr>
        <w:numPr>
          <w:ilvl w:val="0"/>
          <w:numId w:val="1009"/>
        </w:numPr>
      </w:pPr>
      <w:r>
        <w:rPr>
          <w:b/>
          <w:bCs/>
        </w:rPr>
        <w:t xml:space="preserve">DTI signature prediction:</w:t>
      </w:r>
      <w:r>
        <w:t xml:space="preserve"> </w:t>
      </w:r>
      <w:r>
        <w:t xml:space="preserve">Children with perinatal risk who develop autism should show increased radial diffusivity (myelination failure signature), not increased axial diffusivity (axonal loss).</w:t>
      </w:r>
    </w:p>
    <w:p>
      <w:pPr>
        <w:numPr>
          <w:ilvl w:val="0"/>
          <w:numId w:val="1009"/>
        </w:numPr>
      </w:pPr>
      <w:r>
        <w:rPr>
          <w:b/>
          <w:bCs/>
        </w:rPr>
        <w:t xml:space="preserve">Dose-response prediction:</w:t>
      </w:r>
      <w:r>
        <w:t xml:space="preserve"> </w:t>
      </w:r>
      <w:r>
        <w:t xml:space="preserve">Severe PE should produce worse AF metrics than mild PE (matching epidemiological dose-response [58]).</w:t>
      </w:r>
    </w:p>
    <w:p>
      <w:pPr>
        <w:numPr>
          <w:ilvl w:val="0"/>
          <w:numId w:val="1009"/>
        </w:numPr>
      </w:pPr>
      <w:r>
        <w:rPr>
          <w:b/>
          <w:bCs/>
        </w:rPr>
        <w:t xml:space="preserve">IH burden prediction:</w:t>
      </w:r>
      <w:r>
        <w:t xml:space="preserve"> </w:t>
      </w:r>
      <w:r>
        <w:t xml:space="preserve">Cumulative intermittent hypoxia events should predict white matter tract integrity at school age.</w:t>
      </w:r>
    </w:p>
    <w:p>
      <w:pPr>
        <w:numPr>
          <w:ilvl w:val="0"/>
          <w:numId w:val="1009"/>
        </w:numPr>
      </w:pPr>
      <w:r>
        <w:rPr>
          <w:b/>
          <w:bCs/>
        </w:rPr>
        <w:t xml:space="preserve">EOPE vs LOPE prediction:</w:t>
      </w:r>
      <w:r>
        <w:t xml:space="preserve"> </w:t>
      </w:r>
      <w:r>
        <w:t xml:space="preserve">EOPE and LOPE should produce qualitatively different offspring outcome profiles corresponding to different open vulnerability windows — not merely different severity.</w:t>
      </w:r>
    </w:p>
    <w:p>
      <w:pPr>
        <w:numPr>
          <w:ilvl w:val="0"/>
          <w:numId w:val="1009"/>
        </w:numPr>
      </w:pPr>
      <w:r>
        <w:rPr>
          <w:b/>
          <w:bCs/>
        </w:rPr>
        <w:t xml:space="preserve">Pseudohypoxia prediction:</w:t>
      </w:r>
      <w:r>
        <w:t xml:space="preserve"> </w:t>
      </w:r>
      <w:r>
        <w:t xml:space="preserve">Maternal iron status should predict offspring developmental outcomes independently of oxygen measures. Testable with existing cohort data (Generation R has both).</w:t>
      </w:r>
    </w:p>
    <w:p>
      <w:pPr>
        <w:numPr>
          <w:ilvl w:val="0"/>
          <w:numId w:val="1009"/>
        </w:numPr>
      </w:pPr>
      <w:r>
        <w:rPr>
          <w:b/>
          <w:bCs/>
        </w:rPr>
        <w:t xml:space="preserve">Epigenetic prediction:</w:t>
      </w:r>
      <w:r>
        <w:t xml:space="preserve"> </w:t>
      </w:r>
      <w:r>
        <w:t xml:space="preserve">HIF3A methylation in cord blood or Guthrie cards should retrospectively identify gestational hypoxia exposure and predict organ-specific outcomes.</w:t>
      </w:r>
    </w:p>
    <w:bookmarkStart w:id="43" w:name="proposed-study-designs"/>
    <w:p>
      <w:pPr>
        <w:pStyle w:val="Heading3"/>
      </w:pPr>
      <w:r>
        <w:t xml:space="preserve">9.1 Proposed Study Designs</w:t>
      </w:r>
    </w:p>
    <w:p>
      <w:pPr>
        <w:pStyle w:val="FirstParagraph"/>
      </w:pPr>
      <w:r>
        <w:rPr>
          <w:b/>
          <w:bCs/>
        </w:rPr>
        <w:t xml:space="preserve">PRISM (Prospective Registry for Ischaemia-Specific Mapping):</w:t>
      </w:r>
      <w:r>
        <w:t xml:space="preserve"> </w:t>
      </w:r>
      <w:r>
        <w:t xml:space="preserve">1,000 mother-child dyads across 4 PE groups (early/late × mild/severe) + 3 control groups, 10-system outcome assessment, testing β₃ (PE group × System interaction) — the statistical test distinguishing the alignment model from uniform dose-response alternatives. Estimated cost: $3.2M.</w:t>
      </w:r>
    </w:p>
    <w:p>
      <w:pPr>
        <w:pStyle w:val="BodyText"/>
      </w:pPr>
      <w:r>
        <w:rPr>
          <w:b/>
          <w:bCs/>
        </w:rPr>
        <w:t xml:space="preserve">PRISM-Lite:</w:t>
      </w:r>
      <w:r>
        <w:t xml:space="preserve"> </w:t>
      </w:r>
      <w:r>
        <w:t xml:space="preserve">256 patients, 3 organ systems (white matter, renal, cardiac), 5-year follow-up, ~$830K — fundable on a single R01 grant.</w:t>
      </w:r>
    </w:p>
    <w:p>
      <w:pPr>
        <w:pStyle w:val="BodyText"/>
      </w:pPr>
      <w:r>
        <w:rPr>
          <w:b/>
          <w:bCs/>
        </w:rPr>
        <w:t xml:space="preserve">Immediate-action study:</w:t>
      </w:r>
      <w:r>
        <w:t xml:space="preserve"> </w:t>
      </w:r>
      <w:r>
        <w:t xml:space="preserve">Existing cohort analysis using Generation R (Rotterdam) and/or Danish National Registries — maternal iron status, PE timing, and offspring outcomes — achievable for &lt;$80K.</w:t>
      </w:r>
    </w:p>
    <w:p>
      <w:r>
        <w:pict>
          <v:rect style="width:0;height:1.5pt" o:hralign="center" o:hrstd="t" o:hr="t"/>
        </w:pict>
      </w:r>
    </w:p>
    <w:bookmarkEnd w:id="43"/>
    <w:bookmarkEnd w:id="44"/>
    <w:bookmarkStart w:id="45" w:name="what-the-alignment-model-adds-to-dohad"/>
    <w:p>
      <w:pPr>
        <w:pStyle w:val="Heading2"/>
      </w:pPr>
      <w:r>
        <w:t xml:space="preserve">10. WHAT THE ALIGNMENT MODEL ADDS TO DOHaD</w:t>
      </w:r>
    </w:p>
    <w:p>
      <w:pPr>
        <w:pStyle w:val="FirstParagraph"/>
      </w:pPr>
      <w:r>
        <w:t xml:space="preserve">The DOHaD paradigm established the epidemiological pattern: fetal adversity → adult disease [12–14]. But the DOHaD literature largely treats fetal adversity as a single variable (undernutrition, low birth weight).</w:t>
      </w:r>
    </w:p>
    <w:p>
      <w:pPr>
        <w:pStyle w:val="BodyText"/>
      </w:pPr>
      <w:r>
        <w:t xml:space="preserve">The alignment model adds three dimensions:</w:t>
      </w:r>
    </w:p>
    <w:p>
      <w:pPr>
        <w:numPr>
          <w:ilvl w:val="0"/>
          <w:numId w:val="1010"/>
        </w:numPr>
      </w:pPr>
      <w:r>
        <w:rPr>
          <w:b/>
          <w:bCs/>
        </w:rPr>
        <w:t xml:space="preserve">Temporal resolution.</w:t>
      </w:r>
      <w:r>
        <w:t xml:space="preserve"> </w:t>
      </w:r>
      <w:r>
        <w:t xml:space="preserve">The specific timing of the gestational insult determines which systems are injured (window alignment).</w:t>
      </w:r>
    </w:p>
    <w:p>
      <w:pPr>
        <w:numPr>
          <w:ilvl w:val="0"/>
          <w:numId w:val="1010"/>
        </w:numPr>
      </w:pPr>
      <w:r>
        <w:rPr>
          <w:b/>
          <w:bCs/>
        </w:rPr>
        <w:t xml:space="preserve">Cellular specificity.</w:t>
      </w:r>
      <w:r>
        <w:t xml:space="preserve"> </w:t>
      </w:r>
      <w:r>
        <w:t xml:space="preserve">The specific cell type in its vulnerability phase determines the nature of the injury (maturation arrest, reduced endowment, epigenetic reprogramming).</w:t>
      </w:r>
    </w:p>
    <w:p>
      <w:pPr>
        <w:numPr>
          <w:ilvl w:val="0"/>
          <w:numId w:val="1010"/>
        </w:numPr>
      </w:pPr>
      <w:r>
        <w:rPr>
          <w:b/>
          <w:bCs/>
        </w:rPr>
        <w:t xml:space="preserve">Demand-spike prediction.</w:t>
      </w:r>
      <w:r>
        <w:t xml:space="preserve"> </w:t>
      </w:r>
      <w:r>
        <w:t xml:space="preserve">The specific developmental demand spike determines when the injury becomes clinically visible (staggered unmasking across the lifespan).</w:t>
      </w:r>
    </w:p>
    <w:p>
      <w:pPr>
        <w:pStyle w:val="FirstParagraph"/>
      </w:pPr>
      <w:r>
        <w:t xml:space="preserve">DOHaD says:</w:t>
      </w:r>
      <w:r>
        <w:t xml:space="preserve"> </w:t>
      </w:r>
      <w:r>
        <w:t xml:space="preserve">“bad gestation → adult disease.”</w:t>
      </w:r>
      <w:r>
        <w:t xml:space="preserve"> </w:t>
      </w:r>
      <w:r>
        <w:t xml:space="preserve">The alignment model says:</w:t>
      </w:r>
      <w:r>
        <w:t xml:space="preserve"> </w:t>
      </w:r>
      <w:r>
        <w:t xml:space="preserve">“this oxygen event at this gestational week → this cell type injured → this system fails at this age when this demand exceeds this reserve.”</w:t>
      </w:r>
    </w:p>
    <w:p>
      <w:pPr>
        <w:pStyle w:val="BodyText"/>
      </w:pPr>
      <w:r>
        <w:t xml:space="preserve">It makes DOHaD mechanistic at the cellular level. And it makes it predictable.</w:t>
      </w:r>
    </w:p>
    <w:p>
      <w:r>
        <w:pict>
          <v:rect style="width:0;height:1.5pt" o:hralign="center" o:hrstd="t" o:hr="t"/>
        </w:pict>
      </w:r>
    </w:p>
    <w:bookmarkEnd w:id="45"/>
    <w:bookmarkStart w:id="46" w:name="epigenetic-retrospective-detection"/>
    <w:p>
      <w:pPr>
        <w:pStyle w:val="Heading2"/>
      </w:pPr>
      <w:r>
        <w:t xml:space="preserve">11. EPIGENETIC RETROSPECTIVE DETECTION</w:t>
      </w:r>
    </w:p>
    <w:p>
      <w:pPr>
        <w:pStyle w:val="FirstParagraph"/>
      </w:pPr>
      <w:r>
        <w:t xml:space="preserve">A critical finding: gestational hypoxia can be retrospectively detected from biological samples, without continuous monitoring.</w:t>
      </w:r>
    </w:p>
    <w:p>
      <w:pPr>
        <w:pStyle w:val="BodyText"/>
      </w:pPr>
      <w:r>
        <w:rPr>
          <w:b/>
          <w:bCs/>
        </w:rPr>
        <w:t xml:space="preserve">HIF3A methylation</w:t>
      </w:r>
      <w:r>
        <w:t xml:space="preserve"> </w:t>
      </w:r>
      <w:r>
        <w:t xml:space="preserve">in cord blood or archived newborn blood spots (Guthrie cards) serves as a direct marker of in-utero oxygen environment [88]. Organ-specific methylation signatures have been confirmed for cardiac, hepatic, and pulmonary programming [89,90]. EOPE and LOPE produce distinguishable methylation patterns [24]. Placental epigenetic gestational age (eGA) clocks detect accelerated biological aging from gestational stress [91,92].</w:t>
      </w:r>
    </w:p>
    <w:p>
      <w:pPr>
        <w:pStyle w:val="BodyText"/>
      </w:pPr>
      <w:r>
        <w:t xml:space="preserve">This means the alignment model can be partially tested today using existing cord blood and Guthrie card biobanks — without waiting for continuous fetal monitoring technology. Take an existing biobank from PE pregnancies, measure HIF3A methylation and organ-specific signatures, correlate with offspring outcomes at current age. Cost: &lt;$80,000 for a pilot using existing cohort infrastructure.</w:t>
      </w:r>
    </w:p>
    <w:p>
      <w:r>
        <w:pict>
          <v:rect style="width:0;height:1.5pt" o:hralign="center" o:hrstd="t" o:hr="t"/>
        </w:pict>
      </w:r>
    </w:p>
    <w:bookmarkEnd w:id="46"/>
    <w:bookmarkStart w:id="52" w:name="clinical-intervention-implications"/>
    <w:p>
      <w:pPr>
        <w:pStyle w:val="Heading2"/>
      </w:pPr>
      <w:r>
        <w:t xml:space="preserve">12. CLINICAL INTERVENTION IMPLICATIONS</w:t>
      </w:r>
    </w:p>
    <w:bookmarkStart w:id="47" w:name="the-template-principle"/>
    <w:p>
      <w:pPr>
        <w:pStyle w:val="Heading3"/>
      </w:pPr>
      <w:r>
        <w:t xml:space="preserve">12.1 The Template Principle</w:t>
      </w:r>
    </w:p>
    <w:p>
      <w:pPr>
        <w:pStyle w:val="FirstParagraph"/>
      </w:pPr>
      <w:r>
        <w:t xml:space="preserve">A developing fetus has no independent reference for normal development. It can only build its organs using the molecular signalling environment provided through the placenta. If that environment delivers dysregulated oxygen, depleted iron, or oscillating HIF-1α activation, the fetus incorporates those signals as its developmental template. The resulting organ architecture reflects the environment it was given — not because the fetus is defective, but because it faithfully executed its developmental programme with compromised inputs.</w:t>
      </w:r>
    </w:p>
    <w:p>
      <w:pPr>
        <w:pStyle w:val="BodyText"/>
      </w:pPr>
      <w:r>
        <w:t xml:space="preserve">This principle has a direct corollary: if we can detect the compromised signal at the placental interface, we can intervene before the template is written into tissue.</w:t>
      </w:r>
    </w:p>
    <w:bookmarkEnd w:id="47"/>
    <w:bookmarkStart w:id="48" w:name="X756624e1b036632c2b7730750830536c0d41c50"/>
    <w:p>
      <w:pPr>
        <w:pStyle w:val="Heading3"/>
      </w:pPr>
      <w:r>
        <w:t xml:space="preserve">12.2 Placental Detection as an Intervention Window</w:t>
      </w:r>
    </w:p>
    <w:p>
      <w:pPr>
        <w:pStyle w:val="FirstParagraph"/>
      </w:pPr>
      <w:r>
        <w:t xml:space="preserve">Placental insufficiency is not a sudden event. It develops over weeks. The model predicts that early detection of placental HIF-1α dysregulation — via maternal blood biomarkers (sFlt-1/PlGF ratio [96], cell-free fetal DNA methylation patterns, or placental-derived exosome profiling) — could identify pregnancies where the fetal molecular environment is compromised before irreversible organ-system injury occurs.</w:t>
      </w:r>
    </w:p>
    <w:p>
      <w:pPr>
        <w:pStyle w:val="BodyText"/>
      </w:pPr>
      <w:r>
        <w:t xml:space="preserve">Current clinical practice detects preeclampsia primarily through blood pressure and proteinuria — downstream indicators that appear after placental pathology is already established and fetal exposure has already begun. Moving detection upstream to the placental molecular signal would shift intervention from damage management to damage prevention.</w:t>
      </w:r>
    </w:p>
    <w:bookmarkEnd w:id="48"/>
    <w:bookmarkStart w:id="49" w:name="timed-oxygen-therapy"/>
    <w:p>
      <w:pPr>
        <w:pStyle w:val="Heading3"/>
      </w:pPr>
      <w:r>
        <w:t xml:space="preserve">12.3 Timed Oxygen Therapy</w:t>
      </w:r>
    </w:p>
    <w:p>
      <w:pPr>
        <w:pStyle w:val="FirstParagraph"/>
      </w:pPr>
      <w:r>
        <w:t xml:space="preserve">If specific organ-system vulnerability windows are known (Section 3.2), and placental insufficiency can be detected early, then oxygen supplementation could be targeted to the gestational windows when the most critical systems are under construction. This does not require continuous supplementation — it requires the right oxygen at the right time, matching delivery to the windows when PHD–VHL–FIH counter-regulation is most critical for each developing system.</w:t>
      </w:r>
    </w:p>
    <w:p>
      <w:pPr>
        <w:pStyle w:val="BodyText"/>
      </w:pPr>
      <w:r>
        <w:t xml:space="preserve">Existing evidence supports feasibility: maternal oxygen supplementation has been used in IUGR management [97], and the CAP trial demonstrated that reducing intermittent hypoxia events alone produced a 50% reduction in cerebral palsy [67,68]. The alignment model specifies which windows would benefit most and which systems would be protected.</w:t>
      </w:r>
    </w:p>
    <w:bookmarkEnd w:id="49"/>
    <w:bookmarkStart w:id="50" w:name="blocking-adverse-maternal-signals"/>
    <w:p>
      <w:pPr>
        <w:pStyle w:val="Heading3"/>
      </w:pPr>
      <w:r>
        <w:t xml:space="preserve">12.4 Blocking Adverse Maternal Signals</w:t>
      </w:r>
    </w:p>
    <w:p>
      <w:pPr>
        <w:pStyle w:val="FirstParagraph"/>
      </w:pPr>
      <w:r>
        <w:t xml:space="preserve">The intergenerational programming mechanism described in Section 7.1 raises an additional intervention target. If a mother’s own gestational programming has left her with vascular, endocrine, or immune signatures that impair her placental function — not through genomic inheritance but through epigenetically programmed physiology — then the adverse signal reaching the fetus is not genetic. It is environmental, transmitted through placental blood supply.</w:t>
      </w:r>
    </w:p>
    <w:p>
      <w:pPr>
        <w:pStyle w:val="BodyText"/>
      </w:pPr>
      <w:r>
        <w:t xml:space="preserve">This distinction is critical: a genomic cause cannot be blocked at the placenta; an epigenetically transmitted environmental signal potentially can. Interventions that improve placental perfusion (low-dose aspirin [98], statins [99]), correct cofactor deficiencies (iron, ascorbate — reversing pseudohypoxia), or modulate maternal immune activation at the placental interface could interrupt the intergenerational transmission cycle without requiring genetic modification.</w:t>
      </w:r>
    </w:p>
    <w:p>
      <w:pPr>
        <w:pStyle w:val="BodyText"/>
      </w:pPr>
      <w:r>
        <w:t xml:space="preserve">The model predicts that the most effective intervention window for breaking intergenerational transmission is not the mother’s current pregnancy but the</w:t>
      </w:r>
      <w:r>
        <w:t xml:space="preserve"> </w:t>
      </w:r>
      <w:r>
        <w:rPr>
          <w:i/>
          <w:iCs/>
        </w:rPr>
        <w:t xml:space="preserve">mother’s own fetal development</w:t>
      </w:r>
      <w:r>
        <w:t xml:space="preserve"> </w:t>
      </w:r>
      <w:r>
        <w:t xml:space="preserve">— an observation consistent with the DOHaD literature’s emphasis on preconception health [100]. However, within a current pregnancy, early placental signal detection combined with targeted cofactor correction and perfusion optimisation represents the most actionable near-term strategy.</w:t>
      </w:r>
    </w:p>
    <w:bookmarkEnd w:id="50"/>
    <w:bookmarkStart w:id="51" w:name="summary-of-intervention-targets"/>
    <w:p>
      <w:pPr>
        <w:pStyle w:val="Heading3"/>
      </w:pPr>
      <w:r>
        <w:t xml:space="preserve">12.5 Summary of Intervention Targets</w:t>
      </w:r>
    </w:p>
    <w:tbl>
      <w:tblPr>
        <w:tblStyle w:val="Table"/>
        <w:tblW w:type="pct" w:w="5000"/>
        <w:tblLayout w:type="fixed"/>
        <w:tblLook w:firstRow="1" w:lastRow="0" w:firstColumn="0" w:lastColumn="0" w:noHBand="0" w:noVBand="0" w:val="0020"/>
      </w:tblPr>
      <w:tblGrid>
        <w:gridCol w:w="2238"/>
        <w:gridCol w:w="1377"/>
        <w:gridCol w:w="1377"/>
        <w:gridCol w:w="2926"/>
      </w:tblGrid>
      <w:tr>
        <w:trPr>
          <w:tblHeader w:val="on"/>
        </w:trPr>
        <w:tc>
          <w:tcPr/>
          <w:p>
            <w:pPr>
              <w:pStyle w:val="Compact"/>
            </w:pPr>
            <w:r>
              <w:t xml:space="preserve">Intervention</w:t>
            </w:r>
          </w:p>
        </w:tc>
        <w:tc>
          <w:tcPr/>
          <w:p>
            <w:pPr>
              <w:pStyle w:val="Compact"/>
            </w:pPr>
            <w:r>
              <w:t xml:space="preserve">Target</w:t>
            </w:r>
          </w:p>
        </w:tc>
        <w:tc>
          <w:tcPr/>
          <w:p>
            <w:pPr>
              <w:pStyle w:val="Compact"/>
            </w:pPr>
            <w:r>
              <w:t xml:space="preserve">Timing</w:t>
            </w:r>
          </w:p>
        </w:tc>
        <w:tc>
          <w:tcPr/>
          <w:p>
            <w:pPr>
              <w:pStyle w:val="Compact"/>
            </w:pPr>
            <w:r>
              <w:t xml:space="preserve">Current Evidence</w:t>
            </w:r>
          </w:p>
        </w:tc>
      </w:tr>
      <w:tr>
        <w:tc>
          <w:tcPr/>
          <w:p>
            <w:pPr>
              <w:pStyle w:val="Compact"/>
            </w:pPr>
            <w:r>
              <w:t xml:space="preserve">sFlt-1/PlGF screening</w:t>
            </w:r>
          </w:p>
        </w:tc>
        <w:tc>
          <w:tcPr/>
          <w:p>
            <w:pPr>
              <w:pStyle w:val="Compact"/>
            </w:pPr>
            <w:r>
              <w:t xml:space="preserve">Placental detection</w:t>
            </w:r>
          </w:p>
        </w:tc>
        <w:tc>
          <w:tcPr/>
          <w:p>
            <w:pPr>
              <w:pStyle w:val="Compact"/>
            </w:pPr>
            <w:r>
              <w:t xml:space="preserve">20-24 weeks</w:t>
            </w:r>
          </w:p>
        </w:tc>
        <w:tc>
          <w:tcPr/>
          <w:p>
            <w:pPr>
              <w:pStyle w:val="Compact"/>
            </w:pPr>
            <w:r>
              <w:t xml:space="preserve">Strong [96]</w:t>
            </w:r>
          </w:p>
        </w:tc>
      </w:tr>
      <w:tr>
        <w:tc>
          <w:tcPr/>
          <w:p>
            <w:pPr>
              <w:pStyle w:val="Compact"/>
            </w:pPr>
            <w:r>
              <w:t xml:space="preserve">Maternal iron correction</w:t>
            </w:r>
          </w:p>
        </w:tc>
        <w:tc>
          <w:tcPr/>
          <w:p>
            <w:pPr>
              <w:pStyle w:val="Compact"/>
            </w:pPr>
            <w:r>
              <w:t xml:space="preserve">Pseudohypoxia reversal</w:t>
            </w:r>
          </w:p>
        </w:tc>
        <w:tc>
          <w:tcPr/>
          <w:p>
            <w:pPr>
              <w:pStyle w:val="Compact"/>
            </w:pPr>
            <w:r>
              <w:t xml:space="preserve">Pre-conception onward</w:t>
            </w:r>
          </w:p>
        </w:tc>
        <w:tc>
          <w:tcPr/>
          <w:p>
            <w:pPr>
              <w:pStyle w:val="Compact"/>
            </w:pPr>
            <w:r>
              <w:t xml:space="preserve">Strong (WHO)</w:t>
            </w:r>
          </w:p>
        </w:tc>
      </w:tr>
      <w:tr>
        <w:tc>
          <w:tcPr/>
          <w:p>
            <w:pPr>
              <w:pStyle w:val="Compact"/>
            </w:pPr>
            <w:r>
              <w:t xml:space="preserve">Ascorbate supplementation</w:t>
            </w:r>
          </w:p>
        </w:tc>
        <w:tc>
          <w:tcPr/>
          <w:p>
            <w:pPr>
              <w:pStyle w:val="Compact"/>
            </w:pPr>
            <w:r>
              <w:t xml:space="preserve">PHD cofactor restoration</w:t>
            </w:r>
          </w:p>
        </w:tc>
        <w:tc>
          <w:tcPr/>
          <w:p>
            <w:pPr>
              <w:pStyle w:val="Compact"/>
            </w:pPr>
            <w:r>
              <w:t xml:space="preserve">Pre-conception onward</w:t>
            </w:r>
          </w:p>
        </w:tc>
        <w:tc>
          <w:tcPr/>
          <w:p>
            <w:pPr>
              <w:pStyle w:val="Compact"/>
            </w:pPr>
            <w:r>
              <w:t xml:space="preserve">Moderate</w:t>
            </w:r>
          </w:p>
        </w:tc>
      </w:tr>
      <w:tr>
        <w:tc>
          <w:tcPr/>
          <w:p>
            <w:pPr>
              <w:pStyle w:val="Compact"/>
            </w:pPr>
            <w:r>
              <w:t xml:space="preserve">Low-dose aspirin</w:t>
            </w:r>
          </w:p>
        </w:tc>
        <w:tc>
          <w:tcPr/>
          <w:p>
            <w:pPr>
              <w:pStyle w:val="Compact"/>
            </w:pPr>
            <w:r>
              <w:t xml:space="preserve">Placental perfusion</w:t>
            </w:r>
          </w:p>
        </w:tc>
        <w:tc>
          <w:tcPr/>
          <w:p>
            <w:pPr>
              <w:pStyle w:val="Compact"/>
            </w:pPr>
            <w:r>
              <w:t xml:space="preserve">12-36 weeks</w:t>
            </w:r>
          </w:p>
        </w:tc>
        <w:tc>
          <w:tcPr/>
          <w:p>
            <w:pPr>
              <w:pStyle w:val="Compact"/>
            </w:pPr>
            <w:r>
              <w:t xml:space="preserve">Strong [98]</w:t>
            </w:r>
          </w:p>
        </w:tc>
      </w:tr>
      <w:tr>
        <w:tc>
          <w:tcPr/>
          <w:p>
            <w:pPr>
              <w:pStyle w:val="Compact"/>
            </w:pPr>
            <w:r>
              <w:t xml:space="preserve">Targeted O2 supplementation</w:t>
            </w:r>
          </w:p>
        </w:tc>
        <w:tc>
          <w:tcPr/>
          <w:p>
            <w:pPr>
              <w:pStyle w:val="Compact"/>
            </w:pPr>
            <w:r>
              <w:t xml:space="preserve">Window-matched delivery</w:t>
            </w:r>
          </w:p>
        </w:tc>
        <w:tc>
          <w:tcPr/>
          <w:p>
            <w:pPr>
              <w:pStyle w:val="Compact"/>
            </w:pPr>
            <w:r>
              <w:t xml:space="preserve">System-specific</w:t>
            </w:r>
          </w:p>
        </w:tc>
        <w:tc>
          <w:tcPr/>
          <w:p>
            <w:pPr>
              <w:pStyle w:val="Compact"/>
            </w:pPr>
            <w:r>
              <w:t xml:space="preserve">Speculative</w:t>
            </w:r>
          </w:p>
        </w:tc>
      </w:tr>
      <w:tr>
        <w:tc>
          <w:tcPr/>
          <w:p>
            <w:pPr>
              <w:pStyle w:val="Compact"/>
            </w:pPr>
            <w:r>
              <w:t xml:space="preserve">Caffeine (neonatal)</w:t>
            </w:r>
          </w:p>
        </w:tc>
        <w:tc>
          <w:tcPr/>
          <w:p>
            <w:pPr>
              <w:pStyle w:val="Compact"/>
            </w:pPr>
            <w:r>
              <w:t xml:space="preserve">IH reduction post-birth</w:t>
            </w:r>
          </w:p>
        </w:tc>
        <w:tc>
          <w:tcPr/>
          <w:p>
            <w:pPr>
              <w:pStyle w:val="Compact"/>
            </w:pPr>
            <w:r>
              <w:t xml:space="preserve">Birth onward</w:t>
            </w:r>
          </w:p>
        </w:tc>
        <w:tc>
          <w:tcPr/>
          <w:p>
            <w:pPr>
              <w:pStyle w:val="Compact"/>
            </w:pPr>
            <w:r>
              <w:t xml:space="preserve">Strong [67,68]</w:t>
            </w:r>
          </w:p>
        </w:tc>
      </w:tr>
      <w:tr>
        <w:tc>
          <w:tcPr/>
          <w:p>
            <w:pPr>
              <w:pStyle w:val="Compact"/>
            </w:pPr>
            <w:r>
              <w:t xml:space="preserve">Clemastine (developmental)</w:t>
            </w:r>
          </w:p>
        </w:tc>
        <w:tc>
          <w:tcPr/>
          <w:p>
            <w:pPr>
              <w:pStyle w:val="Compact"/>
            </w:pPr>
            <w:r>
              <w:t xml:space="preserve">OPC maturation rescue</w:t>
            </w:r>
          </w:p>
        </w:tc>
        <w:tc>
          <w:tcPr/>
          <w:p>
            <w:pPr>
              <w:pStyle w:val="Compact"/>
            </w:pPr>
            <w:r>
              <w:t xml:space="preserve">Postnatal (speculative)</w:t>
            </w:r>
          </w:p>
        </w:tc>
        <w:tc>
          <w:tcPr/>
          <w:p>
            <w:pPr>
              <w:pStyle w:val="Compact"/>
            </w:pPr>
            <w:r>
              <w:t xml:space="preserve">Not yet tested</w:t>
            </w:r>
          </w:p>
        </w:tc>
      </w:tr>
    </w:tbl>
    <w:p>
      <w:r>
        <w:pict>
          <v:rect style="width:0;height:1.5pt" o:hralign="center" o:hrstd="t" o:hr="t"/>
        </w:pict>
      </w:r>
    </w:p>
    <w:bookmarkEnd w:id="51"/>
    <w:bookmarkEnd w:id="52"/>
    <w:bookmarkStart w:id="53" w:name="conclusions"/>
    <w:p>
      <w:pPr>
        <w:pStyle w:val="Heading2"/>
      </w:pPr>
      <w:r>
        <w:t xml:space="preserve">13. CONCLUSIONS</w:t>
      </w:r>
    </w:p>
    <w:p>
      <w:pPr>
        <w:pStyle w:val="FirstParagraph"/>
      </w:pPr>
      <w:r>
        <w:t xml:space="preserve">The Gestational Oxygen-Timing Alignment Model proposes that the timing of gestational oxygen disruption determines which fetal organ systems sustain developmental injury, based on the principle that staggered vulnerability windows create system-specific sensitivity to a common insult transduced through the HIF-1α molecular pathway.</w:t>
      </w:r>
    </w:p>
    <w:p>
      <w:pPr>
        <w:pStyle w:val="BodyText"/>
      </w:pPr>
      <w:r>
        <w:t xml:space="preserve">The model integrates evidence across developmental neuroscience, HIF molecular biology, perinatal epidemiology, DTI neuroimaging, DOHaD, and therapeutic mechanism analysis. Its most complete evidentiary chain runs through white matter: preeclampsia → placental insufficiency → preOL maturation arrest → tract-specific myelination failure → staggered neurodevelopmental deficits. The broader multi-organ extension proposes that the same mechanism, operating through the same molecular sensor, produces the lifetime pattern of seemingly independent conditions currently diagnosed and treated in isolation.</w:t>
      </w:r>
    </w:p>
    <w:p>
      <w:pPr>
        <w:pStyle w:val="BodyText"/>
      </w:pPr>
      <w:r>
        <w:t xml:space="preserve">The model is constrained by serious challenges — particularly the genetics of autism, grey matter pathology, and the connectivity paradox — which limit its applicability to a subset of neurodevelopmental cases. The broader DOHaD extension to multi-organ programming is on stronger evidentiary ground.</w:t>
      </w:r>
    </w:p>
    <w:p>
      <w:pPr>
        <w:pStyle w:val="BodyText"/>
      </w:pPr>
      <w:r>
        <w:t xml:space="preserve">The model generates testable, falsifiable predictions that are achievable with current neuroimaging, cohort, and biobanking methods. The most immediate test requires no new data collection: retrospective epigenetic analysis of existing cord blood biobanks from preeclamptic pregnancies, correlated with offspring outcomes.</w:t>
      </w:r>
    </w:p>
    <w:p>
      <w:pPr>
        <w:pStyle w:val="BodyText"/>
      </w:pPr>
      <w:r>
        <w:t xml:space="preserve">If validated, the model would change clinical practice in two ways. First, prospective identification of at-risk systems at birth through epigenetic and biomarker screening, enabling targeted surveillance during each system’s forming phase — before the demand spike. Second, upstream intervention at the placental interface: detecting compromised fetal molecular environments early enough to correct cofactor deficiencies, optimise perfusion, and potentially interrupt intergenerational transmission of gestational vulnerability. The fetus builds with whatever template it is given. The clinical imperative is to ensure that template is adequate.</w:t>
      </w:r>
    </w:p>
    <w:p>
      <w:r>
        <w:pict>
          <v:rect style="width:0;height:1.5pt" o:hralign="center" o:hrstd="t" o:hr="t"/>
        </w:pict>
      </w:r>
    </w:p>
    <w:bookmarkEnd w:id="53"/>
    <w:bookmarkStart w:id="54" w:name="declarations"/>
    <w:p>
      <w:pPr>
        <w:pStyle w:val="Heading2"/>
      </w:pPr>
      <w:r>
        <w:t xml:space="preserve">DECLARATIONS</w:t>
      </w:r>
    </w:p>
    <w:p>
      <w:pPr>
        <w:pStyle w:val="FirstParagraph"/>
      </w:pPr>
      <w:r>
        <w:rPr>
          <w:b/>
          <w:bCs/>
        </w:rPr>
        <w:t xml:space="preserve">Competing Interests:</w:t>
      </w:r>
      <w:r>
        <w:t xml:space="preserve"> </w:t>
      </w:r>
      <w:r>
        <w:t xml:space="preserve">The author declares no competing interests.</w:t>
      </w:r>
    </w:p>
    <w:p>
      <w:pPr>
        <w:pStyle w:val="BodyText"/>
      </w:pPr>
      <w:r>
        <w:rPr>
          <w:b/>
          <w:bCs/>
        </w:rPr>
        <w:t xml:space="preserve">Funding:</w:t>
      </w:r>
      <w:r>
        <w:t xml:space="preserve"> </w:t>
      </w:r>
      <w:r>
        <w:t xml:space="preserve">This research received no external funding.</w:t>
      </w:r>
    </w:p>
    <w:p>
      <w:pPr>
        <w:pStyle w:val="BodyText"/>
      </w:pPr>
      <w:r>
        <w:rPr>
          <w:b/>
          <w:bCs/>
        </w:rPr>
        <w:t xml:space="preserve">Ethics Statement:</w:t>
      </w:r>
      <w:r>
        <w:t xml:space="preserve"> </w:t>
      </w:r>
      <w:r>
        <w:t xml:space="preserve">This work is a literature synthesis and hypothesis paper. No human subjects were enrolled, no patient data were collected, and no ethics committee approval was required.</w:t>
      </w:r>
    </w:p>
    <w:p>
      <w:pPr>
        <w:pStyle w:val="BodyText"/>
      </w:pPr>
      <w:r>
        <w:rPr>
          <w:b/>
          <w:bCs/>
        </w:rPr>
        <w:t xml:space="preserve">Data Availability:</w:t>
      </w:r>
      <w:r>
        <w:t xml:space="preserve"> </w:t>
      </w:r>
      <w:r>
        <w:t xml:space="preserve">This is a literature synthesis; no original experimental data were generated. All supporting materials, including the 22 thematic research documents comprising the evidence base (12,500+ lines, 400+ citations), are publicly available at: https://github.com/JustNothingJay/SECS_Research/tree/main/biological-research</w:t>
      </w:r>
    </w:p>
    <w:p>
      <w:pPr>
        <w:pStyle w:val="BodyText"/>
      </w:pPr>
      <w:r>
        <w:rPr>
          <w:b/>
          <w:bCs/>
        </w:rPr>
        <w:t xml:space="preserve">Author Contributions:</w:t>
      </w:r>
      <w:r>
        <w:t xml:space="preserve"> </w:t>
      </w:r>
      <w:r>
        <w:t xml:space="preserve">JC conceived the model, conducted the literature synthesis, performed the adversarial stress test, and wrote the manuscript.</w:t>
      </w:r>
    </w:p>
    <w:p>
      <w:r>
        <w:pict>
          <v:rect style="width:0;height:1.5pt" o:hralign="center" o:hrstd="t" o:hr="t"/>
        </w:pict>
      </w:r>
    </w:p>
    <w:bookmarkEnd w:id="54"/>
    <w:bookmarkStart w:id="55" w:name="references"/>
    <w:p>
      <w:pPr>
        <w:pStyle w:val="Heading2"/>
      </w:pPr>
      <w:r>
        <w:t xml:space="preserve">REFERENCES</w:t>
      </w:r>
    </w:p>
    <w:p>
      <w:pPr>
        <w:pStyle w:val="Compact"/>
        <w:numPr>
          <w:ilvl w:val="0"/>
          <w:numId w:val="1011"/>
        </w:numPr>
      </w:pPr>
      <w:r>
        <w:t xml:space="preserve">Dachew BA, Mamun A, Engel SM, et al. Association between hypertensive disorders of pregnancy and the risk of autism spectrum disorder in offspring: a systematic review and meta-analysis.</w:t>
      </w:r>
      <w:r>
        <w:t xml:space="preserve"> </w:t>
      </w:r>
      <w:r>
        <w:rPr>
          <w:i/>
          <w:iCs/>
        </w:rPr>
        <w:t xml:space="preserve">BMJ Open</w:t>
      </w:r>
      <w:r>
        <w:t xml:space="preserve">. 2018;8:e019212.</w:t>
      </w:r>
    </w:p>
    <w:p>
      <w:pPr>
        <w:pStyle w:val="Compact"/>
        <w:numPr>
          <w:ilvl w:val="0"/>
          <w:numId w:val="1011"/>
        </w:numPr>
      </w:pPr>
      <w:r>
        <w:t xml:space="preserve">Maher GM, O’Keeffe GW, Kearney PM, et al. Association of hypertensive disorders of pregnancy with risk of neurodevelopmental disorders in offspring: a systematic review and meta-analysis.</w:t>
      </w:r>
      <w:r>
        <w:t xml:space="preserve"> </w:t>
      </w:r>
      <w:r>
        <w:rPr>
          <w:i/>
          <w:iCs/>
        </w:rPr>
        <w:t xml:space="preserve">JAMA Psychiatry</w:t>
      </w:r>
      <w:r>
        <w:t xml:space="preserve">. 2018;75(8):809-819.</w:t>
      </w:r>
    </w:p>
    <w:p>
      <w:pPr>
        <w:pStyle w:val="Compact"/>
        <w:numPr>
          <w:ilvl w:val="0"/>
          <w:numId w:val="1011"/>
        </w:numPr>
      </w:pPr>
      <w:r>
        <w:t xml:space="preserve">Wang C, Geng H, Liu W, Zhang G. Prenatal, perinatal, and postnatal factors associated with autism: a meta-analysis.</w:t>
      </w:r>
      <w:r>
        <w:t xml:space="preserve"> </w:t>
      </w:r>
      <w:r>
        <w:rPr>
          <w:i/>
          <w:iCs/>
        </w:rPr>
        <w:t xml:space="preserve">Medicine</w:t>
      </w:r>
      <w:r>
        <w:t xml:space="preserve">. 2017;96(18):e6696.</w:t>
      </w:r>
    </w:p>
    <w:p>
      <w:pPr>
        <w:pStyle w:val="Compact"/>
        <w:numPr>
          <w:ilvl w:val="0"/>
          <w:numId w:val="1011"/>
        </w:numPr>
      </w:pPr>
      <w:r>
        <w:t xml:space="preserve">Back SA, Luo NL, Borenstein NS, et al. Late oligodendrocyte progenitors coincide with the developmental window of vulnerability for human perinatal white matter injury.</w:t>
      </w:r>
      <w:r>
        <w:t xml:space="preserve"> </w:t>
      </w:r>
      <w:r>
        <w:rPr>
          <w:i/>
          <w:iCs/>
        </w:rPr>
        <w:t xml:space="preserve">J Neurosci</w:t>
      </w:r>
      <w:r>
        <w:t xml:space="preserve">. 2001;21(4):1302-1312.</w:t>
      </w:r>
    </w:p>
    <w:p>
      <w:pPr>
        <w:pStyle w:val="Compact"/>
        <w:numPr>
          <w:ilvl w:val="0"/>
          <w:numId w:val="1011"/>
        </w:numPr>
      </w:pPr>
      <w:r>
        <w:t xml:space="preserve">Back SA, Han BH, Luo NL, et al. Selective vulnerability of late oligodendrocyte progenitors to hypoxia-ischemia.</w:t>
      </w:r>
      <w:r>
        <w:t xml:space="preserve"> </w:t>
      </w:r>
      <w:r>
        <w:rPr>
          <w:i/>
          <w:iCs/>
        </w:rPr>
        <w:t xml:space="preserve">J Neurosci</w:t>
      </w:r>
      <w:r>
        <w:t xml:space="preserve">. 2002;22(2):455-463.</w:t>
      </w:r>
    </w:p>
    <w:p>
      <w:pPr>
        <w:pStyle w:val="Compact"/>
        <w:numPr>
          <w:ilvl w:val="0"/>
          <w:numId w:val="1011"/>
        </w:numPr>
      </w:pPr>
      <w:r>
        <w:t xml:space="preserve">Buser JR, Maire J, Bhatt A, et al. Arrested preoligodendrocyte maturation contributes to myelination failure in premature infants.</w:t>
      </w:r>
      <w:r>
        <w:t xml:space="preserve"> </w:t>
      </w:r>
      <w:r>
        <w:rPr>
          <w:i/>
          <w:iCs/>
        </w:rPr>
        <w:t xml:space="preserve">Ann Neurol</w:t>
      </w:r>
      <w:r>
        <w:t xml:space="preserve">. 2012;71(1):93-109.</w:t>
      </w:r>
    </w:p>
    <w:p>
      <w:pPr>
        <w:pStyle w:val="Compact"/>
        <w:numPr>
          <w:ilvl w:val="0"/>
          <w:numId w:val="1011"/>
        </w:numPr>
      </w:pPr>
      <w:r>
        <w:t xml:space="preserve">Luyckx VA, Brenner BM. The clinical importance of nephron mass.</w:t>
      </w:r>
      <w:r>
        <w:t xml:space="preserve"> </w:t>
      </w:r>
      <w:r>
        <w:rPr>
          <w:i/>
          <w:iCs/>
        </w:rPr>
        <w:t xml:space="preserve">J Am Soc Nephrol</w:t>
      </w:r>
      <w:r>
        <w:t xml:space="preserve">. 2010;21(6):898-910.</w:t>
      </w:r>
    </w:p>
    <w:p>
      <w:pPr>
        <w:pStyle w:val="Compact"/>
        <w:numPr>
          <w:ilvl w:val="0"/>
          <w:numId w:val="1011"/>
        </w:numPr>
      </w:pPr>
      <w:r>
        <w:t xml:space="preserve">Brenner BM, Garcia DL, Anderson S. Glomeruli and blood pressure: less of one, more of the other?</w:t>
      </w:r>
      <w:r>
        <w:t xml:space="preserve"> </w:t>
      </w:r>
      <w:r>
        <w:rPr>
          <w:i/>
          <w:iCs/>
        </w:rPr>
        <w:t xml:space="preserve">Am J Hypertens</w:t>
      </w:r>
      <w:r>
        <w:t xml:space="preserve">. 1988;1(4 Pt 1):335-347.</w:t>
      </w:r>
    </w:p>
    <w:p>
      <w:pPr>
        <w:pStyle w:val="Compact"/>
        <w:numPr>
          <w:ilvl w:val="0"/>
          <w:numId w:val="1011"/>
        </w:numPr>
      </w:pPr>
      <w:r>
        <w:t xml:space="preserve">Bauman ML, Kemper TL. Histoanatomic observations of the brain in early infantile autism.</w:t>
      </w:r>
      <w:r>
        <w:t xml:space="preserve"> </w:t>
      </w:r>
      <w:r>
        <w:rPr>
          <w:i/>
          <w:iCs/>
        </w:rPr>
        <w:t xml:space="preserve">Neurology</w:t>
      </w:r>
      <w:r>
        <w:t xml:space="preserve">. 1985;35(6):866-874.</w:t>
      </w:r>
    </w:p>
    <w:p>
      <w:pPr>
        <w:pStyle w:val="Compact"/>
        <w:numPr>
          <w:ilvl w:val="0"/>
          <w:numId w:val="1011"/>
        </w:numPr>
      </w:pPr>
      <w:r>
        <w:t xml:space="preserve">Botting KJ, Wang KC, Paber M, et al. Early origins of heart disease: low birth weight and determinants of cardiomyocyte endowment.</w:t>
      </w:r>
      <w:r>
        <w:t xml:space="preserve"> </w:t>
      </w:r>
      <w:r>
        <w:rPr>
          <w:i/>
          <w:iCs/>
        </w:rPr>
        <w:t xml:space="preserve">Clin Exp Pharmacol Physiol</w:t>
      </w:r>
      <w:r>
        <w:t xml:space="preserve">. 2012;39(9):814-823.</w:t>
      </w:r>
    </w:p>
    <w:p>
      <w:pPr>
        <w:pStyle w:val="Compact"/>
        <w:numPr>
          <w:ilvl w:val="0"/>
          <w:numId w:val="1011"/>
        </w:numPr>
      </w:pPr>
      <w:r>
        <w:t xml:space="preserve">Schmidt-Kastner R, Freund TF. Selective vulnerability of the hippocampus in brain ischemia.</w:t>
      </w:r>
      <w:r>
        <w:t xml:space="preserve"> </w:t>
      </w:r>
      <w:r>
        <w:rPr>
          <w:i/>
          <w:iCs/>
        </w:rPr>
        <w:t xml:space="preserve">Neuroscience</w:t>
      </w:r>
      <w:r>
        <w:t xml:space="preserve">. 1991;40(3):599-636.</w:t>
      </w:r>
    </w:p>
    <w:p>
      <w:pPr>
        <w:pStyle w:val="Compact"/>
        <w:numPr>
          <w:ilvl w:val="0"/>
          <w:numId w:val="1011"/>
        </w:numPr>
      </w:pPr>
      <w:r>
        <w:t xml:space="preserve">Barker DJ. The fetal and infant origins of adult disease.</w:t>
      </w:r>
      <w:r>
        <w:t xml:space="preserve"> </w:t>
      </w:r>
      <w:r>
        <w:rPr>
          <w:i/>
          <w:iCs/>
        </w:rPr>
        <w:t xml:space="preserve">BMJ</w:t>
      </w:r>
      <w:r>
        <w:t xml:space="preserve">. 1990;301(6761):1111.</w:t>
      </w:r>
    </w:p>
    <w:p>
      <w:pPr>
        <w:pStyle w:val="Compact"/>
        <w:numPr>
          <w:ilvl w:val="0"/>
          <w:numId w:val="1011"/>
        </w:numPr>
      </w:pPr>
      <w:r>
        <w:t xml:space="preserve">Barker DJ. Fetal origins of coronary heart disease.</w:t>
      </w:r>
      <w:r>
        <w:t xml:space="preserve"> </w:t>
      </w:r>
      <w:r>
        <w:rPr>
          <w:i/>
          <w:iCs/>
        </w:rPr>
        <w:t xml:space="preserve">BMJ</w:t>
      </w:r>
      <w:r>
        <w:t xml:space="preserve">. 1995;311(6998):171-174.</w:t>
      </w:r>
    </w:p>
    <w:p>
      <w:pPr>
        <w:pStyle w:val="Compact"/>
        <w:numPr>
          <w:ilvl w:val="0"/>
          <w:numId w:val="1011"/>
        </w:numPr>
      </w:pPr>
      <w:r>
        <w:t xml:space="preserve">Barker DJ. The origins of the developmental origins theory.</w:t>
      </w:r>
      <w:r>
        <w:t xml:space="preserve"> </w:t>
      </w:r>
      <w:r>
        <w:rPr>
          <w:i/>
          <w:iCs/>
        </w:rPr>
        <w:t xml:space="preserve">J Intern Med</w:t>
      </w:r>
      <w:r>
        <w:t xml:space="preserve">. 2007;261(5):467-474.</w:t>
      </w:r>
    </w:p>
    <w:p>
      <w:pPr>
        <w:pStyle w:val="Compact"/>
        <w:numPr>
          <w:ilvl w:val="0"/>
          <w:numId w:val="1011"/>
        </w:numPr>
      </w:pPr>
      <w:r>
        <w:t xml:space="preserve">Gluckman PD, Hanson MA. Living with the past: evolution, development, and patterns of disease.</w:t>
      </w:r>
      <w:r>
        <w:t xml:space="preserve"> </w:t>
      </w:r>
      <w:r>
        <w:rPr>
          <w:i/>
          <w:iCs/>
        </w:rPr>
        <w:t xml:space="preserve">Science</w:t>
      </w:r>
      <w:r>
        <w:t xml:space="preserve">. 2004;305(5691):1733-1736.</w:t>
      </w:r>
    </w:p>
    <w:p>
      <w:pPr>
        <w:pStyle w:val="Compact"/>
        <w:numPr>
          <w:ilvl w:val="0"/>
          <w:numId w:val="1011"/>
        </w:numPr>
      </w:pPr>
      <w:r>
        <w:t xml:space="preserve">Hanson MA, Gluckman PD. Early developmental conditioning of later health and disease: physiology or pathophysiology?</w:t>
      </w:r>
      <w:r>
        <w:t xml:space="preserve"> </w:t>
      </w:r>
      <w:r>
        <w:rPr>
          <w:i/>
          <w:iCs/>
        </w:rPr>
        <w:t xml:space="preserve">Physiol Rev</w:t>
      </w:r>
      <w:r>
        <w:t xml:space="preserve">. 2014;94(4):1027-1076.</w:t>
      </w:r>
    </w:p>
    <w:p>
      <w:pPr>
        <w:pStyle w:val="Compact"/>
        <w:numPr>
          <w:ilvl w:val="0"/>
          <w:numId w:val="1011"/>
        </w:numPr>
      </w:pPr>
      <w:r>
        <w:t xml:space="preserve">Godfrey KM, Lillycrop KA, Burdge GC, et al. Epigenetic mechanisms and the mismatch concept of the developmental origins of health and disease.</w:t>
      </w:r>
      <w:r>
        <w:t xml:space="preserve"> </w:t>
      </w:r>
      <w:r>
        <w:rPr>
          <w:i/>
          <w:iCs/>
        </w:rPr>
        <w:t xml:space="preserve">Pediatr Res</w:t>
      </w:r>
      <w:r>
        <w:t xml:space="preserve">. 2007;61(5 Pt 2):5R-10R.</w:t>
      </w:r>
    </w:p>
    <w:p>
      <w:pPr>
        <w:pStyle w:val="Compact"/>
        <w:numPr>
          <w:ilvl w:val="0"/>
          <w:numId w:val="1011"/>
        </w:numPr>
      </w:pPr>
      <w:r>
        <w:t xml:space="preserve">Contreras NA, Fontana L, Tosti V, Nikolich-Žugich J. Calorie restriction induces reversible lymphopenia and lymphoid organ atrophy due to cell redistribution.</w:t>
      </w:r>
      <w:r>
        <w:t xml:space="preserve"> </w:t>
      </w:r>
      <w:r>
        <w:rPr>
          <w:i/>
          <w:iCs/>
        </w:rPr>
        <w:t xml:space="preserve">Geroscience</w:t>
      </w:r>
      <w:r>
        <w:t xml:space="preserve">. 2018;40(3):279-291.</w:t>
      </w:r>
    </w:p>
    <w:p>
      <w:pPr>
        <w:pStyle w:val="Compact"/>
        <w:numPr>
          <w:ilvl w:val="0"/>
          <w:numId w:val="1011"/>
        </w:numPr>
      </w:pPr>
      <w:r>
        <w:t xml:space="preserve">Boehmer BH, Limesand SW, Rozance PJ. The impact of IUGR on pancreatic islet development and neonatal β-cell homeostasis.</w:t>
      </w:r>
      <w:r>
        <w:t xml:space="preserve"> </w:t>
      </w:r>
      <w:r>
        <w:rPr>
          <w:i/>
          <w:iCs/>
        </w:rPr>
        <w:t xml:space="preserve">J Endocrinol</w:t>
      </w:r>
      <w:r>
        <w:t xml:space="preserve">. 2017;235(2):R63-R76.</w:t>
      </w:r>
    </w:p>
    <w:p>
      <w:pPr>
        <w:pStyle w:val="Compact"/>
        <w:numPr>
          <w:ilvl w:val="0"/>
          <w:numId w:val="1011"/>
        </w:numPr>
      </w:pPr>
      <w:r>
        <w:t xml:space="preserve">Saini Y, Harkema JR, LaPres JJ. HIF1α is essential for normal intrauterine differentiation of alveolar epithelium and surfactant production in the newborn lung of mice.</w:t>
      </w:r>
      <w:r>
        <w:t xml:space="preserve"> </w:t>
      </w:r>
      <w:r>
        <w:rPr>
          <w:i/>
          <w:iCs/>
        </w:rPr>
        <w:t xml:space="preserve">J Biol Chem</w:t>
      </w:r>
      <w:r>
        <w:t xml:space="preserve">. 2008;283(48):33650-33657.</w:t>
      </w:r>
    </w:p>
    <w:p>
      <w:pPr>
        <w:pStyle w:val="Compact"/>
        <w:numPr>
          <w:ilvl w:val="0"/>
          <w:numId w:val="1011"/>
        </w:numPr>
      </w:pPr>
      <w:r>
        <w:t xml:space="preserve">McQuillen PS, DeFreitas MF, Zada G, Bhatt DL, Bhatt SM. Selective vulnerability of subplate neurons after early neonatal hypoxia-ischemia.</w:t>
      </w:r>
      <w:r>
        <w:t xml:space="preserve"> </w:t>
      </w:r>
      <w:r>
        <w:rPr>
          <w:i/>
          <w:iCs/>
        </w:rPr>
        <w:t xml:space="preserve">J Neurosci</w:t>
      </w:r>
      <w:r>
        <w:t xml:space="preserve">. 2003;23(8):3308-3315.</w:t>
      </w:r>
    </w:p>
    <w:p>
      <w:pPr>
        <w:pStyle w:val="Compact"/>
        <w:numPr>
          <w:ilvl w:val="0"/>
          <w:numId w:val="1011"/>
        </w:numPr>
      </w:pPr>
      <w:r>
        <w:t xml:space="preserve">McClendon E, Shaver DC, Degener-O’Brien K, et al. Transient hypoxemia chronically disrupts maturation of preterm fetal ovine subplate neuron arborization and activity.</w:t>
      </w:r>
      <w:r>
        <w:t xml:space="preserve"> </w:t>
      </w:r>
      <w:r>
        <w:rPr>
          <w:i/>
          <w:iCs/>
        </w:rPr>
        <w:t xml:space="preserve">J Neurosci</w:t>
      </w:r>
      <w:r>
        <w:t xml:space="preserve">. 2017;37(49):11912-11929.</w:t>
      </w:r>
    </w:p>
    <w:p>
      <w:pPr>
        <w:pStyle w:val="Compact"/>
        <w:numPr>
          <w:ilvl w:val="0"/>
          <w:numId w:val="1011"/>
        </w:numPr>
      </w:pPr>
      <w:r>
        <w:t xml:space="preserve">Stone J, Chan-Ling T, Pe’er J, et al. Roles of vascular endothelial growth factor and astrocyte degeneration in the genesis of retinopathy of prematurity.</w:t>
      </w:r>
      <w:r>
        <w:t xml:space="preserve"> </w:t>
      </w:r>
      <w:r>
        <w:rPr>
          <w:i/>
          <w:iCs/>
        </w:rPr>
        <w:t xml:space="preserve">Invest Ophthalmol Vis Sci</w:t>
      </w:r>
      <w:r>
        <w:t xml:space="preserve">. 1996;37(2):290-299.</w:t>
      </w:r>
    </w:p>
    <w:p>
      <w:pPr>
        <w:pStyle w:val="Compact"/>
        <w:numPr>
          <w:ilvl w:val="0"/>
          <w:numId w:val="1011"/>
        </w:numPr>
      </w:pPr>
      <w:r>
        <w:t xml:space="preserve">Herzog EM, Eggink AJ, Reijnierse A, et al. Early- and late-onset preeclampsia and the tissue-specific epigenome of the placenta and newborn.</w:t>
      </w:r>
      <w:r>
        <w:t xml:space="preserve"> </w:t>
      </w:r>
      <w:r>
        <w:rPr>
          <w:i/>
          <w:iCs/>
        </w:rPr>
        <w:t xml:space="preserve">Placenta</w:t>
      </w:r>
      <w:r>
        <w:t xml:space="preserve">. 2017;58:122-132.</w:t>
      </w:r>
    </w:p>
    <w:p>
      <w:pPr>
        <w:pStyle w:val="Compact"/>
        <w:numPr>
          <w:ilvl w:val="0"/>
          <w:numId w:val="1011"/>
        </w:numPr>
      </w:pPr>
      <w:r>
        <w:t xml:space="preserve">Stadler JT, Wadsack C, Gensebittel L, et al. Altered lipid metabolism in early- and late-onset preeclampsia.</w:t>
      </w:r>
      <w:r>
        <w:t xml:space="preserve"> </w:t>
      </w:r>
      <w:r>
        <w:rPr>
          <w:i/>
          <w:iCs/>
        </w:rPr>
        <w:t xml:space="preserve">BMC Pregnancy Childbirth</w:t>
      </w:r>
      <w:r>
        <w:t xml:space="preserve">. 2023;23(1):816.</w:t>
      </w:r>
    </w:p>
    <w:p>
      <w:pPr>
        <w:pStyle w:val="Compact"/>
        <w:numPr>
          <w:ilvl w:val="0"/>
          <w:numId w:val="1011"/>
        </w:numPr>
      </w:pPr>
      <w:r>
        <w:t xml:space="preserve">Lebel C, Walker L, Leemans A, Phillips L, Beaulieu C. Microstructural maturation of the human brain from childhood to adulthood.</w:t>
      </w:r>
      <w:r>
        <w:t xml:space="preserve"> </w:t>
      </w:r>
      <w:r>
        <w:rPr>
          <w:i/>
          <w:iCs/>
        </w:rPr>
        <w:t xml:space="preserve">NeuroImage</w:t>
      </w:r>
      <w:r>
        <w:t xml:space="preserve">. 2008;40(3):1044-1055.</w:t>
      </w:r>
    </w:p>
    <w:p>
      <w:pPr>
        <w:pStyle w:val="Compact"/>
        <w:numPr>
          <w:ilvl w:val="0"/>
          <w:numId w:val="1011"/>
        </w:numPr>
      </w:pPr>
      <w:r>
        <w:t xml:space="preserve">Semenza GL. HIF-1: mediator of physiological and pathophysiological responses to hypoxia.</w:t>
      </w:r>
      <w:r>
        <w:t xml:space="preserve"> </w:t>
      </w:r>
      <w:r>
        <w:rPr>
          <w:i/>
          <w:iCs/>
        </w:rPr>
        <w:t xml:space="preserve">J Appl Physiol</w:t>
      </w:r>
      <w:r>
        <w:t xml:space="preserve">. 2000;88(4):1474-1480.</w:t>
      </w:r>
    </w:p>
    <w:p>
      <w:pPr>
        <w:pStyle w:val="Compact"/>
        <w:numPr>
          <w:ilvl w:val="0"/>
          <w:numId w:val="1011"/>
        </w:numPr>
      </w:pPr>
      <w:r>
        <w:t xml:space="preserve">Kaelin WG Jr, Ratcliffe PJ. Oxygen sensing by metazoans: the central role of the HIF hydroxylase pathway.</w:t>
      </w:r>
      <w:r>
        <w:t xml:space="preserve"> </w:t>
      </w:r>
      <w:r>
        <w:rPr>
          <w:i/>
          <w:iCs/>
        </w:rPr>
        <w:t xml:space="preserve">Mol Cell</w:t>
      </w:r>
      <w:r>
        <w:t xml:space="preserve">. 2008;30(4):373-383.</w:t>
      </w:r>
    </w:p>
    <w:p>
      <w:pPr>
        <w:pStyle w:val="Compact"/>
        <w:numPr>
          <w:ilvl w:val="0"/>
          <w:numId w:val="1011"/>
        </w:numPr>
      </w:pPr>
      <w:r>
        <w:t xml:space="preserve">Kobayashi H, Liu Q, Binber TC, et al. Distinct subpopulations of FOXD1 stroma-derived cells regulate renal erythropoietin.</w:t>
      </w:r>
      <w:r>
        <w:t xml:space="preserve"> </w:t>
      </w:r>
      <w:r>
        <w:rPr>
          <w:i/>
          <w:iCs/>
        </w:rPr>
        <w:t xml:space="preserve">J Clin Invest</w:t>
      </w:r>
      <w:r>
        <w:t xml:space="preserve">. 2016;126(5):1926-1938.</w:t>
      </w:r>
    </w:p>
    <w:p>
      <w:pPr>
        <w:pStyle w:val="Compact"/>
        <w:numPr>
          <w:ilvl w:val="0"/>
          <w:numId w:val="1011"/>
        </w:numPr>
      </w:pPr>
      <w:r>
        <w:t xml:space="preserve">Llurba Olive E, Xiao E, Natale DRC, Fisher SA. Oxygen and lack of oxygen in fetal and placental development, feto-placental coupling, and congenital heart defects.</w:t>
      </w:r>
      <w:r>
        <w:t xml:space="preserve"> </w:t>
      </w:r>
      <w:r>
        <w:rPr>
          <w:i/>
          <w:iCs/>
        </w:rPr>
        <w:t xml:space="preserve">Front Pediatr</w:t>
      </w:r>
      <w:r>
        <w:t xml:space="preserve">. 2018;6:327.</w:t>
      </w:r>
    </w:p>
    <w:p>
      <w:pPr>
        <w:pStyle w:val="Compact"/>
        <w:numPr>
          <w:ilvl w:val="0"/>
          <w:numId w:val="1011"/>
        </w:numPr>
      </w:pPr>
      <w:r>
        <w:t xml:space="preserve">Wellmann S, Bührer C, Schmitz T. Focal necrosis and disturbed myelination in the white matter of newborn infants: a tale of too much or too little oxygen.</w:t>
      </w:r>
      <w:r>
        <w:t xml:space="preserve"> </w:t>
      </w:r>
      <w:r>
        <w:rPr>
          <w:i/>
          <w:iCs/>
        </w:rPr>
        <w:t xml:space="preserve">Front Pediatr</w:t>
      </w:r>
      <w:r>
        <w:t xml:space="preserve">. 2015;2:143.</w:t>
      </w:r>
    </w:p>
    <w:p>
      <w:pPr>
        <w:pStyle w:val="Compact"/>
        <w:numPr>
          <w:ilvl w:val="0"/>
          <w:numId w:val="1011"/>
        </w:numPr>
      </w:pPr>
      <w:r>
        <w:t xml:space="preserve">Nobel Prize Committee. The Nobel Prize in Physiology or Medicine 2019. Press release; 7 Oct 2019.</w:t>
      </w:r>
    </w:p>
    <w:p>
      <w:pPr>
        <w:pStyle w:val="Compact"/>
        <w:numPr>
          <w:ilvl w:val="0"/>
          <w:numId w:val="1011"/>
        </w:numPr>
      </w:pPr>
      <w:r>
        <w:t xml:space="preserve">Huang LE, Gu J, Schau M, Bunn HF. Regulation of hypoxia-inducible factor 1alpha is mediated by an O₂-dependent degradation domain via the ubiquitin-proteasome pathway.</w:t>
      </w:r>
      <w:r>
        <w:t xml:space="preserve"> </w:t>
      </w:r>
      <w:r>
        <w:rPr>
          <w:i/>
          <w:iCs/>
        </w:rPr>
        <w:t xml:space="preserve">Proc Natl Acad Sci USA</w:t>
      </w:r>
      <w:r>
        <w:t xml:space="preserve">. 1998;95(14):7987-7992.</w:t>
      </w:r>
    </w:p>
    <w:p>
      <w:pPr>
        <w:pStyle w:val="Compact"/>
        <w:numPr>
          <w:ilvl w:val="0"/>
          <w:numId w:val="1011"/>
        </w:numPr>
      </w:pPr>
      <w:r>
        <w:t xml:space="preserve">Mahon PC, Hirota K, Semenza GL. FIH-1: a novel protein that interacts with HIF-1α and VHL to mediate repression of HIF-1 transcriptional activity.</w:t>
      </w:r>
      <w:r>
        <w:t xml:space="preserve"> </w:t>
      </w:r>
      <w:r>
        <w:rPr>
          <w:i/>
          <w:iCs/>
        </w:rPr>
        <w:t xml:space="preserve">Genes Dev</w:t>
      </w:r>
      <w:r>
        <w:t xml:space="preserve">. 2001;15(20):2675-2686.</w:t>
      </w:r>
    </w:p>
    <w:p>
      <w:pPr>
        <w:pStyle w:val="Compact"/>
        <w:numPr>
          <w:ilvl w:val="0"/>
          <w:numId w:val="1011"/>
        </w:numPr>
      </w:pPr>
      <w:r>
        <w:t xml:space="preserve">Bruick RK, McKnight SL. A conserved family of prolyl-4-hydroxylases that modify HIF.</w:t>
      </w:r>
      <w:r>
        <w:t xml:space="preserve"> </w:t>
      </w:r>
      <w:r>
        <w:rPr>
          <w:i/>
          <w:iCs/>
        </w:rPr>
        <w:t xml:space="preserve">Science</w:t>
      </w:r>
      <w:r>
        <w:t xml:space="preserve">. 2001;294(5545):1337-1340.</w:t>
      </w:r>
    </w:p>
    <w:p>
      <w:pPr>
        <w:pStyle w:val="Compact"/>
        <w:numPr>
          <w:ilvl w:val="0"/>
          <w:numId w:val="1011"/>
        </w:numPr>
      </w:pPr>
      <w:r>
        <w:t xml:space="preserve">Todorich B, Pasquini JM, Garcia CI, Paez PM, Connor JR. Oligodendrocytes and myelination: the role of iron.</w:t>
      </w:r>
      <w:r>
        <w:t xml:space="preserve"> </w:t>
      </w:r>
      <w:r>
        <w:rPr>
          <w:i/>
          <w:iCs/>
        </w:rPr>
        <w:t xml:space="preserve">Glia</w:t>
      </w:r>
      <w:r>
        <w:t xml:space="preserve">. 2009;57(5):467-478.</w:t>
      </w:r>
    </w:p>
    <w:p>
      <w:pPr>
        <w:pStyle w:val="Compact"/>
        <w:numPr>
          <w:ilvl w:val="0"/>
          <w:numId w:val="1011"/>
        </w:numPr>
      </w:pPr>
      <w:r>
        <w:t xml:space="preserve">Cheli VT, Santiago González DA, Marziali LN, et al. The divalent metal transporter 1 (DMT1) is required for iron uptake and normal development of oligodendrocyte progenitor cells.</w:t>
      </w:r>
      <w:r>
        <w:t xml:space="preserve"> </w:t>
      </w:r>
      <w:r>
        <w:rPr>
          <w:i/>
          <w:iCs/>
        </w:rPr>
        <w:t xml:space="preserve">J Neurosci</w:t>
      </w:r>
      <w:r>
        <w:t xml:space="preserve">. 2018;38(43):9142-9159.</w:t>
      </w:r>
    </w:p>
    <w:p>
      <w:pPr>
        <w:pStyle w:val="Compact"/>
        <w:numPr>
          <w:ilvl w:val="0"/>
          <w:numId w:val="1011"/>
        </w:numPr>
      </w:pPr>
      <w:r>
        <w:t xml:space="preserve">Selak MA, Armour SM, MacKenzie ED, et al. Succinate links TCA cycle dysfunction to oncogenesis by inhibiting HIF-alpha prolyl hydroxylases.</w:t>
      </w:r>
      <w:r>
        <w:t xml:space="preserve"> </w:t>
      </w:r>
      <w:r>
        <w:rPr>
          <w:i/>
          <w:iCs/>
        </w:rPr>
        <w:t xml:space="preserve">Cancer Cell</w:t>
      </w:r>
      <w:r>
        <w:t xml:space="preserve">. 2005;7(1):77-85.</w:t>
      </w:r>
    </w:p>
    <w:p>
      <w:pPr>
        <w:pStyle w:val="Compact"/>
        <w:numPr>
          <w:ilvl w:val="0"/>
          <w:numId w:val="1011"/>
        </w:numPr>
      </w:pPr>
      <w:r>
        <w:t xml:space="preserve">Koivunen P, Hirsilä M, Günzler V, Kivirikko KI, Myllyharju J. Catalytic properties of the asparaginyl hydroxylase (FIH) in the oxygen sensing pathway are distinct from those of its prolyl 4-hydroxylases.</w:t>
      </w:r>
      <w:r>
        <w:t xml:space="preserve"> </w:t>
      </w:r>
      <w:r>
        <w:rPr>
          <w:i/>
          <w:iCs/>
        </w:rPr>
        <w:t xml:space="preserve">J Biol Chem</w:t>
      </w:r>
      <w:r>
        <w:t xml:space="preserve">. 2004;279(11):9899-9904.</w:t>
      </w:r>
    </w:p>
    <w:p>
      <w:pPr>
        <w:pStyle w:val="Compact"/>
        <w:numPr>
          <w:ilvl w:val="0"/>
          <w:numId w:val="1011"/>
        </w:numPr>
      </w:pPr>
      <w:r>
        <w:t xml:space="preserve">Ramond A, Samuel JL, Bhalla V, et al. Intermittent hypoxia is more deleterious to brain than sustained hypoxia.</w:t>
      </w:r>
      <w:r>
        <w:t xml:space="preserve"> </w:t>
      </w:r>
      <w:r>
        <w:rPr>
          <w:i/>
          <w:iCs/>
        </w:rPr>
        <w:t xml:space="preserve">Sleep Breath</w:t>
      </w:r>
      <w:r>
        <w:t xml:space="preserve">. 2013;17(1):7-18.</w:t>
      </w:r>
    </w:p>
    <w:p>
      <w:pPr>
        <w:pStyle w:val="Compact"/>
        <w:numPr>
          <w:ilvl w:val="0"/>
          <w:numId w:val="1011"/>
        </w:numPr>
      </w:pPr>
      <w:r>
        <w:t xml:space="preserve">Yakovlev PI, Lecours AR. The myelogenetic cycles of regional maturation of the brain. In: Minkowski A, ed. </w:t>
      </w:r>
      <w:r>
        <w:rPr>
          <w:i/>
          <w:iCs/>
        </w:rPr>
        <w:t xml:space="preserve">Regional Development of the Brain in Early Life</w:t>
      </w:r>
      <w:r>
        <w:t xml:space="preserve">. Oxford: Blackwell; 1967:3-70.</w:t>
      </w:r>
    </w:p>
    <w:p>
      <w:pPr>
        <w:pStyle w:val="Compact"/>
        <w:numPr>
          <w:ilvl w:val="0"/>
          <w:numId w:val="1011"/>
        </w:numPr>
      </w:pPr>
      <w:r>
        <w:t xml:space="preserve">Paus T, Collins DL, Evans AC, et al. Maturation of white matter in the human brain: a review of magnetic resonance studies.</w:t>
      </w:r>
      <w:r>
        <w:t xml:space="preserve"> </w:t>
      </w:r>
      <w:r>
        <w:rPr>
          <w:i/>
          <w:iCs/>
        </w:rPr>
        <w:t xml:space="preserve">Brain Res Bull</w:t>
      </w:r>
      <w:r>
        <w:t xml:space="preserve">. 2001;54(3):255-266.</w:t>
      </w:r>
    </w:p>
    <w:p>
      <w:pPr>
        <w:pStyle w:val="Compact"/>
        <w:numPr>
          <w:ilvl w:val="0"/>
          <w:numId w:val="1011"/>
        </w:numPr>
      </w:pPr>
      <w:r>
        <w:t xml:space="preserve">Friederici AD.</w:t>
      </w:r>
      <w:r>
        <w:t xml:space="preserve"> </w:t>
      </w:r>
      <w:r>
        <w:rPr>
          <w:i/>
          <w:iCs/>
        </w:rPr>
        <w:t xml:space="preserve">Language in Our Brain: The Origins of a Uniquely Human Capacity</w:t>
      </w:r>
      <w:r>
        <w:t xml:space="preserve">. Cambridge, MA: MIT Press; 2017.</w:t>
      </w:r>
    </w:p>
    <w:p>
      <w:pPr>
        <w:pStyle w:val="Compact"/>
        <w:numPr>
          <w:ilvl w:val="0"/>
          <w:numId w:val="1011"/>
        </w:numPr>
      </w:pPr>
      <w:r>
        <w:t xml:space="preserve">Fields RD. A new mechanism of nervous system plasticity: activity-dependent myelination.</w:t>
      </w:r>
      <w:r>
        <w:t xml:space="preserve"> </w:t>
      </w:r>
      <w:r>
        <w:rPr>
          <w:i/>
          <w:iCs/>
        </w:rPr>
        <w:t xml:space="preserve">Nat Rev Neurosci</w:t>
      </w:r>
      <w:r>
        <w:t xml:space="preserve">. 2015;16(12):756-767.</w:t>
      </w:r>
    </w:p>
    <w:p>
      <w:pPr>
        <w:pStyle w:val="Compact"/>
        <w:numPr>
          <w:ilvl w:val="0"/>
          <w:numId w:val="1011"/>
        </w:numPr>
      </w:pPr>
      <w:r>
        <w:t xml:space="preserve">Gibson EM, Purger D, Mount CW, et al. Neuronal activity promotes oligodendrogenesis and adaptive myelination in the mammalian brain.</w:t>
      </w:r>
      <w:r>
        <w:t xml:space="preserve"> </w:t>
      </w:r>
      <w:r>
        <w:rPr>
          <w:i/>
          <w:iCs/>
        </w:rPr>
        <w:t xml:space="preserve">Science</w:t>
      </w:r>
      <w:r>
        <w:t xml:space="preserve">. 2014;344(6183):1252304.</w:t>
      </w:r>
    </w:p>
    <w:p>
      <w:pPr>
        <w:pStyle w:val="Compact"/>
        <w:numPr>
          <w:ilvl w:val="0"/>
          <w:numId w:val="1011"/>
        </w:numPr>
      </w:pPr>
      <w:r>
        <w:t xml:space="preserve">Dawson G, Jones EJ, Merkle K, et al. Early behavioral intervention is associated with normalized brain activity in young children with autism.</w:t>
      </w:r>
      <w:r>
        <w:t xml:space="preserve"> </w:t>
      </w:r>
      <w:r>
        <w:rPr>
          <w:i/>
          <w:iCs/>
        </w:rPr>
        <w:t xml:space="preserve">J Am Acad Child Adolesc Psychiatry</w:t>
      </w:r>
      <w:r>
        <w:t xml:space="preserve">. 2012;51(11):1150-1159.</w:t>
      </w:r>
    </w:p>
    <w:p>
      <w:pPr>
        <w:pStyle w:val="Compact"/>
        <w:numPr>
          <w:ilvl w:val="0"/>
          <w:numId w:val="1011"/>
        </w:numPr>
      </w:pPr>
      <w:r>
        <w:t xml:space="preserve">Fein D, Barton M, Eigsti IM, et al. Optimal outcome in individuals with a history of autism.</w:t>
      </w:r>
      <w:r>
        <w:t xml:space="preserve"> </w:t>
      </w:r>
      <w:r>
        <w:rPr>
          <w:i/>
          <w:iCs/>
        </w:rPr>
        <w:t xml:space="preserve">J Child Psychol Psychiatry</w:t>
      </w:r>
      <w:r>
        <w:t xml:space="preserve">. 2013;54(2):195-205.</w:t>
      </w:r>
    </w:p>
    <w:p>
      <w:pPr>
        <w:pStyle w:val="Compact"/>
        <w:numPr>
          <w:ilvl w:val="0"/>
          <w:numId w:val="1011"/>
        </w:numPr>
      </w:pPr>
      <w:r>
        <w:t xml:space="preserve">Lovaas OI. Behavioral treatment and normal educational and intellectual functioning in young autistic children.</w:t>
      </w:r>
      <w:r>
        <w:t xml:space="preserve"> </w:t>
      </w:r>
      <w:r>
        <w:rPr>
          <w:i/>
          <w:iCs/>
        </w:rPr>
        <w:t xml:space="preserve">J Consult Clin Psychol</w:t>
      </w:r>
      <w:r>
        <w:t xml:space="preserve">. 1987;55(1):3-9.</w:t>
      </w:r>
    </w:p>
    <w:p>
      <w:pPr>
        <w:pStyle w:val="Compact"/>
        <w:numPr>
          <w:ilvl w:val="0"/>
          <w:numId w:val="1011"/>
        </w:numPr>
      </w:pPr>
      <w:r>
        <w:t xml:space="preserve">Rogers SJ, Estes A, Lord C, et al. Effects of a brief Early Start Denver Model (ESDM)-based parent intervention on toddlers at risk for autism spectrum disorders: a randomized controlled trial.</w:t>
      </w:r>
      <w:r>
        <w:t xml:space="preserve"> </w:t>
      </w:r>
      <w:r>
        <w:rPr>
          <w:i/>
          <w:iCs/>
        </w:rPr>
        <w:t xml:space="preserve">J Am Acad Child Adolesc Psychiatry</w:t>
      </w:r>
      <w:r>
        <w:t xml:space="preserve">. 2012;51(10):1052-1065.</w:t>
      </w:r>
    </w:p>
    <w:p>
      <w:pPr>
        <w:pStyle w:val="Compact"/>
        <w:numPr>
          <w:ilvl w:val="0"/>
          <w:numId w:val="1011"/>
        </w:numPr>
      </w:pPr>
      <w:r>
        <w:t xml:space="preserve">Estes A, Munson J, Rogers SJ, et al. Long-term outcomes of early intervention in 6-year-old children with autism spectrum disorder.</w:t>
      </w:r>
      <w:r>
        <w:t xml:space="preserve"> </w:t>
      </w:r>
      <w:r>
        <w:rPr>
          <w:i/>
          <w:iCs/>
        </w:rPr>
        <w:t xml:space="preserve">J Am Acad Child Adolesc Psychiatry</w:t>
      </w:r>
      <w:r>
        <w:t xml:space="preserve">. 2015;54(7):580-587.</w:t>
      </w:r>
    </w:p>
    <w:p>
      <w:pPr>
        <w:pStyle w:val="Compact"/>
        <w:numPr>
          <w:ilvl w:val="0"/>
          <w:numId w:val="1011"/>
        </w:numPr>
      </w:pPr>
      <w:r>
        <w:t xml:space="preserve">Yoon Y, et al. White matter tract-specific alterations in autism spectrum disorder: a meta-analysis of diffusion tensor imaging studies.</w:t>
      </w:r>
      <w:r>
        <w:t xml:space="preserve"> </w:t>
      </w:r>
      <w:r>
        <w:rPr>
          <w:i/>
          <w:iCs/>
        </w:rPr>
        <w:t xml:space="preserve">Autism Res</w:t>
      </w:r>
      <w:r>
        <w:t xml:space="preserve">. 2025.</w:t>
      </w:r>
    </w:p>
    <w:p>
      <w:pPr>
        <w:pStyle w:val="Compact"/>
        <w:numPr>
          <w:ilvl w:val="0"/>
          <w:numId w:val="1011"/>
        </w:numPr>
      </w:pPr>
      <w:r>
        <w:t xml:space="preserve">Li Y, et al. A meta-analysis of diffusion tensor imaging studies in autism spectrum disorder: evidence for disrupted white matter tracts.</w:t>
      </w:r>
      <w:r>
        <w:t xml:space="preserve"> </w:t>
      </w:r>
      <w:r>
        <w:rPr>
          <w:i/>
          <w:iCs/>
        </w:rPr>
        <w:t xml:space="preserve">Autism Res</w:t>
      </w:r>
      <w:r>
        <w:t xml:space="preserve">. 2022.</w:t>
      </w:r>
    </w:p>
    <w:p>
      <w:pPr>
        <w:pStyle w:val="Compact"/>
        <w:numPr>
          <w:ilvl w:val="0"/>
          <w:numId w:val="1011"/>
        </w:numPr>
      </w:pPr>
      <w:r>
        <w:t xml:space="preserve">Fletcher PT, et al. Microstructural connectivity of the arcuate fasciculus in adolescents with high-functioning autism.</w:t>
      </w:r>
      <w:r>
        <w:t xml:space="preserve"> </w:t>
      </w:r>
      <w:r>
        <w:rPr>
          <w:i/>
          <w:iCs/>
        </w:rPr>
        <w:t xml:space="preserve">NeuroImage</w:t>
      </w:r>
      <w:r>
        <w:t xml:space="preserve">. 2010;51(3):1117-1125.</w:t>
      </w:r>
    </w:p>
    <w:p>
      <w:pPr>
        <w:pStyle w:val="Compact"/>
        <w:numPr>
          <w:ilvl w:val="0"/>
          <w:numId w:val="1011"/>
        </w:numPr>
      </w:pPr>
      <w:r>
        <w:t xml:space="preserve">Dachew BA, Mamun A, Engel SM, et al. Pre-eclampsia and the risk of autism-spectrum disorder in offspring: meta-analysis.</w:t>
      </w:r>
      <w:r>
        <w:t xml:space="preserve"> </w:t>
      </w:r>
      <w:r>
        <w:rPr>
          <w:i/>
          <w:iCs/>
        </w:rPr>
        <w:t xml:space="preserve">Br J Psychiatry</w:t>
      </w:r>
      <w:r>
        <w:t xml:space="preserve">. 2018;212(3):142-147.</w:t>
      </w:r>
    </w:p>
    <w:p>
      <w:pPr>
        <w:pStyle w:val="Compact"/>
        <w:numPr>
          <w:ilvl w:val="0"/>
          <w:numId w:val="1011"/>
        </w:numPr>
      </w:pPr>
      <w:r>
        <w:t xml:space="preserve">Maher GM, O’Keeffe GW, Kearney PM, et al. Association of hypertensive disorders of pregnancy with risk of neurodevelopmental disorders in offspring.</w:t>
      </w:r>
      <w:r>
        <w:t xml:space="preserve"> </w:t>
      </w:r>
      <w:r>
        <w:rPr>
          <w:i/>
          <w:iCs/>
        </w:rPr>
        <w:t xml:space="preserve">JAMA Psychiatry</w:t>
      </w:r>
      <w:r>
        <w:t xml:space="preserve">. 2018;75(8):809-819.</w:t>
      </w:r>
    </w:p>
    <w:p>
      <w:pPr>
        <w:pStyle w:val="Compact"/>
        <w:numPr>
          <w:ilvl w:val="0"/>
          <w:numId w:val="1011"/>
        </w:numPr>
      </w:pPr>
      <w:r>
        <w:t xml:space="preserve">Maher GM, et al. Hypertensive disorders of pregnancy and risk of neurodevelopmental disorders in offspring: a Swedish cohort study.</w:t>
      </w:r>
      <w:r>
        <w:t xml:space="preserve"> </w:t>
      </w:r>
      <w:r>
        <w:rPr>
          <w:i/>
          <w:iCs/>
        </w:rPr>
        <w:t xml:space="preserve">J Child Psychol Psychiatry</w:t>
      </w:r>
      <w:r>
        <w:t xml:space="preserve">. 2020.</w:t>
      </w:r>
    </w:p>
    <w:p>
      <w:pPr>
        <w:pStyle w:val="Compact"/>
        <w:numPr>
          <w:ilvl w:val="0"/>
          <w:numId w:val="1011"/>
        </w:numPr>
      </w:pPr>
      <w:r>
        <w:t xml:space="preserve">Sun BZ, Moster D, Harmon QE, Wilcox AJ. Association of preeclampsia in term births with neurodevelopmental disorders in offspring.</w:t>
      </w:r>
      <w:r>
        <w:t xml:space="preserve"> </w:t>
      </w:r>
      <w:r>
        <w:rPr>
          <w:i/>
          <w:iCs/>
        </w:rPr>
        <w:t xml:space="preserve">JAMA Psychiatry</w:t>
      </w:r>
      <w:r>
        <w:t xml:space="preserve">. 2020;77(8):823-829.</w:t>
      </w:r>
    </w:p>
    <w:p>
      <w:pPr>
        <w:pStyle w:val="Compact"/>
        <w:numPr>
          <w:ilvl w:val="0"/>
          <w:numId w:val="1011"/>
        </w:numPr>
      </w:pPr>
      <w:r>
        <w:t xml:space="preserve">Wang C, et al. Hypertensive disorders of pregnancy and neurodevelopmental disorders in offspring: a population-based cohort in two Nordic countries.</w:t>
      </w:r>
      <w:r>
        <w:t xml:space="preserve"> </w:t>
      </w:r>
      <w:r>
        <w:rPr>
          <w:i/>
          <w:iCs/>
        </w:rPr>
        <w:t xml:space="preserve">Eur J Epidemiol</w:t>
      </w:r>
      <w:r>
        <w:t xml:space="preserve">. 2021;36:519-530.</w:t>
      </w:r>
    </w:p>
    <w:p>
      <w:pPr>
        <w:pStyle w:val="Compact"/>
        <w:numPr>
          <w:ilvl w:val="0"/>
          <w:numId w:val="1011"/>
        </w:numPr>
      </w:pPr>
      <w:r>
        <w:t xml:space="preserve">Hu HJ, Fan DF, Ye ZH, Sun Q. Effects of hyperbaric oxygen on Notch signaling pathway in mice.</w:t>
      </w:r>
      <w:r>
        <w:t xml:space="preserve"> </w:t>
      </w:r>
      <w:r>
        <w:rPr>
          <w:i/>
          <w:iCs/>
        </w:rPr>
        <w:t xml:space="preserve">Med Gas Res</w:t>
      </w:r>
      <w:r>
        <w:t xml:space="preserve">. 2023;13(1):23-28.</w:t>
      </w:r>
    </w:p>
    <w:p>
      <w:pPr>
        <w:pStyle w:val="Compact"/>
        <w:numPr>
          <w:ilvl w:val="0"/>
          <w:numId w:val="1011"/>
        </w:numPr>
      </w:pPr>
      <w:r>
        <w:t xml:space="preserve">Rossignol DA, Rossignol LW, Smith S, et al. Hyperbaric treatment for children with autism: a multicenter, randomized, double-blind, controlled trial.</w:t>
      </w:r>
      <w:r>
        <w:t xml:space="preserve"> </w:t>
      </w:r>
      <w:r>
        <w:rPr>
          <w:i/>
          <w:iCs/>
        </w:rPr>
        <w:t xml:space="preserve">BMC Pediatr</w:t>
      </w:r>
      <w:r>
        <w:t xml:space="preserve">. 2009;9:21.</w:t>
      </w:r>
    </w:p>
    <w:p>
      <w:pPr>
        <w:pStyle w:val="Compact"/>
        <w:numPr>
          <w:ilvl w:val="0"/>
          <w:numId w:val="1011"/>
        </w:numPr>
      </w:pPr>
      <w:r>
        <w:t xml:space="preserve">Tu P, Halili X, Zhang S, Yang J, Xiao Y. Effectiveness of HBOT in children and adolescents with ASD: systematic review and meta-analysis.</w:t>
      </w:r>
      <w:r>
        <w:t xml:space="preserve"> </w:t>
      </w:r>
      <w:r>
        <w:rPr>
          <w:i/>
          <w:iCs/>
        </w:rPr>
        <w:t xml:space="preserve">Prog Neuropsychopharmacol Biol Psychiatry</w:t>
      </w:r>
      <w:r>
        <w:t xml:space="preserve">. 2025;137:111257.</w:t>
      </w:r>
    </w:p>
    <w:p>
      <w:pPr>
        <w:pStyle w:val="Compact"/>
        <w:numPr>
          <w:ilvl w:val="0"/>
          <w:numId w:val="1011"/>
        </w:numPr>
      </w:pPr>
      <w:r>
        <w:t xml:space="preserve">Muttathukunnel P, Wälti M, Aboouf MA, et al. Erythropoietin regulates developmental myelination in the brain stimulating postnatal oligodendrocyte maturation.</w:t>
      </w:r>
      <w:r>
        <w:t xml:space="preserve"> </w:t>
      </w:r>
      <w:r>
        <w:rPr>
          <w:i/>
          <w:iCs/>
        </w:rPr>
        <w:t xml:space="preserve">Sci Rep</w:t>
      </w:r>
      <w:r>
        <w:t xml:space="preserve">. 2023;13:19522.</w:t>
      </w:r>
    </w:p>
    <w:p>
      <w:pPr>
        <w:pStyle w:val="Compact"/>
        <w:numPr>
          <w:ilvl w:val="0"/>
          <w:numId w:val="1011"/>
        </w:numPr>
      </w:pPr>
      <w:r>
        <w:t xml:space="preserve">Chung E, Kong X, Goldberg MP, et al. Erythropoietin-mediated neuroprotection in a pediatric mouse model of chronic hypoxia.</w:t>
      </w:r>
      <w:r>
        <w:t xml:space="preserve"> </w:t>
      </w:r>
      <w:r>
        <w:rPr>
          <w:i/>
          <w:iCs/>
        </w:rPr>
        <w:t xml:space="preserve">Neurosci Lett</w:t>
      </w:r>
      <w:r>
        <w:t xml:space="preserve">. 2015;597:54-59.</w:t>
      </w:r>
    </w:p>
    <w:p>
      <w:pPr>
        <w:pStyle w:val="Compact"/>
        <w:numPr>
          <w:ilvl w:val="0"/>
          <w:numId w:val="1011"/>
        </w:numPr>
      </w:pPr>
      <w:r>
        <w:t xml:space="preserve">Barres BA, Lazar MA, Raff MC. A novel role for thyroid hormone, glucocorticoids and retinoic acid in timing oligodendrocyte development.</w:t>
      </w:r>
      <w:r>
        <w:t xml:space="preserve"> </w:t>
      </w:r>
      <w:r>
        <w:rPr>
          <w:i/>
          <w:iCs/>
        </w:rPr>
        <w:t xml:space="preserve">Development</w:t>
      </w:r>
      <w:r>
        <w:t xml:space="preserve">. 1994;120(5):1097-1108.</w:t>
      </w:r>
    </w:p>
    <w:p>
      <w:pPr>
        <w:pStyle w:val="Compact"/>
        <w:numPr>
          <w:ilvl w:val="0"/>
          <w:numId w:val="1011"/>
        </w:numPr>
      </w:pPr>
      <w:r>
        <w:t xml:space="preserve">Newsome SD, et al. A Phase 1b, open-label study to evaluate the safety and tolerability of liothyronine in individuals with MS.</w:t>
      </w:r>
      <w:r>
        <w:t xml:space="preserve"> </w:t>
      </w:r>
      <w:r>
        <w:rPr>
          <w:i/>
          <w:iCs/>
        </w:rPr>
        <w:t xml:space="preserve">Neurotherapeutics</w:t>
      </w:r>
      <w:r>
        <w:t xml:space="preserve">. 2023;20(5):1263-1274.</w:t>
      </w:r>
    </w:p>
    <w:p>
      <w:pPr>
        <w:pStyle w:val="Compact"/>
        <w:numPr>
          <w:ilvl w:val="0"/>
          <w:numId w:val="1011"/>
        </w:numPr>
      </w:pPr>
      <w:r>
        <w:t xml:space="preserve">Atik A, De Matteo R, et al. Impact of high-dose caffeine on the preterm ovine cerebrum and cerebellum.</w:t>
      </w:r>
      <w:r>
        <w:t xml:space="preserve"> </w:t>
      </w:r>
      <w:r>
        <w:rPr>
          <w:i/>
          <w:iCs/>
        </w:rPr>
        <w:t xml:space="preserve">Front Physiol</w:t>
      </w:r>
      <w:r>
        <w:t xml:space="preserve">. 2019;10:990.</w:t>
      </w:r>
    </w:p>
    <w:p>
      <w:pPr>
        <w:pStyle w:val="Compact"/>
        <w:numPr>
          <w:ilvl w:val="0"/>
          <w:numId w:val="1011"/>
        </w:numPr>
      </w:pPr>
      <w:r>
        <w:t xml:space="preserve">Schmidt B, Roberts RS, Davis P, et al. Caffeine therapy for apnea of prematurity.</w:t>
      </w:r>
      <w:r>
        <w:t xml:space="preserve"> </w:t>
      </w:r>
      <w:r>
        <w:rPr>
          <w:i/>
          <w:iCs/>
        </w:rPr>
        <w:t xml:space="preserve">N Engl J Med</w:t>
      </w:r>
      <w:r>
        <w:t xml:space="preserve">. 2006;354(20):2112-2121.</w:t>
      </w:r>
    </w:p>
    <w:p>
      <w:pPr>
        <w:pStyle w:val="Compact"/>
        <w:numPr>
          <w:ilvl w:val="0"/>
          <w:numId w:val="1011"/>
        </w:numPr>
      </w:pPr>
      <w:r>
        <w:t xml:space="preserve">Schmidt B, Anderson PJ, Doyle LW, et al. Survival without disability to age 5 years after neonatal caffeine therapy for apnea of prematurity.</w:t>
      </w:r>
      <w:r>
        <w:t xml:space="preserve"> </w:t>
      </w:r>
      <w:r>
        <w:rPr>
          <w:i/>
          <w:iCs/>
        </w:rPr>
        <w:t xml:space="preserve">JAMA</w:t>
      </w:r>
      <w:r>
        <w:t xml:space="preserve">. 2012;307(3):275-282.</w:t>
      </w:r>
    </w:p>
    <w:p>
      <w:pPr>
        <w:pStyle w:val="Compact"/>
        <w:numPr>
          <w:ilvl w:val="0"/>
          <w:numId w:val="1011"/>
        </w:numPr>
      </w:pPr>
      <w:r>
        <w:t xml:space="preserve">Doyle LW, Crowther CA, Middleton P, Marret S, Rouse D. Magnesium sulphate for women at risk of preterm birth for neuroprotection of the fetus.</w:t>
      </w:r>
      <w:r>
        <w:t xml:space="preserve"> </w:t>
      </w:r>
      <w:r>
        <w:rPr>
          <w:i/>
          <w:iCs/>
        </w:rPr>
        <w:t xml:space="preserve">Cochrane Database Syst Rev</w:t>
      </w:r>
      <w:r>
        <w:t xml:space="preserve">. 2009;(1):CD004661.</w:t>
      </w:r>
    </w:p>
    <w:p>
      <w:pPr>
        <w:pStyle w:val="Compact"/>
        <w:numPr>
          <w:ilvl w:val="0"/>
          <w:numId w:val="1011"/>
        </w:numPr>
      </w:pPr>
      <w:r>
        <w:t xml:space="preserve">Mei F, Fancy SPJ, Shen YA, et al. Micropillar arrays as a high-throughput screening platform for therapeutics in multiple sclerosis.</w:t>
      </w:r>
      <w:r>
        <w:t xml:space="preserve"> </w:t>
      </w:r>
      <w:r>
        <w:rPr>
          <w:i/>
          <w:iCs/>
        </w:rPr>
        <w:t xml:space="preserve">Nat Med</w:t>
      </w:r>
      <w:r>
        <w:t xml:space="preserve">. 2014;20(8):954-960.</w:t>
      </w:r>
    </w:p>
    <w:p>
      <w:pPr>
        <w:pStyle w:val="Compact"/>
        <w:numPr>
          <w:ilvl w:val="0"/>
          <w:numId w:val="1011"/>
        </w:numPr>
      </w:pPr>
      <w:r>
        <w:t xml:space="preserve">Sarrazin N, et al. Clemastine fumarate promotes myelin repair in a nonhuman primate model.</w:t>
      </w:r>
      <w:r>
        <w:t xml:space="preserve"> </w:t>
      </w:r>
      <w:r>
        <w:rPr>
          <w:i/>
          <w:iCs/>
        </w:rPr>
        <w:t xml:space="preserve">Proc Natl Acad Sci USA</w:t>
      </w:r>
      <w:r>
        <w:t xml:space="preserve">. 2026;123(8):e2520161123.</w:t>
      </w:r>
    </w:p>
    <w:p>
      <w:pPr>
        <w:pStyle w:val="Compact"/>
        <w:numPr>
          <w:ilvl w:val="0"/>
          <w:numId w:val="1011"/>
        </w:numPr>
      </w:pPr>
      <w:r>
        <w:t xml:space="preserve">Oporto-Colicoi V, et al. Mild cognitive impairment and sarcopenia: effects of resistance exercise training.</w:t>
      </w:r>
      <w:r>
        <w:t xml:space="preserve"> </w:t>
      </w:r>
      <w:r>
        <w:rPr>
          <w:i/>
          <w:iCs/>
        </w:rPr>
        <w:t xml:space="preserve">Int J Mol Sci</w:t>
      </w:r>
      <w:r>
        <w:t xml:space="preserve">. 2025;26(22):11036.</w:t>
      </w:r>
    </w:p>
    <w:p>
      <w:pPr>
        <w:pStyle w:val="Compact"/>
        <w:numPr>
          <w:ilvl w:val="0"/>
          <w:numId w:val="1011"/>
        </w:numPr>
      </w:pPr>
      <w:r>
        <w:t xml:space="preserve">Kou Y, et al. Exercise interventions in ASD: meta-analysis. 2024.</w:t>
      </w:r>
    </w:p>
    <w:p>
      <w:pPr>
        <w:pStyle w:val="Compact"/>
        <w:numPr>
          <w:ilvl w:val="0"/>
          <w:numId w:val="1011"/>
        </w:numPr>
      </w:pPr>
      <w:r>
        <w:t xml:space="preserve">Buddington RK, et al. A phosphatidylserine source of DHA improves neurodevelopment and survival of preterm pigs.</w:t>
      </w:r>
      <w:r>
        <w:t xml:space="preserve"> </w:t>
      </w:r>
      <w:r>
        <w:rPr>
          <w:i/>
          <w:iCs/>
        </w:rPr>
        <w:t xml:space="preserve">Nutrients</w:t>
      </w:r>
      <w:r>
        <w:t xml:space="preserve">. 2018;10(5):637.</w:t>
      </w:r>
    </w:p>
    <w:p>
      <w:pPr>
        <w:pStyle w:val="Compact"/>
        <w:numPr>
          <w:ilvl w:val="0"/>
          <w:numId w:val="1011"/>
        </w:numPr>
      </w:pPr>
      <w:r>
        <w:t xml:space="preserve">Cotten CM, Murtha AP, Goldberg RN, et al. Feasibility of autologous cord blood cells for infants with hypoxic-ischemic encephalopathy.</w:t>
      </w:r>
      <w:r>
        <w:t xml:space="preserve"> </w:t>
      </w:r>
      <w:r>
        <w:rPr>
          <w:i/>
          <w:iCs/>
        </w:rPr>
        <w:t xml:space="preserve">J Pediatr</w:t>
      </w:r>
      <w:r>
        <w:t xml:space="preserve">. 2014;164(5):973-979.e1.</w:t>
      </w:r>
    </w:p>
    <w:p>
      <w:pPr>
        <w:pStyle w:val="Compact"/>
        <w:numPr>
          <w:ilvl w:val="0"/>
          <w:numId w:val="1011"/>
        </w:numPr>
      </w:pPr>
      <w:r>
        <w:t xml:space="preserve">Sa de Almeida J, et al. Music therapy in the NICU: effects on neurodevelopment. 2020.</w:t>
      </w:r>
    </w:p>
    <w:p>
      <w:pPr>
        <w:pStyle w:val="Compact"/>
        <w:numPr>
          <w:ilvl w:val="0"/>
          <w:numId w:val="1011"/>
        </w:numPr>
      </w:pPr>
      <w:r>
        <w:t xml:space="preserve">Sandin S, Lichtenstein P, Kuja-Halkola R, et al. The heritability of autism spectrum disorder.</w:t>
      </w:r>
      <w:r>
        <w:t xml:space="preserve"> </w:t>
      </w:r>
      <w:r>
        <w:rPr>
          <w:i/>
          <w:iCs/>
        </w:rPr>
        <w:t xml:space="preserve">JAMA</w:t>
      </w:r>
      <w:r>
        <w:t xml:space="preserve">. 2017;318(12):1182-1184.</w:t>
      </w:r>
    </w:p>
    <w:p>
      <w:pPr>
        <w:pStyle w:val="Compact"/>
        <w:numPr>
          <w:ilvl w:val="0"/>
          <w:numId w:val="1011"/>
        </w:numPr>
      </w:pPr>
      <w:r>
        <w:t xml:space="preserve">De Rubeis S, He X, Goldberg AP, et al. Synaptic, transcriptional and chromatin genes disrupted in autism.</w:t>
      </w:r>
      <w:r>
        <w:t xml:space="preserve"> </w:t>
      </w:r>
      <w:r>
        <w:rPr>
          <w:i/>
          <w:iCs/>
        </w:rPr>
        <w:t xml:space="preserve">Nature</w:t>
      </w:r>
      <w:r>
        <w:t xml:space="preserve">. 2014;515(7526):209-215.</w:t>
      </w:r>
    </w:p>
    <w:p>
      <w:pPr>
        <w:pStyle w:val="Compact"/>
        <w:numPr>
          <w:ilvl w:val="0"/>
          <w:numId w:val="1011"/>
        </w:numPr>
      </w:pPr>
      <w:r>
        <w:t xml:space="preserve">Bailey A, Le Couteur A, Gottesman I, et al. Autism as a strongly genetic disorder: evidence from a British twin study.</w:t>
      </w:r>
      <w:r>
        <w:t xml:space="preserve"> </w:t>
      </w:r>
      <w:r>
        <w:rPr>
          <w:i/>
          <w:iCs/>
        </w:rPr>
        <w:t xml:space="preserve">Psychol Med</w:t>
      </w:r>
      <w:r>
        <w:t xml:space="preserve">. 1995;25(1):63-77.</w:t>
      </w:r>
    </w:p>
    <w:p>
      <w:pPr>
        <w:pStyle w:val="Compact"/>
        <w:numPr>
          <w:ilvl w:val="0"/>
          <w:numId w:val="1011"/>
        </w:numPr>
      </w:pPr>
      <w:r>
        <w:t xml:space="preserve">Stoner R, Chow ML, Boyle MP, et al. Patches of disorganization in the neocortex of children with autism.</w:t>
      </w:r>
      <w:r>
        <w:t xml:space="preserve"> </w:t>
      </w:r>
      <w:r>
        <w:rPr>
          <w:i/>
          <w:iCs/>
        </w:rPr>
        <w:t xml:space="preserve">N Engl J Med</w:t>
      </w:r>
      <w:r>
        <w:t xml:space="preserve">. 2014;370(13):1209-1219.</w:t>
      </w:r>
    </w:p>
    <w:p>
      <w:pPr>
        <w:pStyle w:val="Compact"/>
        <w:numPr>
          <w:ilvl w:val="0"/>
          <w:numId w:val="1011"/>
        </w:numPr>
      </w:pPr>
      <w:r>
        <w:t xml:space="preserve">Courchesne E, Pierce K, Schumann CM, et al. Mapping early brain development in autism.</w:t>
      </w:r>
      <w:r>
        <w:t xml:space="preserve"> </w:t>
      </w:r>
      <w:r>
        <w:rPr>
          <w:i/>
          <w:iCs/>
        </w:rPr>
        <w:t xml:space="preserve">Neuron</w:t>
      </w:r>
      <w:r>
        <w:t xml:space="preserve">. 2007;56(2):399-413.</w:t>
      </w:r>
    </w:p>
    <w:p>
      <w:pPr>
        <w:pStyle w:val="Compact"/>
        <w:numPr>
          <w:ilvl w:val="0"/>
          <w:numId w:val="1011"/>
        </w:numPr>
      </w:pPr>
      <w:r>
        <w:t xml:space="preserve">O’Reilly C, Lewis JD, Bhatt S. Functional connectivity in autism: development and modulation.</w:t>
      </w:r>
      <w:r>
        <w:t xml:space="preserve"> </w:t>
      </w:r>
      <w:r>
        <w:rPr>
          <w:i/>
          <w:iCs/>
        </w:rPr>
        <w:t xml:space="preserve">PLOS ONE</w:t>
      </w:r>
      <w:r>
        <w:t xml:space="preserve">. 2017;12(5):e0175870.</w:t>
      </w:r>
    </w:p>
    <w:p>
      <w:pPr>
        <w:pStyle w:val="Compact"/>
        <w:numPr>
          <w:ilvl w:val="0"/>
          <w:numId w:val="1011"/>
        </w:numPr>
      </w:pPr>
      <w:r>
        <w:t xml:space="preserve">Volpe JJ. Brain injury in premature infants: a complex amalgam of destructive and developmental disturbances.</w:t>
      </w:r>
      <w:r>
        <w:t xml:space="preserve"> </w:t>
      </w:r>
      <w:r>
        <w:rPr>
          <w:i/>
          <w:iCs/>
        </w:rPr>
        <w:t xml:space="preserve">Lancet Neurol</w:t>
      </w:r>
      <w:r>
        <w:t xml:space="preserve">. 2009;8(1):110-124.</w:t>
      </w:r>
    </w:p>
    <w:p>
      <w:pPr>
        <w:pStyle w:val="Compact"/>
        <w:numPr>
          <w:ilvl w:val="0"/>
          <w:numId w:val="1011"/>
        </w:numPr>
      </w:pPr>
      <w:r>
        <w:t xml:space="preserve">Bear MF, Huber KM, Warren ST. The mGluR theory of fragile X mental retardation.</w:t>
      </w:r>
      <w:r>
        <w:t xml:space="preserve"> </w:t>
      </w:r>
      <w:r>
        <w:rPr>
          <w:i/>
          <w:iCs/>
        </w:rPr>
        <w:t xml:space="preserve">Trends Neurosci</w:t>
      </w:r>
      <w:r>
        <w:t xml:space="preserve">. 2004;27(7):370-377.</w:t>
      </w:r>
    </w:p>
    <w:p>
      <w:pPr>
        <w:pStyle w:val="Compact"/>
        <w:numPr>
          <w:ilvl w:val="0"/>
          <w:numId w:val="1011"/>
        </w:numPr>
      </w:pPr>
      <w:r>
        <w:t xml:space="preserve">Amir RE, Van den Veyver IB, Wan M, et al. Rett syndrome is caused by mutations in X-linked MECP2.</w:t>
      </w:r>
      <w:r>
        <w:t xml:space="preserve"> </w:t>
      </w:r>
      <w:r>
        <w:rPr>
          <w:i/>
          <w:iCs/>
        </w:rPr>
        <w:t xml:space="preserve">Nat Genet</w:t>
      </w:r>
      <w:r>
        <w:t xml:space="preserve">. 1999;23(2):185-188.</w:t>
      </w:r>
    </w:p>
    <w:p>
      <w:pPr>
        <w:pStyle w:val="Compact"/>
        <w:numPr>
          <w:ilvl w:val="0"/>
          <w:numId w:val="1011"/>
        </w:numPr>
      </w:pPr>
      <w:r>
        <w:t xml:space="preserve">European Chromosome 16 Tuberous Sclerosis Consortium. Identification of the tuberous sclerosis gene TSC1 on chromosome 9q34.</w:t>
      </w:r>
      <w:r>
        <w:t xml:space="preserve"> </w:t>
      </w:r>
      <w:r>
        <w:rPr>
          <w:i/>
          <w:iCs/>
        </w:rPr>
        <w:t xml:space="preserve">Science</w:t>
      </w:r>
      <w:r>
        <w:t xml:space="preserve">. 1997;277(5327):805-808.</w:t>
      </w:r>
    </w:p>
    <w:p>
      <w:pPr>
        <w:pStyle w:val="Compact"/>
        <w:numPr>
          <w:ilvl w:val="0"/>
          <w:numId w:val="1011"/>
        </w:numPr>
      </w:pPr>
      <w:r>
        <w:t xml:space="preserve">Subhi R, et al. Pulse oximetry and oxygen availability in primary health facilities: MOXY baseline.</w:t>
      </w:r>
      <w:r>
        <w:t xml:space="preserve"> </w:t>
      </w:r>
      <w:r>
        <w:rPr>
          <w:i/>
          <w:iCs/>
        </w:rPr>
        <w:t xml:space="preserve">Lancet Glob Health</w:t>
      </w:r>
      <w:r>
        <w:t xml:space="preserve">. 2025.</w:t>
      </w:r>
    </w:p>
    <w:p>
      <w:pPr>
        <w:pStyle w:val="Compact"/>
        <w:numPr>
          <w:ilvl w:val="0"/>
          <w:numId w:val="1011"/>
        </w:numPr>
      </w:pPr>
      <w:r>
        <w:t xml:space="preserve">Huang RC, Garratt ES, Pan H, et al. Genome-wide methylation analysis identifies differentially methylated CpG loci associated with severe obesity in childhood.</w:t>
      </w:r>
      <w:r>
        <w:t xml:space="preserve"> </w:t>
      </w:r>
      <w:r>
        <w:rPr>
          <w:i/>
          <w:iCs/>
        </w:rPr>
        <w:t xml:space="preserve">Epigenetics</w:t>
      </w:r>
      <w:r>
        <w:t xml:space="preserve">. 2019;14(9):945-958.</w:t>
      </w:r>
    </w:p>
    <w:p>
      <w:pPr>
        <w:pStyle w:val="Compact"/>
        <w:numPr>
          <w:ilvl w:val="0"/>
          <w:numId w:val="1011"/>
        </w:numPr>
      </w:pPr>
      <w:r>
        <w:t xml:space="preserve">Patterson AJ, Zhang L. Hypoxia and fetal heart development.</w:t>
      </w:r>
      <w:r>
        <w:t xml:space="preserve"> </w:t>
      </w:r>
      <w:r>
        <w:rPr>
          <w:i/>
          <w:iCs/>
        </w:rPr>
        <w:t xml:space="preserve">Curr Mol Med</w:t>
      </w:r>
      <w:r>
        <w:t xml:space="preserve">. 2010;10(7):653-666.</w:t>
      </w:r>
    </w:p>
    <w:p>
      <w:pPr>
        <w:pStyle w:val="Compact"/>
        <w:numPr>
          <w:ilvl w:val="0"/>
          <w:numId w:val="1011"/>
        </w:numPr>
      </w:pPr>
      <w:r>
        <w:t xml:space="preserve">Nätt D, Barchiesi R, et al. Perinatal malnutrition leads to sexually dimorphic behavioral responses with associated epigenetic changes in the mouse brain.</w:t>
      </w:r>
      <w:r>
        <w:t xml:space="preserve"> </w:t>
      </w:r>
      <w:r>
        <w:rPr>
          <w:i/>
          <w:iCs/>
        </w:rPr>
        <w:t xml:space="preserve">Sci Rep</w:t>
      </w:r>
      <w:r>
        <w:t xml:space="preserve">. 2017;7:11082.</w:t>
      </w:r>
    </w:p>
    <w:p>
      <w:pPr>
        <w:pStyle w:val="Compact"/>
        <w:numPr>
          <w:ilvl w:val="0"/>
          <w:numId w:val="1011"/>
        </w:numPr>
      </w:pPr>
      <w:r>
        <w:t xml:space="preserve">Knight AK, Craig JM, Theda C, et al. An epigenetic clock for gestational age at birth based on blood methylation data.</w:t>
      </w:r>
      <w:r>
        <w:t xml:space="preserve"> </w:t>
      </w:r>
      <w:r>
        <w:rPr>
          <w:i/>
          <w:iCs/>
        </w:rPr>
        <w:t xml:space="preserve">Genome Biol</w:t>
      </w:r>
      <w:r>
        <w:t xml:space="preserve">. 2016;17(1):206.</w:t>
      </w:r>
    </w:p>
    <w:p>
      <w:pPr>
        <w:pStyle w:val="Compact"/>
        <w:numPr>
          <w:ilvl w:val="0"/>
          <w:numId w:val="1011"/>
        </w:numPr>
      </w:pPr>
      <w:r>
        <w:t xml:space="preserve">Bohlin J, Håberg SE, Magnus P, et al. Prediction of gestational age based on genome-wide differentially methylated regions.</w:t>
      </w:r>
      <w:r>
        <w:t xml:space="preserve"> </w:t>
      </w:r>
      <w:r>
        <w:rPr>
          <w:i/>
          <w:iCs/>
        </w:rPr>
        <w:t xml:space="preserve">Genome Biol</w:t>
      </w:r>
      <w:r>
        <w:t xml:space="preserve">. 2016;17(1):207.</w:t>
      </w:r>
    </w:p>
    <w:p>
      <w:pPr>
        <w:pStyle w:val="Compact"/>
        <w:numPr>
          <w:ilvl w:val="0"/>
          <w:numId w:val="1011"/>
        </w:numPr>
      </w:pPr>
      <w:r>
        <w:t xml:space="preserve">Drake AJ, Walker BR. The intergenerational effects of fetal programming: non-genomic mechanisms for the inheritance of low birth weight and cardiovascular risk.</w:t>
      </w:r>
      <w:r>
        <w:t xml:space="preserve"> </w:t>
      </w:r>
      <w:r>
        <w:rPr>
          <w:i/>
          <w:iCs/>
        </w:rPr>
        <w:t xml:space="preserve">J Endocrinol</w:t>
      </w:r>
      <w:r>
        <w:t xml:space="preserve">. 2004;180(1):1-16.</w:t>
      </w:r>
    </w:p>
    <w:p>
      <w:pPr>
        <w:pStyle w:val="Compact"/>
        <w:numPr>
          <w:ilvl w:val="0"/>
          <w:numId w:val="1011"/>
        </w:numPr>
      </w:pPr>
      <w:r>
        <w:t xml:space="preserve">Pembrey ME, Bygren LO, Kaati G, et al. Sex-specific, male-line transgenerational responses in humans.</w:t>
      </w:r>
      <w:r>
        <w:t xml:space="preserve"> </w:t>
      </w:r>
      <w:r>
        <w:rPr>
          <w:i/>
          <w:iCs/>
        </w:rPr>
        <w:t xml:space="preserve">Eur J Hum Genet</w:t>
      </w:r>
      <w:r>
        <w:t xml:space="preserve">. 2006;14(2):159-166.</w:t>
      </w:r>
    </w:p>
    <w:p>
      <w:pPr>
        <w:pStyle w:val="Compact"/>
        <w:numPr>
          <w:ilvl w:val="0"/>
          <w:numId w:val="1011"/>
        </w:numPr>
      </w:pPr>
      <w:r>
        <w:t xml:space="preserve">Gluckman PD, Hanson MA, Buklijas T, et al. Epigenetic mechanisms that underpin metabolic and cardiovascular diseases.</w:t>
      </w:r>
      <w:r>
        <w:t xml:space="preserve"> </w:t>
      </w:r>
      <w:r>
        <w:rPr>
          <w:i/>
          <w:iCs/>
        </w:rPr>
        <w:t xml:space="preserve">Nat Rev Endocrinol</w:t>
      </w:r>
      <w:r>
        <w:t xml:space="preserve">. 2009;5(7):401-408.</w:t>
      </w:r>
    </w:p>
    <w:p>
      <w:pPr>
        <w:pStyle w:val="Compact"/>
        <w:numPr>
          <w:ilvl w:val="0"/>
          <w:numId w:val="1011"/>
        </w:numPr>
      </w:pPr>
      <w:r>
        <w:t xml:space="preserve">Zeisler H, Llurba E, Chantraine F, et al. Predictive value of the sFlt-1:PlGF ratio in women with suspected preeclampsia.</w:t>
      </w:r>
      <w:r>
        <w:t xml:space="preserve"> </w:t>
      </w:r>
      <w:r>
        <w:rPr>
          <w:i/>
          <w:iCs/>
        </w:rPr>
        <w:t xml:space="preserve">N Engl J Med</w:t>
      </w:r>
      <w:r>
        <w:t xml:space="preserve">. 2016;374(1):13-22.</w:t>
      </w:r>
    </w:p>
    <w:p>
      <w:pPr>
        <w:pStyle w:val="Compact"/>
        <w:numPr>
          <w:ilvl w:val="0"/>
          <w:numId w:val="1011"/>
        </w:numPr>
      </w:pPr>
      <w:r>
        <w:t xml:space="preserve">Say L, Gülmezoglu AM, Hofmeyr GJ. Maternal oxygen administration for suspected impaired fetal growth.</w:t>
      </w:r>
      <w:r>
        <w:t xml:space="preserve"> </w:t>
      </w:r>
      <w:r>
        <w:rPr>
          <w:i/>
          <w:iCs/>
        </w:rPr>
        <w:t xml:space="preserve">Cochrane Database Syst Rev</w:t>
      </w:r>
      <w:r>
        <w:t xml:space="preserve">. 2003;(1):CD000137.</w:t>
      </w:r>
    </w:p>
    <w:p>
      <w:pPr>
        <w:pStyle w:val="Compact"/>
        <w:numPr>
          <w:ilvl w:val="0"/>
          <w:numId w:val="1011"/>
        </w:numPr>
      </w:pPr>
      <w:r>
        <w:t xml:space="preserve">Rolnik DL, Wright D, Poon LC, et al. Aspirin versus placebo in pregnancies at high risk for preterm preeclampsia.</w:t>
      </w:r>
      <w:r>
        <w:t xml:space="preserve"> </w:t>
      </w:r>
      <w:r>
        <w:rPr>
          <w:i/>
          <w:iCs/>
        </w:rPr>
        <w:t xml:space="preserve">N Engl J Med</w:t>
      </w:r>
      <w:r>
        <w:t xml:space="preserve">. 2017;377(7):613-622.</w:t>
      </w:r>
    </w:p>
    <w:p>
      <w:pPr>
        <w:pStyle w:val="Compact"/>
        <w:numPr>
          <w:ilvl w:val="0"/>
          <w:numId w:val="1011"/>
        </w:numPr>
      </w:pPr>
      <w:r>
        <w:t xml:space="preserve">Costantine MM, Cleary K, Hebert MF, et al. Safety and pharmacokinetics of pravastatin used for the prevention of preeclampsia in high-risk pregnant women: a pilot randomized controlled trial.</w:t>
      </w:r>
      <w:r>
        <w:t xml:space="preserve"> </w:t>
      </w:r>
      <w:r>
        <w:rPr>
          <w:i/>
          <w:iCs/>
        </w:rPr>
        <w:t xml:space="preserve">Am J Obstet Gynecol</w:t>
      </w:r>
      <w:r>
        <w:t xml:space="preserve">. 2016;214(6):720.e1-720.e17.</w:t>
      </w:r>
    </w:p>
    <w:p>
      <w:pPr>
        <w:pStyle w:val="Compact"/>
        <w:numPr>
          <w:ilvl w:val="0"/>
          <w:numId w:val="1011"/>
        </w:numPr>
      </w:pPr>
      <w:r>
        <w:t xml:space="preserve">Fleming TP, Watkins AJ, Velazquez MA, et al. Origins of lifetime health around the time of conception: causes and consequences.</w:t>
      </w:r>
      <w:r>
        <w:t xml:space="preserve"> </w:t>
      </w:r>
      <w:r>
        <w:rPr>
          <w:i/>
          <w:iCs/>
        </w:rPr>
        <w:t xml:space="preserve">Lancet</w:t>
      </w:r>
      <w:r>
        <w:t xml:space="preserve">. 2018;391(10132):1842-1852.</w:t>
      </w:r>
    </w:p>
    <w:p>
      <w:r>
        <w:pict>
          <v:rect style="width:0;height:1.5pt" o:hralign="center" o:hrstd="t" o:hr="t"/>
        </w:pict>
      </w:r>
    </w:p>
    <w:p>
      <w:pPr>
        <w:pStyle w:val="FirstParagraph"/>
      </w:pPr>
      <w:r>
        <w:rPr>
          <w:i/>
          <w:iCs/>
        </w:rPr>
        <w:t xml:space="preserve">Manuscript submitted to medRxiv March 2026. Rejected as out of scope (</w:t>
      </w:r>
      <w:r>
        <w:rPr>
          <w:i/>
          <w:iCs/>
        </w:rPr>
        <w:t xml:space="preserve">“not a clinical research article with new data”</w:t>
      </w:r>
      <w:r>
        <w:rPr>
          <w:i/>
          <w:iCs/>
        </w:rPr>
        <w:t xml:space="preserve">). This conclusion was not a judgment on the merits of the work.</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2026-03-05T02:08:57Z</dcterms:created>
  <dcterms:modified xsi:type="dcterms:W3CDTF">2026-03-05T02:08:57Z</dcterms:modified>
</cp:coreProperties>
</file>

<file path=docProps/custom.xml><?xml version="1.0" encoding="utf-8"?>
<Properties xmlns="http://schemas.openxmlformats.org/officeDocument/2006/custom-properties" xmlns:vt="http://schemas.openxmlformats.org/officeDocument/2006/docPropsVTypes"/>
</file>