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64a26620d45ce100fa547c46027181bd4491e95"/>
    <w:p>
      <w:pPr>
        <w:pStyle w:val="Heading1"/>
      </w:pPr>
      <w:r>
        <w:t xml:space="preserve">Multi-Organ Gestational Oxygen Timing: A Unified Framework for Developmental Programming of</w:t>
      </w:r>
      <w:r>
        <w:t xml:space="preserve"> </w:t>
      </w:r>
      <w:r>
        <w:t xml:space="preserve">“Idiopathic”</w:t>
      </w:r>
      <w:r>
        <w:t xml:space="preserve"> </w:t>
      </w:r>
      <w:r>
        <w:t xml:space="preserve">Adult Disease</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br/>
      </w:r>
      <w:r>
        <w:t xml:space="preserve">Independent Researcher, Sydney, Australia</w:t>
      </w:r>
      <w:r>
        <w:br/>
      </w:r>
      <w:r>
        <w:t xml:space="preserve">jay.andrew.carpenter@gmail.com</w:t>
      </w:r>
    </w:p>
    <w:p>
      <w:pPr>
        <w:pStyle w:val="BodyText"/>
      </w:pPr>
      <w:r>
        <w:rPr>
          <w:b/>
          <w:bCs/>
        </w:rPr>
        <w:t xml:space="preserve">Date:</w:t>
      </w:r>
      <w:r>
        <w:t xml:space="preserve"> </w:t>
      </w:r>
      <w:r>
        <w:t xml:space="preserve">2026-03-05</w:t>
      </w:r>
      <w:r>
        <w:br/>
      </w:r>
      <w:r>
        <w:rPr>
          <w:b/>
          <w:bCs/>
        </w:rPr>
        <w:t xml:space="preserve">License:</w:t>
      </w:r>
      <w:r>
        <w:t xml:space="preserve"> </w:t>
      </w:r>
      <w:r>
        <w:t xml:space="preserve">CC-BY 4.0 International</w:t>
      </w:r>
      <w:r>
        <w:br/>
      </w:r>
      <w:r>
        <w:rPr>
          <w:b/>
          <w:bCs/>
        </w:rPr>
        <w:t xml:space="preserve">Status:</w:t>
      </w:r>
      <w:r>
        <w:t xml:space="preserve"> </w:t>
      </w:r>
      <w:r>
        <w:t xml:space="preserve">Preprint — rejected by medRxiv (out of scope)</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Developmental Origins of Health and Disease (DOHaD) paradigm, established by Barker and colleagues over three decades ago, demonstrates that fetal adversity programmes adult chronic disease. However, DOHaD largely treats gestational insult as a unitary variable —</w:t>
      </w:r>
      <w:r>
        <w:t xml:space="preserve"> </w:t>
      </w:r>
      <w:r>
        <w:t xml:space="preserve">“fetal adversity”</w:t>
      </w:r>
      <w:r>
        <w:t xml:space="preserve"> </w:t>
      </w:r>
      <w:r>
        <w:t xml:space="preserve">— without resolving which specific insult, at which specific gestational week, produces which specific organ-system deficit. This paper presents an alignment model that adds temporal resolution to the DOHaD framework. Through systematic mapping of oxygen-sensitive vulnerability windows across ten major organ systems, the author demonstrates that each system contains a progenitor cell type analogous to the pre-oligodendrocyte (preOL) — a cell with oxygen-dependent maturation operating during a defined gestational window whose injury produces a permanent, latent deficit. The ten systems (cardiac, renal, hippocampal, cerebellar, immune, pancreatic, pulmonary, hepatic, retinal, and cortical) share a common molecular regulator: hypoxia-inducible factor 1-alpha (HIF-1α). When gestational oxygen is disrupted — whether by preeclampsia, placental insufficiency, or other causes — every system currently in its vulnerability window absorbs injury simultaneously. Each injury remains latent until a system-specific</w:t>
      </w:r>
      <w:r>
        <w:t xml:space="preserve"> </w:t>
      </w:r>
      <w:r>
        <w:t xml:space="preserve">“demand spike”</w:t>
      </w:r>
      <w:r>
        <w:t xml:space="preserve"> </w:t>
      </w:r>
      <w:r>
        <w:t xml:space="preserve">unmasks the reduced reserve, producing clinical disease diagnosed years to decades later as a condition of</w:t>
      </w:r>
      <w:r>
        <w:t xml:space="preserve"> </w:t>
      </w:r>
      <w:r>
        <w:t xml:space="preserve">“unknown cause.”</w:t>
      </w:r>
      <w:r>
        <w:t xml:space="preserve"> </w:t>
      </w:r>
      <w:r>
        <w:t xml:space="preserve">The model makes specific, testable predictions: the gestational timing of oxygen disruption should determine which organ systems are affected, and current</w:t>
      </w:r>
      <w:r>
        <w:t xml:space="preserve"> </w:t>
      </w:r>
      <w:r>
        <w:t xml:space="preserve">“idiopathic”</w:t>
      </w:r>
      <w:r>
        <w:t xml:space="preserve"> </w:t>
      </w:r>
      <w:r>
        <w:t xml:space="preserve">conditions — including essential hypertension (~90% primary), lean type 2 diabetes, cryptogenic epilepsy, early-onset cardiovascular disease, ADHD, and idiopathic pulmonary fibrosis — should show epigenetic signatures of gestational hypoxia when tested. Five of ten conditions investigated have strong PubMed-sourced evidence for gestational origins. A 23–36 week</w:t>
      </w:r>
      <w:r>
        <w:t xml:space="preserve"> </w:t>
      </w:r>
      <w:r>
        <w:t xml:space="preserve">“super-window,”</w:t>
      </w:r>
      <w:r>
        <w:t xml:space="preserve"> </w:t>
      </w:r>
      <w:r>
        <w:t xml:space="preserve">during which nine or more organ systems are simultaneously vulnerable, identifies preeclampsia developing during this period as the paradigmatic multi-organ programming event. HIF3A methylation on archived newborn blood spots offers an immediately available tool for retrospective testing.</w:t>
      </w:r>
    </w:p>
    <w:p>
      <w:pPr>
        <w:pStyle w:val="BodyText"/>
      </w:pPr>
      <w:r>
        <w:rPr>
          <w:b/>
          <w:bCs/>
        </w:rPr>
        <w:t xml:space="preserve">Keywords:</w:t>
      </w:r>
      <w:r>
        <w:t xml:space="preserve"> </w:t>
      </w:r>
      <w:r>
        <w:t xml:space="preserve">developmental programming, gestational hypoxia, HIF-1α, DOHaD, multi-organ vulnerability, preeclampsia, epigenetic biomarkers, fixed endowment, idiopathic disease</w:t>
      </w:r>
    </w:p>
    <w:p>
      <w:r>
        <w:pict>
          <v:rect style="width:0;height:1.5pt" o:hralign="center" o:hrstd="t" o:hr="t"/>
        </w:pict>
      </w:r>
    </w:p>
    <w:bookmarkEnd w:id="10"/>
    <w:bookmarkStart w:id="14" w:name="introduction"/>
    <w:p>
      <w:pPr>
        <w:pStyle w:val="Heading2"/>
      </w:pPr>
      <w:r>
        <w:t xml:space="preserve">1. Introduction</w:t>
      </w:r>
    </w:p>
    <w:bookmarkStart w:id="11" w:name="the-idiopathic-problem"/>
    <w:p>
      <w:pPr>
        <w:pStyle w:val="Heading3"/>
      </w:pPr>
      <w:r>
        <w:t xml:space="preserve">1.1 The</w:t>
      </w:r>
      <w:r>
        <w:t xml:space="preserve"> </w:t>
      </w:r>
      <w:r>
        <w:t xml:space="preserve">“Idiopathic”</w:t>
      </w:r>
      <w:r>
        <w:t xml:space="preserve"> </w:t>
      </w:r>
      <w:r>
        <w:t xml:space="preserve">Problem</w:t>
      </w:r>
    </w:p>
    <w:p>
      <w:pPr>
        <w:pStyle w:val="FirstParagraph"/>
      </w:pPr>
      <w:r>
        <w:t xml:space="preserve">Modern medicine classifies a remarkable proportion of its most prevalent chronic diseases as having</w:t>
      </w:r>
      <w:r>
        <w:t xml:space="preserve"> </w:t>
      </w:r>
      <w:r>
        <w:t xml:space="preserve">“unknown cause.”</w:t>
      </w:r>
      <w:r>
        <w:t xml:space="preserve"> </w:t>
      </w:r>
      <w:r>
        <w:t xml:space="preserve">Approximately 90–95% of adult hypertension is classified as</w:t>
      </w:r>
      <w:r>
        <w:t xml:space="preserve"> </w:t>
      </w:r>
      <w:r>
        <w:t xml:space="preserve">“essential”</w:t>
      </w:r>
      <w:r>
        <w:t xml:space="preserve"> </w:t>
      </w:r>
      <w:r>
        <w:t xml:space="preserve">or</w:t>
      </w:r>
      <w:r>
        <w:t xml:space="preserve"> </w:t>
      </w:r>
      <w:r>
        <w:t xml:space="preserve">“primary”</w:t>
      </w:r>
      <w:r>
        <w:t xml:space="preserve"> </w:t>
      </w:r>
      <w:r>
        <w:t xml:space="preserve">(Gurusinghe et al., 2017). Roughly 40–50% of epilepsy cases carry no identified structural, metabolic, or genetic cause (Kuchukhidze et al., 2008). Between 15–20% of premature myocardial infarction occurs without traditional risk factors (Barker, 2004a). Developmental coordination disorder is, by definition, a diagnosis of exclusion with 100% unknown aetiology (van Hoorn et al., 2021). These conditions are treated as separate diseases by separate specialists — yet a growing body of evidence suggests they may share a common developmental origin.</w:t>
      </w:r>
    </w:p>
    <w:bookmarkEnd w:id="11"/>
    <w:bookmarkStart w:id="12" w:name="the-dohad-foundation"/>
    <w:p>
      <w:pPr>
        <w:pStyle w:val="Heading3"/>
      </w:pPr>
      <w:r>
        <w:t xml:space="preserve">1.2 The DOHaD Foundation</w:t>
      </w:r>
    </w:p>
    <w:p>
      <w:pPr>
        <w:pStyle w:val="FirstParagraph"/>
      </w:pPr>
      <w:r>
        <w:t xml:space="preserve">David Barker’s seminal epidemiological work in the late 1980s and 1990s established the Developmental Origins of Health and Disease (DOHaD) paradigm: fetal undernutrition in middle to late gestation programmes later coronary heart disease (Barker, 1995). Low birth weight is now known to be associated with increased rates of coronary heart disease, stroke, hypertension, and type 2 diabetes (Barker, 2004a, 2004b). Hales and Barker (1992) proposed the</w:t>
      </w:r>
      <w:r>
        <w:t xml:space="preserve"> </w:t>
      </w:r>
      <w:r>
        <w:t xml:space="preserve">“thrifty phenotype hypothesis”</w:t>
      </w:r>
      <w:r>
        <w:t xml:space="preserve"> </w:t>
      </w:r>
      <w:r>
        <w:t xml:space="preserve">— that fetal adaptation to scarcity becomes pathological when born into caloric abundance. Gluckman and Hanson (2004, 2007) extended this with</w:t>
      </w:r>
      <w:r>
        <w:t xml:space="preserve"> </w:t>
      </w:r>
      <w:r>
        <w:t xml:space="preserve">“Predictive Adaptive Responses”</w:t>
      </w:r>
      <w:r>
        <w:t xml:space="preserve"> </w:t>
      </w:r>
      <w:r>
        <w:t xml:space="preserve">(PARs), proposing that disease arises from mismatch between predicted and actual postnatal environments. Hanson and Gluckman (2014) confirmed that extensive experimental animal studies and epidemiological observations demonstrate environmental influences during early development affect the risk of later pathophysiological processes.</w:t>
      </w:r>
    </w:p>
    <w:p>
      <w:pPr>
        <w:pStyle w:val="BodyText"/>
      </w:pPr>
      <w:r>
        <w:t xml:space="preserve">These associations are now well established. However, DOHaD largely treats</w:t>
      </w:r>
      <w:r>
        <w:t xml:space="preserve"> </w:t>
      </w:r>
      <w:r>
        <w:t xml:space="preserve">“fetal adversity”</w:t>
      </w:r>
      <w:r>
        <w:t xml:space="preserve"> </w:t>
      </w:r>
      <w:r>
        <w:t xml:space="preserve">as a single variable. Studies compare exposed versus unexposed, or low versus normal birth weight, without resolving the temporal specificity of injury. The field answers the question</w:t>
      </w:r>
      <w:r>
        <w:t xml:space="preserve"> </w:t>
      </w:r>
      <w:r>
        <w:t xml:space="preserve">“does fetal adversity programme adult disease?”</w:t>
      </w:r>
      <w:r>
        <w:t xml:space="preserve"> </w:t>
      </w:r>
      <w:r>
        <w:t xml:space="preserve">(yes) but not</w:t>
      </w:r>
      <w:r>
        <w:t xml:space="preserve"> </w:t>
      </w:r>
      <w:r>
        <w:t xml:space="preserve">“which specific insult at which gestational week produces which specific organ-system deficit?”</w:t>
      </w:r>
    </w:p>
    <w:bookmarkEnd w:id="12"/>
    <w:bookmarkStart w:id="13" w:name="the-alignment-model"/>
    <w:p>
      <w:pPr>
        <w:pStyle w:val="Heading3"/>
      </w:pPr>
      <w:r>
        <w:t xml:space="preserve">1.3 The Alignment Model</w:t>
      </w:r>
    </w:p>
    <w:p>
      <w:pPr>
        <w:pStyle w:val="FirstParagraph"/>
      </w:pPr>
      <w:r>
        <w:t xml:space="preserve">This paper proposes a framework — the alignment model — that adds temporal resolution to DOHaD. The central claim is:</w:t>
      </w:r>
    </w:p>
    <w:p>
      <w:pPr>
        <w:pStyle w:val="Compact"/>
        <w:numPr>
          <w:ilvl w:val="0"/>
          <w:numId w:val="1001"/>
        </w:numPr>
      </w:pPr>
      <w:r>
        <w:t xml:space="preserve">Each developing organ system has a</w:t>
      </w:r>
      <w:r>
        <w:t xml:space="preserve"> </w:t>
      </w:r>
      <w:r>
        <w:rPr>
          <w:b/>
          <w:bCs/>
        </w:rPr>
        <w:t xml:space="preserve">vulnerability window</w:t>
      </w:r>
      <w:r>
        <w:t xml:space="preserve"> </w:t>
      </w:r>
      <w:r>
        <w:t xml:space="preserve">— a defined gestational period during which a specific progenitor cell type undergoes oxygen-dependent maturation</w:t>
      </w:r>
    </w:p>
    <w:p>
      <w:pPr>
        <w:pStyle w:val="Compact"/>
        <w:numPr>
          <w:ilvl w:val="0"/>
          <w:numId w:val="1001"/>
        </w:numPr>
      </w:pPr>
      <w:r>
        <w:rPr>
          <w:b/>
          <w:bCs/>
        </w:rPr>
        <w:t xml:space="preserve">Oxygen disruption during a given window</w:t>
      </w:r>
      <w:r>
        <w:t xml:space="preserve"> </w:t>
      </w:r>
      <w:r>
        <w:t xml:space="preserve">injures the system currently under construction, producing a permanent developmental deficit</w:t>
      </w:r>
    </w:p>
    <w:p>
      <w:pPr>
        <w:pStyle w:val="Compact"/>
        <w:numPr>
          <w:ilvl w:val="0"/>
          <w:numId w:val="1001"/>
        </w:numPr>
      </w:pPr>
      <w:r>
        <w:t xml:space="preserve">The injury remains</w:t>
      </w:r>
      <w:r>
        <w:t xml:space="preserve"> </w:t>
      </w:r>
      <w:r>
        <w:rPr>
          <w:b/>
          <w:bCs/>
        </w:rPr>
        <w:t xml:space="preserve">latent</w:t>
      </w:r>
      <w:r>
        <w:t xml:space="preserve"> </w:t>
      </w:r>
      <w:r>
        <w:t xml:space="preserve">until a system-specific demand spike unmasks the reduced reserve</w:t>
      </w:r>
    </w:p>
    <w:p>
      <w:pPr>
        <w:pStyle w:val="Compact"/>
        <w:numPr>
          <w:ilvl w:val="0"/>
          <w:numId w:val="1001"/>
        </w:numPr>
      </w:pPr>
      <w:r>
        <w:rPr>
          <w:b/>
          <w:bCs/>
        </w:rPr>
        <w:t xml:space="preserve">HIF-1α</w:t>
      </w:r>
      <w:r>
        <w:t xml:space="preserve"> </w:t>
      </w:r>
      <w:r>
        <w:t xml:space="preserve">is the common molecular sensor through which oxygen disruption is transduced into developmental injury across all systems simultaneously</w:t>
      </w:r>
    </w:p>
    <w:p>
      <w:pPr>
        <w:pStyle w:val="Compact"/>
        <w:numPr>
          <w:ilvl w:val="0"/>
          <w:numId w:val="1001"/>
        </w:numPr>
      </w:pPr>
      <w:r>
        <w:t xml:space="preserve">Multiple systems can be injured by a</w:t>
      </w:r>
      <w:r>
        <w:t xml:space="preserve"> </w:t>
      </w:r>
      <w:r>
        <w:rPr>
          <w:b/>
          <w:bCs/>
        </w:rPr>
        <w:t xml:space="preserve">single sustained insult</w:t>
      </w:r>
      <w:r>
        <w:t xml:space="preserve"> </w:t>
      </w:r>
      <w:r>
        <w:t xml:space="preserve">if it spans a period when multiple vulnerability windows overlap</w:t>
      </w:r>
    </w:p>
    <w:p>
      <w:pPr>
        <w:pStyle w:val="FirstParagraph"/>
      </w:pPr>
      <w:r>
        <w:t xml:space="preserve">The model transforms DOHaD from an epidemiological observation (</w:t>
      </w:r>
      <w:r>
        <w:t xml:space="preserve">“bad gestation → adult disease”</w:t>
      </w:r>
      <w:r>
        <w:t xml:space="preserve">) into a mechanistic, temporally resolved framework:</w:t>
      </w:r>
      <w:r>
        <w:t xml:space="preserve"> </w:t>
      </w:r>
      <w:r>
        <w:t xml:space="preserve">“</w:t>
      </w:r>
      <w:r>
        <w:rPr>
          <w:i/>
          <w:iCs/>
        </w:rPr>
        <w:t xml:space="preserve">this</w:t>
      </w:r>
      <w:r>
        <w:t xml:space="preserve"> </w:t>
      </w:r>
      <w:r>
        <w:t xml:space="preserve">oxygen event at</w:t>
      </w:r>
      <w:r>
        <w:t xml:space="preserve"> </w:t>
      </w:r>
      <w:r>
        <w:rPr>
          <w:i/>
          <w:iCs/>
        </w:rPr>
        <w:t xml:space="preserve">this</w:t>
      </w:r>
      <w:r>
        <w:t xml:space="preserve"> </w:t>
      </w:r>
      <w:r>
        <w:t xml:space="preserve">gestational week →</w:t>
      </w:r>
      <w:r>
        <w:t xml:space="preserve"> </w:t>
      </w:r>
      <w:r>
        <w:rPr>
          <w:i/>
          <w:iCs/>
        </w:rPr>
        <w:t xml:space="preserve">this</w:t>
      </w:r>
      <w:r>
        <w:t xml:space="preserve"> </w:t>
      </w:r>
      <w:r>
        <w:t xml:space="preserve">cell type injured →</w:t>
      </w:r>
      <w:r>
        <w:t xml:space="preserve"> </w:t>
      </w:r>
      <w:r>
        <w:rPr>
          <w:i/>
          <w:iCs/>
        </w:rPr>
        <w:t xml:space="preserve">this</w:t>
      </w:r>
      <w:r>
        <w:t xml:space="preserve"> </w:t>
      </w:r>
      <w:r>
        <w:t xml:space="preserve">system fails at</w:t>
      </w:r>
      <w:r>
        <w:t xml:space="preserve"> </w:t>
      </w:r>
      <w:r>
        <w:rPr>
          <w:i/>
          <w:iCs/>
        </w:rPr>
        <w:t xml:space="preserve">this</w:t>
      </w:r>
      <w:r>
        <w:t xml:space="preserve"> </w:t>
      </w:r>
      <w:r>
        <w:t xml:space="preserve">age when</w:t>
      </w:r>
      <w:r>
        <w:t xml:space="preserve"> </w:t>
      </w:r>
      <w:r>
        <w:rPr>
          <w:i/>
          <w:iCs/>
        </w:rPr>
        <w:t xml:space="preserve">this</w:t>
      </w:r>
      <w:r>
        <w:t xml:space="preserve"> </w:t>
      </w:r>
      <w:r>
        <w:t xml:space="preserve">demand exceeds</w:t>
      </w:r>
      <w:r>
        <w:t xml:space="preserve"> </w:t>
      </w:r>
      <w:r>
        <w:rPr>
          <w:i/>
          <w:iCs/>
        </w:rPr>
        <w:t xml:space="preserve">this</w:t>
      </w:r>
      <w:r>
        <w:t xml:space="preserve"> </w:t>
      </w:r>
      <w:r>
        <w:t xml:space="preserve">reserve.”</w:t>
      </w:r>
    </w:p>
    <w:p>
      <w:r>
        <w:pict>
          <v:rect style="width:0;height:1.5pt" o:hralign="center" o:hrstd="t" o:hr="t"/>
        </w:pict>
      </w:r>
    </w:p>
    <w:bookmarkEnd w:id="13"/>
    <w:bookmarkEnd w:id="14"/>
    <w:bookmarkStart w:id="17" w:name="Xfc190364ad5942ec7baa9dc2d255b65ae3c0af6"/>
    <w:p>
      <w:pPr>
        <w:pStyle w:val="Heading2"/>
      </w:pPr>
      <w:r>
        <w:t xml:space="preserve">2. The Template: Pre-Oligodendrocyte Maturation Arrest</w:t>
      </w:r>
    </w:p>
    <w:bookmarkStart w:id="15" w:name="the-preol-as-paradigm"/>
    <w:p>
      <w:pPr>
        <w:pStyle w:val="Heading3"/>
      </w:pPr>
      <w:r>
        <w:t xml:space="preserve">2.1 The preOL as Paradigm</w:t>
      </w:r>
    </w:p>
    <w:p>
      <w:pPr>
        <w:pStyle w:val="FirstParagraph"/>
      </w:pPr>
      <w:r>
        <w:t xml:space="preserve">The best-characterised example of oxygen-dependent developmental programming operates in white matter. Back et al. (2001, 2002) demonstrated that pre-oligodendrocytes (preOLs) — the late progenitor stage of the myelinating oligodendrocyte lineage — are selectively vulnerable to hypoxia-ischaemia between 23–32 weeks gestational age (GA). When oxygen drops during this window, preOLs undergo maturation arrest rather than cell death: they survive but fail to differentiate into myelinating oligodendrocytes (Back et al., 2002; Buser et al., 2012). This produces a permanent white matter deficit that becomes clinically apparent only when the affected tracts are needed for complex functions — typically language, social cognition, and executive function.</w:t>
      </w:r>
    </w:p>
    <w:p>
      <w:pPr>
        <w:pStyle w:val="BodyText"/>
      </w:pPr>
      <w:r>
        <w:t xml:space="preserve">The preOL maturation arrest model provides the template for understanding vulnerability across organ systems. Each system has its own</w:t>
      </w:r>
      <w:r>
        <w:t xml:space="preserve"> </w:t>
      </w:r>
      <w:r>
        <w:t xml:space="preserve">“preOL”</w:t>
      </w:r>
      <w:r>
        <w:t xml:space="preserve"> </w:t>
      </w:r>
      <w:r>
        <w:t xml:space="preserve">— a specific progenitor cell type with:</w:t>
      </w:r>
      <w:r>
        <w:t xml:space="preserve"> </w:t>
      </w:r>
      <w:r>
        <w:t xml:space="preserve">- An oxygen-dependent developmental programme</w:t>
      </w:r>
      <w:r>
        <w:t xml:space="preserve"> </w:t>
      </w:r>
      <w:r>
        <w:t xml:space="preserve">- A defined gestational window of peak vulnerability</w:t>
      </w:r>
      <w:r>
        <w:t xml:space="preserve"> </w:t>
      </w:r>
      <w:r>
        <w:t xml:space="preserve">- A mechanism by which hypoxia produces permanent injury</w:t>
      </w:r>
      <w:r>
        <w:t xml:space="preserve"> </w:t>
      </w:r>
      <w:r>
        <w:t xml:space="preserve">- A latent period before clinical manifestation</w:t>
      </w:r>
      <w:r>
        <w:t xml:space="preserve"> </w:t>
      </w:r>
      <w:r>
        <w:t xml:space="preserve">- A system-specific demand spike that unmasks the deficit</w:t>
      </w:r>
    </w:p>
    <w:bookmarkEnd w:id="15"/>
    <w:bookmarkStart w:id="16" w:name="why-oxygen"/>
    <w:p>
      <w:pPr>
        <w:pStyle w:val="Heading3"/>
      </w:pPr>
      <w:r>
        <w:t xml:space="preserve">2.2 Why Oxygen?</w:t>
      </w:r>
    </w:p>
    <w:p>
      <w:pPr>
        <w:pStyle w:val="FirstParagraph"/>
      </w:pPr>
      <w:r>
        <w:t xml:space="preserve">Oxygen is not merely metabolic fuel for the developing fetus. As Llurba Olive et al. (2018) articulated:</w:t>
      </w:r>
      <w:r>
        <w:t xml:space="preserve"> </w:t>
      </w:r>
      <w:r>
        <w:t xml:space="preserve">“Low oxygen concentration (hypoxia) is part of normal embryonic development, yet the situation is complex. Oxygen is a janus gas with low levels signaling through hypoxia-inducible transcription factor (HIF) that are required for development of fetal and placental systems.”</w:t>
      </w:r>
      <w:r>
        <w:t xml:space="preserve"> </w:t>
      </w:r>
      <w:r>
        <w:t xml:space="preserve">Oxygen functions as a signalling molecule that directly instructs developmental decisions. Too much, too little, or too variable — all three disrupt the developmental signal. Wellmann et al. (2015) demonstrated that both simulated hypoxia and simulated hyperoxia damage developing white matter. The critical parameter is not</w:t>
      </w:r>
      <w:r>
        <w:t xml:space="preserve"> </w:t>
      </w:r>
      <w:r>
        <w:t xml:space="preserve">“enough”</w:t>
      </w:r>
      <w:r>
        <w:t xml:space="preserve"> </w:t>
      </w:r>
      <w:r>
        <w:t xml:space="preserve">oxygen but</w:t>
      </w:r>
      <w:r>
        <w:t xml:space="preserve"> </w:t>
      </w:r>
      <w:r>
        <w:t xml:space="preserve">“the right oxygen at the right time.”</w:t>
      </w:r>
    </w:p>
    <w:p>
      <w:r>
        <w:pict>
          <v:rect style="width:0;height:1.5pt" o:hralign="center" o:hrstd="t" o:hr="t"/>
        </w:pict>
      </w:r>
    </w:p>
    <w:bookmarkEnd w:id="16"/>
    <w:bookmarkEnd w:id="17"/>
    <w:bookmarkStart w:id="28" w:name="ten-organ-systems-a-systematic-mapping"/>
    <w:p>
      <w:pPr>
        <w:pStyle w:val="Heading2"/>
      </w:pPr>
      <w:r>
        <w:t xml:space="preserve">3. Ten Organ Systems: A Systematic Mapping</w:t>
      </w:r>
    </w:p>
    <w:p>
      <w:pPr>
        <w:pStyle w:val="FirstParagraph"/>
      </w:pPr>
      <w:r>
        <w:t xml:space="preserve">The following sections present systematic evidence for oxygen-sensitive maturation arrest across ten major organ systems, organised by the preOL template: vulnerable cell type, gestational window, mechanism of injury, latent outcomes, and demand spike.</w:t>
      </w:r>
    </w:p>
    <w:bookmarkStart w:id="18" w:name="Xa4afca5b1d140c64e81b06b2a57de52efb1d51e"/>
    <w:p>
      <w:pPr>
        <w:pStyle w:val="Heading3"/>
      </w:pPr>
      <w:r>
        <w:t xml:space="preserve">3.1 Cardiac — Cardiomyocyte Proliferative Arrest</w:t>
      </w:r>
    </w:p>
    <w:p>
      <w:pPr>
        <w:pStyle w:val="FirstParagraph"/>
      </w:pPr>
      <w:r>
        <w:rPr>
          <w:b/>
          <w:bCs/>
        </w:rPr>
        <w:t xml:space="preserve">Vulnerable cell:</w:t>
      </w:r>
      <w:r>
        <w:t xml:space="preserve"> </w:t>
      </w:r>
      <w:r>
        <w:t xml:space="preserve">Proliferating cardiomyocytes — cells whose replicative capacity is essentially lost by ~20 weeks GA, after which the fetal endowment determines lifetime cardiac reserve.</w:t>
      </w:r>
    </w:p>
    <w:p>
      <w:pPr>
        <w:pStyle w:val="BodyText"/>
      </w:pPr>
      <w:r>
        <w:rPr>
          <w:b/>
          <w:bCs/>
        </w:rPr>
        <w:t xml:space="preserve">Window:</w:t>
      </w:r>
      <w:r>
        <w:t xml:space="preserve"> </w:t>
      </w:r>
      <w:r>
        <w:t xml:space="preserve">Weeks 3–8 (cardiac morphogenesis); weeks 8–20 (cardiomyocyte proliferation); weeks 20–36 (coronary vascular development and endothelial programming).</w:t>
      </w:r>
    </w:p>
    <w:p>
      <w:pPr>
        <w:pStyle w:val="BodyText"/>
      </w:pPr>
      <w:r>
        <w:rPr>
          <w:b/>
          <w:bCs/>
        </w:rPr>
        <w:t xml:space="preserve">Mechanism:</w:t>
      </w:r>
      <w:r>
        <w:t xml:space="preserve"> </w:t>
      </w:r>
      <w:r>
        <w:t xml:space="preserve">Prenatal hypoxia impairs cardiac mitochondrial and ventricular function in a sex-related manner (Thompson et al., 2018). Chronic hypoxia during development reduces cardiomyocyte number, establishing a fixed cellular deficit (Österman et al., 2015). Intrauterine growth restriction decreases cardiomyocyte endowment and alters cardiac metabolism, with effects more pronounced in males and in offspring exposed to hypoxia in utero (Botting et al., 2018). Importantly, mitochondria-targeted antioxidant (MitoQ) administered in utero prevents cardiovascular dysfunction programmed by hypoxia, proving the oxidative stress mechanism (Botting et al., 2020).</w:t>
      </w:r>
    </w:p>
    <w:p>
      <w:pPr>
        <w:pStyle w:val="BodyText"/>
      </w:pPr>
      <w:r>
        <w:rPr>
          <w:b/>
          <w:bCs/>
        </w:rPr>
        <w:t xml:space="preserve">Latent outcomes:</w:t>
      </w:r>
      <w:r>
        <w:t xml:space="preserve"> </w:t>
      </w:r>
      <w:r>
        <w:t xml:space="preserve">Early-onset coronary artery disease, cardiac dysfunction under haemodynamic stress, pregnancy-unmasked cardiomyopathy.</w:t>
      </w:r>
    </w:p>
    <w:p>
      <w:pPr>
        <w:pStyle w:val="BodyText"/>
      </w:pPr>
      <w:r>
        <w:rPr>
          <w:b/>
          <w:bCs/>
        </w:rPr>
        <w:t xml:space="preserve">Demand spike:</w:t>
      </w:r>
      <w:r>
        <w:t xml:space="preserve"> </w:t>
      </w:r>
      <w:r>
        <w:t xml:space="preserve">Exercise/physical stress in adolescence; mid-life (40s–50s); pregnancy (significant haemodynamic stress).</w:t>
      </w:r>
    </w:p>
    <w:p>
      <w:pPr>
        <w:pStyle w:val="BodyText"/>
      </w:pPr>
      <w:r>
        <w:rPr>
          <w:b/>
          <w:bCs/>
        </w:rPr>
        <w:t xml:space="preserve">Evidence strength:</w:t>
      </w:r>
      <w:r>
        <w:t xml:space="preserve"> </w:t>
      </w:r>
      <w:r>
        <w:t xml:space="preserve">STRONG (Barker, 2004a; Giussani &amp; Davidge, 2013; Giussani et al., 2012).</w:t>
      </w:r>
    </w:p>
    <w:bookmarkEnd w:id="18"/>
    <w:bookmarkStart w:id="19" w:name="renal-nephron-progenitor-exhaustion"/>
    <w:p>
      <w:pPr>
        <w:pStyle w:val="Heading3"/>
      </w:pPr>
      <w:r>
        <w:t xml:space="preserve">3.2 Renal — Nephron Progenitor Exhaustion</w:t>
      </w:r>
    </w:p>
    <w:p>
      <w:pPr>
        <w:pStyle w:val="FirstParagraph"/>
      </w:pPr>
      <w:r>
        <w:rPr>
          <w:b/>
          <w:bCs/>
        </w:rPr>
        <w:t xml:space="preserve">Vulnerable cell:</w:t>
      </w:r>
      <w:r>
        <w:t xml:space="preserve"> </w:t>
      </w:r>
      <w:r>
        <w:t xml:space="preserve">Six2+ metanephric mesenchymal progenitor cells (nephron progenitors) in the nephrogenic zone, and FOXD1-lineage stromal progenitor cells where HIF-prolyl hydroxylation is essential for normal kidney development (Kobayashi et al., 2017).</w:t>
      </w:r>
    </w:p>
    <w:p>
      <w:pPr>
        <w:pStyle w:val="BodyText"/>
      </w:pPr>
      <w:r>
        <w:rPr>
          <w:b/>
          <w:bCs/>
        </w:rPr>
        <w:t xml:space="preserve">Window:</w:t>
      </w:r>
      <w:r>
        <w:t xml:space="preserve"> </w:t>
      </w:r>
      <w:r>
        <w:t xml:space="preserve">Weeks 5–36, with peak nephron generation at 20–36 weeks. Critically, nephrogenesis is</w:t>
      </w:r>
      <w:r>
        <w:t xml:space="preserve"> </w:t>
      </w:r>
      <w:r>
        <w:rPr>
          <w:b/>
          <w:bCs/>
        </w:rPr>
        <w:t xml:space="preserve">complete by ~36 weeks GA</w:t>
      </w:r>
      <w:r>
        <w:t xml:space="preserve"> </w:t>
      </w:r>
      <w:r>
        <w:t xml:space="preserve">— no new nephrons can be generated postnatally (Luyckx &amp; Brenner, 2005). This is the sharpest developmental window closure of any organ system. Human nephron number varies more than 10-fold (200,000 to &gt;2,000,000 per kidney), and low nephron number is a direct risk factor for hypertension and CKD (Brenner et al., 1988).</w:t>
      </w:r>
    </w:p>
    <w:p>
      <w:pPr>
        <w:pStyle w:val="BodyText"/>
      </w:pPr>
      <w:r>
        <w:rPr>
          <w:b/>
          <w:bCs/>
        </w:rPr>
        <w:t xml:space="preserve">Mechanism:</w:t>
      </w:r>
      <w:r>
        <w:t xml:space="preserve"> </w:t>
      </w:r>
      <w:r>
        <w:t xml:space="preserve">HIF-prolyl hydroxylation in FOXD1 lineage cells is essential for nephrogenesis (Kobayashi et al., 2017). Hypoxia arrests nephron progenitor proliferation and accelerates decline of the Six2+ progenitor pool. Reduced nephron endowment → compensatory glomerular hyperfiltration → glomerulosclerosis → progressive hypertension.</w:t>
      </w:r>
    </w:p>
    <w:p>
      <w:pPr>
        <w:pStyle w:val="BodyText"/>
      </w:pPr>
      <w:r>
        <w:rPr>
          <w:b/>
          <w:bCs/>
        </w:rPr>
        <w:t xml:space="preserve">Latent outcomes:</w:t>
      </w:r>
      <w:r>
        <w:t xml:space="preserve"> </w:t>
      </w:r>
      <w:r>
        <w:t xml:space="preserve">Essential hypertension, chronic kidney disease, proteinuria, accelerated progression to end-stage renal disease.</w:t>
      </w:r>
    </w:p>
    <w:p>
      <w:pPr>
        <w:pStyle w:val="BodyText"/>
      </w:pPr>
      <w:r>
        <w:rPr>
          <w:b/>
          <w:bCs/>
        </w:rPr>
        <w:t xml:space="preserve">Demand spike:</w:t>
      </w:r>
      <w:r>
        <w:t xml:space="preserve"> </w:t>
      </w:r>
      <w:r>
        <w:t xml:space="preserve">Adolescence/early adulthood (growth demands); obesity/metabolic syndrome onset; pregnancy (50% increase in GFR); mid-life (40s–60s).</w:t>
      </w:r>
    </w:p>
    <w:p>
      <w:pPr>
        <w:pStyle w:val="BodyText"/>
      </w:pPr>
      <w:r>
        <w:rPr>
          <w:b/>
          <w:bCs/>
        </w:rPr>
        <w:t xml:space="preserve">Evidence strength:</w:t>
      </w:r>
      <w:r>
        <w:t xml:space="preserve"> </w:t>
      </w:r>
      <w:r>
        <w:t xml:space="preserve">STRONG (Brenner et al., 1988; Luyckx &amp; Brenner, 2005, 2015, 2020; Gurusinghe et al., 2017; Chevalier, 2020).</w:t>
      </w:r>
    </w:p>
    <w:bookmarkEnd w:id="19"/>
    <w:bookmarkStart w:id="20" w:name="hippocampal-ca1-pyramidal-neuron-loss"/>
    <w:p>
      <w:pPr>
        <w:pStyle w:val="Heading3"/>
      </w:pPr>
      <w:r>
        <w:t xml:space="preserve">3.3 Hippocampal — CA1 Pyramidal Neuron Loss</w:t>
      </w:r>
    </w:p>
    <w:p>
      <w:pPr>
        <w:pStyle w:val="FirstParagraph"/>
      </w:pPr>
      <w:r>
        <w:rPr>
          <w:b/>
          <w:bCs/>
        </w:rPr>
        <w:t xml:space="preserve">Vulnerable cell:</w:t>
      </w:r>
      <w:r>
        <w:t xml:space="preserve"> </w:t>
      </w:r>
      <w:r>
        <w:t xml:space="preserve">CA1 pyramidal neurons — the most hypoxia-sensitive neurons in the entire brain due to high metabolic demand, NMDA receptor density, watershed vascular territory, and dense glutamatergic innervation creating excitotoxic vulnerability (Schmidt-Kastner &amp; Freund, 1991).</w:t>
      </w:r>
    </w:p>
    <w:p>
      <w:pPr>
        <w:pStyle w:val="BodyText"/>
      </w:pPr>
      <w:r>
        <w:rPr>
          <w:b/>
          <w:bCs/>
        </w:rPr>
        <w:t xml:space="preserve">Window:</w:t>
      </w:r>
      <w:r>
        <w:t xml:space="preserve"> </w:t>
      </w:r>
      <w:r>
        <w:t xml:space="preserve">Hippocampal neurogenesis at 10–20 weeks; peak vulnerability at 22–36 weeks when the hippocampal formation has formed but is still maturing with active synaptogenesis and immature vascular supply.</w:t>
      </w:r>
    </w:p>
    <w:p>
      <w:pPr>
        <w:pStyle w:val="BodyText"/>
      </w:pPr>
      <w:r>
        <w:rPr>
          <w:b/>
          <w:bCs/>
        </w:rPr>
        <w:t xml:space="preserve">Mechanism:</w:t>
      </w:r>
      <w:r>
        <w:t xml:space="preserve"> </w:t>
      </w:r>
      <w:r>
        <w:t xml:space="preserve">Excitotoxicity via NMDA receptor over-activation → calcium influx → mitochondrial failure → selective neuronal necrosis. Schwartz et al. (1992) showed 64±3% of neocortex involvement with selective hippocampal neuronal necrosis. Johnston (2001) provided a comprehensive framework for glutamate-mediated perinatal brain injury.</w:t>
      </w:r>
    </w:p>
    <w:p>
      <w:pPr>
        <w:pStyle w:val="BodyText"/>
      </w:pPr>
      <w:r>
        <w:rPr>
          <w:b/>
          <w:bCs/>
        </w:rPr>
        <w:t xml:space="preserve">Latent outcomes:</w:t>
      </w:r>
      <w:r>
        <w:t xml:space="preserve"> </w:t>
      </w:r>
      <w:r>
        <w:t xml:space="preserve">Memory deficits, temporal lobe epilepsy (hippocampal sclerosis is the most common pathology — Kuchukhidze et al., 2008), learning disabilities, PTSD vulnerability, depression/anxiety (hippocampal volume reduction is associated with major depressive disorder).</w:t>
      </w:r>
    </w:p>
    <w:p>
      <w:pPr>
        <w:pStyle w:val="BodyText"/>
      </w:pPr>
      <w:r>
        <w:rPr>
          <w:b/>
          <w:bCs/>
        </w:rPr>
        <w:t xml:space="preserve">Demand spike:</w:t>
      </w:r>
      <w:r>
        <w:t xml:space="preserve"> </w:t>
      </w:r>
      <w:r>
        <w:t xml:space="preserve">School entry (5–6 years) — declarative memory demands; adolescence — academic and stress-coping demands; trauma exposure at any age.</w:t>
      </w:r>
    </w:p>
    <w:p>
      <w:pPr>
        <w:pStyle w:val="BodyText"/>
      </w:pPr>
      <w:r>
        <w:rPr>
          <w:b/>
          <w:bCs/>
        </w:rPr>
        <w:t xml:space="preserve">Evidence strength:</w:t>
      </w:r>
      <w:r>
        <w:t xml:space="preserve"> </w:t>
      </w:r>
      <w:r>
        <w:t xml:space="preserve">STRONG for hippocampal vulnerability; MODERATE-STRONG for epilepsy link (Schmidt-Kastner &amp; Freund, 1991; Johnston, 2001; Volpe, 2009a).</w:t>
      </w:r>
    </w:p>
    <w:bookmarkEnd w:id="20"/>
    <w:bookmarkStart w:id="21" w:name="cerebellar-purkinje-cell-vulnerability"/>
    <w:p>
      <w:pPr>
        <w:pStyle w:val="Heading3"/>
      </w:pPr>
      <w:r>
        <w:t xml:space="preserve">3.4 Cerebellar — Purkinje Cell Vulnerability</w:t>
      </w:r>
    </w:p>
    <w:p>
      <w:pPr>
        <w:pStyle w:val="FirstParagraph"/>
      </w:pPr>
      <w:r>
        <w:rPr>
          <w:b/>
          <w:bCs/>
        </w:rPr>
        <w:t xml:space="preserve">Vulnerable cell:</w:t>
      </w:r>
      <w:r>
        <w:t xml:space="preserve"> </w:t>
      </w:r>
      <w:r>
        <w:t xml:space="preserve">Purkinje cells — the sole output neurons of the cerebellar cortex. Large, metabolically demanding neurons generated during a restricted fetal window that cannot be replaced. Also vulnerable: granule cell precursors in the external granular layer.</w:t>
      </w:r>
    </w:p>
    <w:p>
      <w:pPr>
        <w:pStyle w:val="BodyText"/>
      </w:pPr>
      <w:r>
        <w:rPr>
          <w:b/>
          <w:bCs/>
        </w:rPr>
        <w:t xml:space="preserve">Window:</w:t>
      </w:r>
      <w:r>
        <w:t xml:space="preserve"> </w:t>
      </w:r>
      <w:r>
        <w:t xml:space="preserve">Purkinje cell neurogenesis at 5–13 weeks; migration and maturation at 13–28 weeks; peak vulnerability at 24–36 weeks and into the neonatal period during dendritic arborisation and synaptogenesis. The cerebellum undergoes its most rapid volumetric growth from 24 weeks through 1 year postnatal (Volpe, 2009b).</w:t>
      </w:r>
    </w:p>
    <w:p>
      <w:pPr>
        <w:pStyle w:val="BodyText"/>
      </w:pPr>
      <w:r>
        <w:rPr>
          <w:b/>
          <w:bCs/>
        </w:rPr>
        <w:t xml:space="preserve">Mechanism:</w:t>
      </w:r>
      <w:r>
        <w:t xml:space="preserve"> </w:t>
      </w:r>
      <w:r>
        <w:t xml:space="preserve">Calcium homeostasis disruption and glutamate excitotoxicity. Katsetos et al. (2001) demonstrated that acute hypoxia abrogates calbindin-D28k immunoreactivity in Purkinje cells. Ohyu and Takashima (1998) showed reduced MAP5 expression in the molecular layer in preterm olivocerebellar degeneration.</w:t>
      </w:r>
    </w:p>
    <w:p>
      <w:pPr>
        <w:pStyle w:val="BodyText"/>
      </w:pPr>
      <w:r>
        <w:rPr>
          <w:b/>
          <w:bCs/>
        </w:rPr>
        <w:t xml:space="preserve">Latent outcomes:</w:t>
      </w:r>
      <w:r>
        <w:t xml:space="preserve"> </w:t>
      </w:r>
      <w:r>
        <w:t xml:space="preserve">Motor coordination deficits, autism spectrum disorder (Purkinje cell loss is the most consistently replicated neuropathological finding in autism — Bauman &amp; Kemper, 1985), cognitive-affective syndrome, speech/language impairments.</w:t>
      </w:r>
    </w:p>
    <w:p>
      <w:pPr>
        <w:pStyle w:val="BodyText"/>
      </w:pPr>
      <w:r>
        <w:rPr>
          <w:b/>
          <w:bCs/>
        </w:rPr>
        <w:t xml:space="preserve">Demand spike:</w:t>
      </w:r>
      <w:r>
        <w:t xml:space="preserve"> </w:t>
      </w:r>
      <w:r>
        <w:t xml:space="preserve">Motor milestones (6–18 months); fine motor/handwriting (4–6 years); social cognition demands (2–5 years).</w:t>
      </w:r>
    </w:p>
    <w:p>
      <w:pPr>
        <w:pStyle w:val="BodyText"/>
      </w:pPr>
      <w:r>
        <w:rPr>
          <w:b/>
          <w:bCs/>
        </w:rPr>
        <w:t xml:space="preserve">Evidence strength:</w:t>
      </w:r>
      <w:r>
        <w:t xml:space="preserve"> </w:t>
      </w:r>
      <w:r>
        <w:t xml:space="preserve">STRONG (Volpe, 2009b; Limperopoulos et al., 2007; Bauman &amp; Kemper, 1985).</w:t>
      </w:r>
    </w:p>
    <w:bookmarkEnd w:id="21"/>
    <w:bookmarkStart w:id="22" w:name="Xe2392a2436479fe4a7f2166c945669f09345e3c"/>
    <w:p>
      <w:pPr>
        <w:pStyle w:val="Heading3"/>
      </w:pPr>
      <w:r>
        <w:t xml:space="preserve">3.5 Immune — Thymic T-Cell Selection Disruption</w:t>
      </w:r>
    </w:p>
    <w:p>
      <w:pPr>
        <w:pStyle w:val="FirstParagraph"/>
      </w:pPr>
      <w:r>
        <w:rPr>
          <w:b/>
          <w:bCs/>
        </w:rPr>
        <w:t xml:space="preserve">Vulnerable cell:</w:t>
      </w:r>
      <w:r>
        <w:t xml:space="preserve"> </w:t>
      </w:r>
      <w:r>
        <w:t xml:space="preserve">CD4+CD8+ double-positive (DP) thymocytes undergoing positive and negative selection, and thymic epithelial cells (TECs) including Aire-expressing medullary TECs essential for self-tolerance.</w:t>
      </w:r>
    </w:p>
    <w:p>
      <w:pPr>
        <w:pStyle w:val="BodyText"/>
      </w:pPr>
      <w:r>
        <w:rPr>
          <w:b/>
          <w:bCs/>
        </w:rPr>
        <w:t xml:space="preserve">Window:</w:t>
      </w:r>
      <w:r>
        <w:t xml:space="preserve"> </w:t>
      </w:r>
      <w:r>
        <w:t xml:space="preserve">Thymic anlage at 6 weeks; first T-cell precursors at 8–9 weeks; maximum vulnerability at 12–36 weeks when the thymic microenvironment is being established and the T-cell repertoire is being shaped.</w:t>
      </w:r>
    </w:p>
    <w:p>
      <w:pPr>
        <w:pStyle w:val="BodyText"/>
      </w:pPr>
      <w:r>
        <w:rPr>
          <w:b/>
          <w:bCs/>
        </w:rPr>
        <w:t xml:space="preserve">Mechanism:</w:t>
      </w:r>
      <w:r>
        <w:t xml:space="preserve"> </w:t>
      </w:r>
      <w:r>
        <w:t xml:space="preserve">IUGR causes premature thymic involution and reduced thymic mass (Contreras et al., 2011). HIF-1α-dependent apoptosis of DP thymocytes. Disrupted positive/negative selection → impaired self-tolerance → autoimmune predisposition. Glucocorticoid-mediated thymic injury from fetal HPA axis activation.</w:t>
      </w:r>
    </w:p>
    <w:p>
      <w:pPr>
        <w:pStyle w:val="BodyText"/>
      </w:pPr>
      <w:r>
        <w:rPr>
          <w:b/>
          <w:bCs/>
        </w:rPr>
        <w:t xml:space="preserve">Latent outcomes:</w:t>
      </w:r>
      <w:r>
        <w:t xml:space="preserve"> </w:t>
      </w:r>
      <w:r>
        <w:t xml:space="preserve">Increased infection susceptibility, autoimmune disease, allergy and asthma (Gatford et al., 2017), impaired vaccine responses, premature immunosenescence.</w:t>
      </w:r>
    </w:p>
    <w:p>
      <w:pPr>
        <w:pStyle w:val="BodyText"/>
      </w:pPr>
      <w:r>
        <w:rPr>
          <w:b/>
          <w:bCs/>
        </w:rPr>
        <w:t xml:space="preserve">Demand spike:</w:t>
      </w:r>
      <w:r>
        <w:t xml:space="preserve"> </w:t>
      </w:r>
      <w:r>
        <w:t xml:space="preserve">Neonatal period (first pathogen exposure); daycare/school entry (2–5 years); adolescence (autoimmune onset peak); mid-life (accelerated immunosenescence).</w:t>
      </w:r>
    </w:p>
    <w:p>
      <w:pPr>
        <w:pStyle w:val="BodyText"/>
      </w:pPr>
      <w:r>
        <w:rPr>
          <w:b/>
          <w:bCs/>
        </w:rPr>
        <w:t xml:space="preserve">Evidence strength:</w:t>
      </w:r>
      <w:r>
        <w:t xml:space="preserve"> </w:t>
      </w:r>
      <w:r>
        <w:t xml:space="preserve">MODERATE (Contreras et al., 2011; Balistreri et al., 2019; McDade, 2012).</w:t>
      </w:r>
    </w:p>
    <w:bookmarkEnd w:id="22"/>
    <w:bookmarkStart w:id="23" w:name="pancreatic-beta-cell-mass-reduction"/>
    <w:p>
      <w:pPr>
        <w:pStyle w:val="Heading3"/>
      </w:pPr>
      <w:r>
        <w:t xml:space="preserve">3.6 Pancreatic — Beta-Cell Mass Reduction</w:t>
      </w:r>
    </w:p>
    <w:p>
      <w:pPr>
        <w:pStyle w:val="FirstParagraph"/>
      </w:pPr>
      <w:r>
        <w:rPr>
          <w:b/>
          <w:bCs/>
        </w:rPr>
        <w:t xml:space="preserve">Vulnerable cell:</w:t>
      </w:r>
      <w:r>
        <w:t xml:space="preserve"> </w:t>
      </w:r>
      <w:r>
        <w:t xml:space="preserve">Pancreatic β-cells — the insulin-producing cells whose mass is established predominantly during fetal and early neonatal life.</w:t>
      </w:r>
    </w:p>
    <w:p>
      <w:pPr>
        <w:pStyle w:val="BodyText"/>
      </w:pPr>
      <w:r>
        <w:rPr>
          <w:b/>
          <w:bCs/>
        </w:rPr>
        <w:t xml:space="preserve">Window:</w:t>
      </w:r>
      <w:r>
        <w:t xml:space="preserve"> </w:t>
      </w:r>
      <w:r>
        <w:t xml:space="preserve">Pancreatic bud at 4 weeks; endocrine differentiation at 8–9 weeks; critical β-cell mass expansion at 20–38 weeks. Also hepatocytes and adipocyte progenitors (insulin sensitivity programming).</w:t>
      </w:r>
    </w:p>
    <w:p>
      <w:pPr>
        <w:pStyle w:val="BodyText"/>
      </w:pPr>
      <w:r>
        <w:rPr>
          <w:b/>
          <w:bCs/>
        </w:rPr>
        <w:t xml:space="preserve">Mechanism:</w:t>
      </w:r>
      <w:r>
        <w:t xml:space="preserve"> </w:t>
      </w:r>
      <w:r>
        <w:t xml:space="preserve">Reduced β-cell mass (up to 50% fewer beta cells in IUGR models — Green et al., 2010). Altered insulin receptor expression in skeletal muscle/liver. The</w:t>
      </w:r>
      <w:r>
        <w:t xml:space="preserve"> </w:t>
      </w:r>
      <w:r>
        <w:t xml:space="preserve">“thrifty phenotype”</w:t>
      </w:r>
      <w:r>
        <w:t xml:space="preserve"> </w:t>
      </w:r>
      <w:r>
        <w:t xml:space="preserve">(Hales &amp; Barker, 1992) — metabolic programming favouring fat storage, maladaptive when born into caloric abundance.</w:t>
      </w:r>
    </w:p>
    <w:p>
      <w:pPr>
        <w:pStyle w:val="BodyText"/>
      </w:pPr>
      <w:r>
        <w:rPr>
          <w:b/>
          <w:bCs/>
        </w:rPr>
        <w:t xml:space="preserve">Latent outcomes:</w:t>
      </w:r>
      <w:r>
        <w:t xml:space="preserve"> </w:t>
      </w:r>
      <w:r>
        <w:t xml:space="preserve">Lean type 2 diabetes (10–40% of T2DM, particularly in South/East Asian populations), impaired glucose tolerance, metabolic syndrome.</w:t>
      </w:r>
    </w:p>
    <w:p>
      <w:pPr>
        <w:pStyle w:val="BodyText"/>
      </w:pPr>
      <w:r>
        <w:rPr>
          <w:b/>
          <w:bCs/>
        </w:rPr>
        <w:t xml:space="preserve">Demand spike:</w:t>
      </w:r>
      <w:r>
        <w:t xml:space="preserve"> </w:t>
      </w:r>
      <w:r>
        <w:t xml:space="preserve">Obesity/metabolic load (20s–40s); pregnancy (gestational diabetes as unmasking); ageing (progressive β-cell failure, 40–60 years).</w:t>
      </w:r>
    </w:p>
    <w:p>
      <w:pPr>
        <w:pStyle w:val="BodyText"/>
      </w:pPr>
      <w:r>
        <w:rPr>
          <w:b/>
          <w:bCs/>
        </w:rPr>
        <w:t xml:space="preserve">Evidence strength:</w:t>
      </w:r>
      <w:r>
        <w:t xml:space="preserve"> </w:t>
      </w:r>
      <w:r>
        <w:t xml:space="preserve">STRONG (Hales &amp; Barker, 1992; Green et al., 2010; Hill &amp; Duvillié, 2000; Nagano &amp; Morioka, 2025).</w:t>
      </w:r>
    </w:p>
    <w:bookmarkEnd w:id="23"/>
    <w:bookmarkStart w:id="24" w:name="pulmonary-alveolar-arrest"/>
    <w:p>
      <w:pPr>
        <w:pStyle w:val="Heading3"/>
      </w:pPr>
      <w:r>
        <w:t xml:space="preserve">3.7 Pulmonary — Alveolar Arrest</w:t>
      </w:r>
    </w:p>
    <w:p>
      <w:pPr>
        <w:pStyle w:val="FirstParagraph"/>
      </w:pPr>
      <w:r>
        <w:rPr>
          <w:b/>
          <w:bCs/>
        </w:rPr>
        <w:t xml:space="preserve">Vulnerable cell:</w:t>
      </w:r>
      <w:r>
        <w:t xml:space="preserve"> </w:t>
      </w:r>
      <w:r>
        <w:t xml:space="preserve">Type II alveolar epithelial cells (surfactant-producing) and alveolar progenitor cells. Pulmonary microvasculature endothelial cells.</w:t>
      </w:r>
    </w:p>
    <w:p>
      <w:pPr>
        <w:pStyle w:val="BodyText"/>
      </w:pPr>
      <w:r>
        <w:rPr>
          <w:b/>
          <w:bCs/>
        </w:rPr>
        <w:t xml:space="preserve">Window:</w:t>
      </w:r>
      <w:r>
        <w:t xml:space="preserve"> </w:t>
      </w:r>
      <w:r>
        <w:t xml:space="preserve">Canalicular phase at weeks 16–24 (branching airways); saccular phase at weeks 24–36 (gas exchange surface formation); alveolarisation continues postnatally to ~age 3, with 85% of alveoli forming after birth.</w:t>
      </w:r>
    </w:p>
    <w:p>
      <w:pPr>
        <w:pStyle w:val="BodyText"/>
      </w:pPr>
      <w:r>
        <w:rPr>
          <w:b/>
          <w:bCs/>
        </w:rPr>
        <w:t xml:space="preserve">Mechanism:</w:t>
      </w:r>
      <w:r>
        <w:t xml:space="preserve"> </w:t>
      </w:r>
      <w:r>
        <w:t xml:space="preserve">Arrested alveolarisation — fewer, larger alveoli with reduced gas exchange surface area. Disrupted surfactant production. Aberrant extracellular matrix deposition. Preterm birth interrupts the critical saccular-to-alveolar transition. HIF-1α is essential for intrauterine alveolar epithelial differentiation and surfactant production (Saini et al., 2008).</w:t>
      </w:r>
    </w:p>
    <w:p>
      <w:pPr>
        <w:pStyle w:val="BodyText"/>
      </w:pPr>
      <w:r>
        <w:rPr>
          <w:b/>
          <w:bCs/>
        </w:rPr>
        <w:t xml:space="preserve">Latent outcomes:</w:t>
      </w:r>
      <w:r>
        <w:t xml:space="preserve"> </w:t>
      </w:r>
      <w:r>
        <w:t xml:space="preserve">Reduced adult lung function. Saarenpää et al. (2015) showed persistent lung function reduction in VLBW adults. Doyle et al. (2019) documented substantially reduced airflow at age 25 (mean zFEV₁ difference −0.97). Jussinniemi et al. (2026) confirmed this persists into mid-adulthood.</w:t>
      </w:r>
    </w:p>
    <w:p>
      <w:pPr>
        <w:pStyle w:val="BodyText"/>
      </w:pPr>
      <w:r>
        <w:rPr>
          <w:b/>
          <w:bCs/>
        </w:rPr>
        <w:t xml:space="preserve">Demand spike:</w:t>
      </w:r>
      <w:r>
        <w:t xml:space="preserve"> </w:t>
      </w:r>
      <w:r>
        <w:t xml:space="preserve">Neonatal (immediate — surfactant); exercise capacity in adolescence; respiratory infections; premature lung function decline (50s+).</w:t>
      </w:r>
    </w:p>
    <w:p>
      <w:pPr>
        <w:pStyle w:val="BodyText"/>
      </w:pPr>
      <w:r>
        <w:rPr>
          <w:b/>
          <w:bCs/>
        </w:rPr>
        <w:t xml:space="preserve">Evidence strength:</w:t>
      </w:r>
      <w:r>
        <w:t xml:space="preserve"> </w:t>
      </w:r>
      <w:r>
        <w:t xml:space="preserve">STRONG for preterm-associated lung disease (Saarenpää et al., 2015; Doyle et al., 2019; Bonadies et al., 2023).</w:t>
      </w:r>
    </w:p>
    <w:bookmarkEnd w:id="24"/>
    <w:bookmarkStart w:id="25" w:name="hepatic-metabolic-zonation-programming"/>
    <w:p>
      <w:pPr>
        <w:pStyle w:val="Heading3"/>
      </w:pPr>
      <w:r>
        <w:t xml:space="preserve">3.8 Hepatic — Metabolic Zonation Programming</w:t>
      </w:r>
    </w:p>
    <w:p>
      <w:pPr>
        <w:pStyle w:val="FirstParagraph"/>
      </w:pPr>
      <w:r>
        <w:rPr>
          <w:b/>
          <w:bCs/>
        </w:rPr>
        <w:t xml:space="preserve">Vulnerable cell:</w:t>
      </w:r>
      <w:r>
        <w:t xml:space="preserve"> </w:t>
      </w:r>
      <w:r>
        <w:t xml:space="preserve">Hepatocytes undergoing functional maturation, particularly metabolic enzyme zonation along the Porto-central axis.</w:t>
      </w:r>
    </w:p>
    <w:p>
      <w:pPr>
        <w:pStyle w:val="BodyText"/>
      </w:pPr>
      <w:r>
        <w:rPr>
          <w:b/>
          <w:bCs/>
        </w:rPr>
        <w:t xml:space="preserve">Window:</w:t>
      </w:r>
      <w:r>
        <w:t xml:space="preserve"> </w:t>
      </w:r>
      <w:r>
        <w:t xml:space="preserve">Weeks 28–40, extending into early neonatal life. Hepatic enzyme maturation is oxygen-gradient driven — the liver uses its oxygen gradient to establish metabolic zones.</w:t>
      </w:r>
    </w:p>
    <w:p>
      <w:pPr>
        <w:pStyle w:val="BodyText"/>
      </w:pPr>
      <w:r>
        <w:rPr>
          <w:b/>
          <w:bCs/>
        </w:rPr>
        <w:t xml:space="preserve">Mechanism:</w:t>
      </w:r>
      <w:r>
        <w:t xml:space="preserve"> </w:t>
      </w:r>
      <w:r>
        <w:t xml:space="preserve">Epigenetic programming of metabolic pathways. Chen et al. (2024) demonstrated that pre-eclamptic foetal programming predisposes offspring to hepatic steatosis via DNA methylation, with alterations</w:t>
      </w:r>
      <w:r>
        <w:t xml:space="preserve"> </w:t>
      </w:r>
      <w:r>
        <w:t xml:space="preserve">“persistent and consistent from the foetal stage to adulthood.”</w:t>
      </w:r>
    </w:p>
    <w:p>
      <w:pPr>
        <w:pStyle w:val="BodyText"/>
      </w:pPr>
      <w:r>
        <w:rPr>
          <w:b/>
          <w:bCs/>
        </w:rPr>
        <w:t xml:space="preserve">Latent outcomes:</w:t>
      </w:r>
      <w:r>
        <w:t xml:space="preserve"> </w:t>
      </w:r>
      <w:r>
        <w:t xml:space="preserve">Non-alcoholic fatty liver disease (NAFLD), altered drug metabolism, impaired detoxification capacity.</w:t>
      </w:r>
    </w:p>
    <w:p>
      <w:pPr>
        <w:pStyle w:val="BodyText"/>
      </w:pPr>
      <w:r>
        <w:rPr>
          <w:b/>
          <w:bCs/>
        </w:rPr>
        <w:t xml:space="preserve">Demand spike:</w:t>
      </w:r>
      <w:r>
        <w:t xml:space="preserve"> </w:t>
      </w:r>
      <w:r>
        <w:t xml:space="preserve">Metabolic load (obesity, alcohol, high-fat diet, 30s–50s).</w:t>
      </w:r>
    </w:p>
    <w:p>
      <w:pPr>
        <w:pStyle w:val="BodyText"/>
      </w:pPr>
      <w:r>
        <w:rPr>
          <w:b/>
          <w:bCs/>
        </w:rPr>
        <w:t xml:space="preserve">Evidence strength:</w:t>
      </w:r>
      <w:r>
        <w:t xml:space="preserve"> </w:t>
      </w:r>
      <w:r>
        <w:t xml:space="preserve">MODERATE (Chen et al., 2024; Barker, 2004a).</w:t>
      </w:r>
    </w:p>
    <w:bookmarkEnd w:id="25"/>
    <w:bookmarkStart w:id="26" w:name="retinal-vascular-development-disruption"/>
    <w:p>
      <w:pPr>
        <w:pStyle w:val="Heading3"/>
      </w:pPr>
      <w:r>
        <w:t xml:space="preserve">3.9 Retinal — Vascular Development Disruption</w:t>
      </w:r>
    </w:p>
    <w:p>
      <w:pPr>
        <w:pStyle w:val="FirstParagraph"/>
      </w:pPr>
      <w:r>
        <w:rPr>
          <w:b/>
          <w:bCs/>
        </w:rPr>
        <w:t xml:space="preserve">Vulnerable cell:</w:t>
      </w:r>
      <w:r>
        <w:t xml:space="preserve"> </w:t>
      </w:r>
      <w:r>
        <w:t xml:space="preserve">Retinal ganglion cells (RGCs) and retinal vascular endothelial progenitors. Retinal vascularisation is profoundly sensitive to oxygen tension, mediated by HIF-1α-driven VEGF expression (Stone et al., 1995).</w:t>
      </w:r>
    </w:p>
    <w:p>
      <w:pPr>
        <w:pStyle w:val="BodyText"/>
      </w:pPr>
      <w:r>
        <w:rPr>
          <w:b/>
          <w:bCs/>
        </w:rPr>
        <w:t xml:space="preserve">Window:</w:t>
      </w:r>
      <w:r>
        <w:t xml:space="preserve"> </w:t>
      </w:r>
      <w:r>
        <w:t xml:space="preserve">Weeks 14–32, with retinal vascular development completing by ~36–40 weeks. The preterm retina is incompletely vascularised — the basis for retinopathy of prematurity (ROP).</w:t>
      </w:r>
    </w:p>
    <w:p>
      <w:pPr>
        <w:pStyle w:val="BodyText"/>
      </w:pPr>
      <w:r>
        <w:rPr>
          <w:b/>
          <w:bCs/>
        </w:rPr>
        <w:t xml:space="preserve">Mechanism:</w:t>
      </w:r>
      <w:r>
        <w:t xml:space="preserve"> </w:t>
      </w:r>
      <w:r>
        <w:t xml:space="preserve">HIF-1α drives VEGF expression controlling retinal vascularisation. Disrupted HIF signalling produces either incomplete vascularisation (hypoxia) or pathological neovascularisation (hyperoxia/oscillation).</w:t>
      </w:r>
    </w:p>
    <w:p>
      <w:pPr>
        <w:pStyle w:val="BodyText"/>
      </w:pPr>
      <w:r>
        <w:rPr>
          <w:b/>
          <w:bCs/>
        </w:rPr>
        <w:t xml:space="preserve">Latent outcomes:</w:t>
      </w:r>
      <w:r>
        <w:t xml:space="preserve"> </w:t>
      </w:r>
      <w:r>
        <w:t xml:space="preserve">ROP in the neonatal period; potential long-term refractive errors; possible contribution to glaucoma through reduced RGC reserve.</w:t>
      </w:r>
    </w:p>
    <w:p>
      <w:pPr>
        <w:pStyle w:val="BodyText"/>
      </w:pPr>
      <w:r>
        <w:rPr>
          <w:b/>
          <w:bCs/>
        </w:rPr>
        <w:t xml:space="preserve">Demand spike:</w:t>
      </w:r>
      <w:r>
        <w:t xml:space="preserve"> </w:t>
      </w:r>
      <w:r>
        <w:t xml:space="preserve">Near vision demands (school age — reading); age-related RGC decline (50s+).</w:t>
      </w:r>
    </w:p>
    <w:p>
      <w:pPr>
        <w:pStyle w:val="BodyText"/>
      </w:pPr>
      <w:r>
        <w:rPr>
          <w:b/>
          <w:bCs/>
        </w:rPr>
        <w:t xml:space="preserve">Evidence strength:</w:t>
      </w:r>
      <w:r>
        <w:t xml:space="preserve"> </w:t>
      </w:r>
      <w:r>
        <w:t xml:space="preserve">MODERATE (Stone et al., 1995; established ROP pathophysiology).</w:t>
      </w:r>
    </w:p>
    <w:bookmarkEnd w:id="26"/>
    <w:bookmarkStart w:id="27" w:name="cortical-subplate-neuron-destruction"/>
    <w:p>
      <w:pPr>
        <w:pStyle w:val="Heading3"/>
      </w:pPr>
      <w:r>
        <w:t xml:space="preserve">3.10 Cortical — Subplate Neuron Destruction</w:t>
      </w:r>
    </w:p>
    <w:p>
      <w:pPr>
        <w:pStyle w:val="FirstParagraph"/>
      </w:pPr>
      <w:r>
        <w:rPr>
          <w:b/>
          <w:bCs/>
        </w:rPr>
        <w:t xml:space="preserve">Vulnerable cell:</w:t>
      </w:r>
      <w:r>
        <w:t xml:space="preserve"> </w:t>
      </w:r>
      <w:r>
        <w:t xml:space="preserve">Subplate neurons — a transient scaffolding population essential for establishing all cortical circuit connections. These neurons guide thalamocortical axon navigation, cortical layer formation, and initial circuit architecture (McQuillen et al., 2003).</w:t>
      </w:r>
    </w:p>
    <w:p>
      <w:pPr>
        <w:pStyle w:val="BodyText"/>
      </w:pPr>
      <w:r>
        <w:rPr>
          <w:b/>
          <w:bCs/>
        </w:rPr>
        <w:t xml:space="preserve">Window:</w:t>
      </w:r>
      <w:r>
        <w:t xml:space="preserve"> </w:t>
      </w:r>
      <w:r>
        <w:t xml:space="preserve">Weeks 23–32 — the period when subplate neurons are most metabolically active and functionally critical. This overlaps exactly with the preOL vulnerability window.</w:t>
      </w:r>
    </w:p>
    <w:p>
      <w:pPr>
        <w:pStyle w:val="BodyText"/>
      </w:pPr>
      <w:r>
        <w:rPr>
          <w:b/>
          <w:bCs/>
        </w:rPr>
        <w:t xml:space="preserve">Mechanism:</w:t>
      </w:r>
      <w:r>
        <w:t xml:space="preserve"> </w:t>
      </w:r>
      <w:r>
        <w:t xml:space="preserve">Subplate neurons are selectively vulnerable to hypoxia-ischaemia. McClendon et al. (2017) demonstrated transient hypoxemia disrupts subplate neuron maturation. Their premature destruction interrupts all downstream cortical circuit formation — they are scaffolding, and removing scaffolding during construction produces permanent architectural deficits.</w:t>
      </w:r>
    </w:p>
    <w:p>
      <w:pPr>
        <w:pStyle w:val="BodyText"/>
      </w:pPr>
      <w:r>
        <w:rPr>
          <w:b/>
          <w:bCs/>
        </w:rPr>
        <w:t xml:space="preserve">Latent outcomes:</w:t>
      </w:r>
      <w:r>
        <w:t xml:space="preserve"> </w:t>
      </w:r>
      <w:r>
        <w:t xml:space="preserve">Cortical processing deficits, sensory integration dysfunction, cognitive impairment, contribution to autism phenotype.</w:t>
      </w:r>
    </w:p>
    <w:p>
      <w:pPr>
        <w:pStyle w:val="BodyText"/>
      </w:pPr>
      <w:r>
        <w:rPr>
          <w:b/>
          <w:bCs/>
        </w:rPr>
        <w:t xml:space="preserve">Demand spike:</w:t>
      </w:r>
      <w:r>
        <w:t xml:space="preserve"> </w:t>
      </w:r>
      <w:r>
        <w:t xml:space="preserve">Social cognition (2–5 years); executive function (adolescence); complex cognitive demands (adulthood).</w:t>
      </w:r>
    </w:p>
    <w:p>
      <w:pPr>
        <w:pStyle w:val="BodyText"/>
      </w:pPr>
      <w:r>
        <w:rPr>
          <w:b/>
          <w:bCs/>
        </w:rPr>
        <w:t xml:space="preserve">Evidence strength:</w:t>
      </w:r>
      <w:r>
        <w:t xml:space="preserve"> </w:t>
      </w:r>
      <w:r>
        <w:t xml:space="preserve">MODERATE (McQuillen et al., 2003; McClendon et al., 2017; Back lab findings).</w:t>
      </w:r>
    </w:p>
    <w:p>
      <w:r>
        <w:pict>
          <v:rect style="width:0;height:1.5pt" o:hralign="center" o:hrstd="t" o:hr="t"/>
        </w:pict>
      </w:r>
    </w:p>
    <w:bookmarkEnd w:id="27"/>
    <w:bookmarkEnd w:id="28"/>
    <w:bookmarkStart w:id="29" w:name="the-fixed-endowment-principle"/>
    <w:p>
      <w:pPr>
        <w:pStyle w:val="Heading2"/>
      </w:pPr>
      <w:r>
        <w:t xml:space="preserve">4. The Fixed Endowment Principle</w:t>
      </w:r>
    </w:p>
    <w:p>
      <w:pPr>
        <w:pStyle w:val="FirstParagraph"/>
      </w:pPr>
      <w:r>
        <w:t xml:space="preserve">A critical pattern emerges across the organ-system mapping: multiple systems follow what the evidence reveals as the</w:t>
      </w:r>
      <w:r>
        <w:t xml:space="preserve"> </w:t>
      </w:r>
      <w:r>
        <w:rPr>
          <w:b/>
          <w:bCs/>
        </w:rPr>
        <w:t xml:space="preserve">fixed endowment principle</w:t>
      </w:r>
      <w:r>
        <w:t xml:space="preserve"> </w:t>
      </w:r>
      <w:r>
        <w:t xml:space="preserve">— the cell population established during fetal life represents the lifetime reserve, with no or minimal postnatal replacement.</w:t>
      </w:r>
    </w:p>
    <w:tbl>
      <w:tblPr>
        <w:tblStyle w:val="Table"/>
        <w:tblW w:type="pct" w:w="5000"/>
        <w:tblLayout w:type="fixed"/>
        <w:tblLook w:firstRow="1" w:lastRow="0" w:firstColumn="0" w:lastColumn="0" w:noHBand="0" w:noVBand="0" w:val="0020"/>
      </w:tblPr>
      <w:tblGrid>
        <w:gridCol w:w="1111"/>
        <w:gridCol w:w="1528"/>
        <w:gridCol w:w="3056"/>
        <w:gridCol w:w="2223"/>
      </w:tblGrid>
      <w:tr>
        <w:trPr>
          <w:tblHeader w:val="on"/>
        </w:trPr>
        <w:tc>
          <w:tcPr/>
          <w:p>
            <w:pPr>
              <w:pStyle w:val="Compact"/>
            </w:pPr>
            <w:r>
              <w:t xml:space="preserve">System</w:t>
            </w:r>
          </w:p>
        </w:tc>
        <w:tc>
          <w:tcPr/>
          <w:p>
            <w:pPr>
              <w:pStyle w:val="Compact"/>
            </w:pPr>
            <w:r>
              <w:t xml:space="preserve">Cell Type</w:t>
            </w:r>
          </w:p>
        </w:tc>
        <w:tc>
          <w:tcPr/>
          <w:p>
            <w:pPr>
              <w:pStyle w:val="Compact"/>
            </w:pPr>
            <w:r>
              <w:t xml:space="preserve">Postnatal Replacement</w:t>
            </w:r>
          </w:p>
        </w:tc>
        <w:tc>
          <w:tcPr/>
          <w:p>
            <w:pPr>
              <w:pStyle w:val="Compact"/>
            </w:pPr>
            <w:r>
              <w:t xml:space="preserve">Window Closure</w:t>
            </w:r>
          </w:p>
        </w:tc>
      </w:tr>
      <w:tr>
        <w:tc>
          <w:tcPr/>
          <w:p>
            <w:pPr>
              <w:pStyle w:val="Compact"/>
            </w:pPr>
            <w:r>
              <w:t xml:space="preserve">Renal</w:t>
            </w:r>
          </w:p>
        </w:tc>
        <w:tc>
          <w:tcPr/>
          <w:p>
            <w:pPr>
              <w:pStyle w:val="Compact"/>
            </w:pPr>
            <w:r>
              <w:t xml:space="preserve">Nephron progenitors</w:t>
            </w:r>
          </w:p>
        </w:tc>
        <w:tc>
          <w:tcPr/>
          <w:p>
            <w:pPr>
              <w:pStyle w:val="Compact"/>
            </w:pPr>
            <w:r>
              <w:rPr>
                <w:b/>
                <w:bCs/>
              </w:rPr>
              <w:t xml:space="preserve">None</w:t>
            </w:r>
            <w:r>
              <w:t xml:space="preserve"> </w:t>
            </w:r>
            <w:r>
              <w:t xml:space="preserve">— hardest closure</w:t>
            </w:r>
          </w:p>
        </w:tc>
        <w:tc>
          <w:tcPr/>
          <w:p>
            <w:pPr>
              <w:pStyle w:val="Compact"/>
            </w:pPr>
            <w:r>
              <w:t xml:space="preserve">36 weeks</w:t>
            </w:r>
          </w:p>
        </w:tc>
      </w:tr>
      <w:tr>
        <w:tc>
          <w:tcPr/>
          <w:p>
            <w:pPr>
              <w:pStyle w:val="Compact"/>
            </w:pPr>
            <w:r>
              <w:t xml:space="preserve">Cardiac</w:t>
            </w:r>
          </w:p>
        </w:tc>
        <w:tc>
          <w:tcPr/>
          <w:p>
            <w:pPr>
              <w:pStyle w:val="Compact"/>
            </w:pPr>
            <w:r>
              <w:t xml:space="preserve">Cardiomyocytes</w:t>
            </w:r>
          </w:p>
        </w:tc>
        <w:tc>
          <w:tcPr/>
          <w:p>
            <w:pPr>
              <w:pStyle w:val="Compact"/>
            </w:pPr>
            <w:r>
              <w:t xml:space="preserve">~1%/year renewal</w:t>
            </w:r>
          </w:p>
        </w:tc>
        <w:tc>
          <w:tcPr/>
          <w:p>
            <w:pPr>
              <w:pStyle w:val="Compact"/>
            </w:pPr>
            <w:r>
              <w:t xml:space="preserve">~20 weeks (proliferative capacity)</w:t>
            </w:r>
          </w:p>
        </w:tc>
      </w:tr>
      <w:tr>
        <w:tc>
          <w:tcPr/>
          <w:p>
            <w:pPr>
              <w:pStyle w:val="Compact"/>
            </w:pPr>
            <w:r>
              <w:t xml:space="preserve">Cerebellar</w:t>
            </w:r>
          </w:p>
        </w:tc>
        <w:tc>
          <w:tcPr/>
          <w:p>
            <w:pPr>
              <w:pStyle w:val="Compact"/>
            </w:pPr>
            <w:r>
              <w:t xml:space="preserve">Purkinje cells</w:t>
            </w:r>
          </w:p>
        </w:tc>
        <w:tc>
          <w:tcPr/>
          <w:p>
            <w:pPr>
              <w:pStyle w:val="Compact"/>
            </w:pPr>
            <w:r>
              <w:rPr>
                <w:b/>
                <w:bCs/>
              </w:rPr>
              <w:t xml:space="preserve">None</w:t>
            </w:r>
          </w:p>
        </w:tc>
        <w:tc>
          <w:tcPr/>
          <w:p>
            <w:pPr>
              <w:pStyle w:val="Compact"/>
            </w:pPr>
            <w:r>
              <w:t xml:space="preserve">First trimester (generation)</w:t>
            </w:r>
          </w:p>
        </w:tc>
      </w:tr>
      <w:tr>
        <w:tc>
          <w:tcPr/>
          <w:p>
            <w:pPr>
              <w:pStyle w:val="Compact"/>
            </w:pPr>
            <w:r>
              <w:t xml:space="preserve">Cortical</w:t>
            </w:r>
          </w:p>
        </w:tc>
        <w:tc>
          <w:tcPr/>
          <w:p>
            <w:pPr>
              <w:pStyle w:val="Compact"/>
            </w:pPr>
            <w:r>
              <w:t xml:space="preserve">Subplate neurons</w:t>
            </w:r>
          </w:p>
        </w:tc>
        <w:tc>
          <w:tcPr/>
          <w:p>
            <w:pPr>
              <w:pStyle w:val="Compact"/>
            </w:pPr>
            <w:r>
              <w:rPr>
                <w:b/>
                <w:bCs/>
              </w:rPr>
              <w:t xml:space="preserve">None</w:t>
            </w:r>
            <w:r>
              <w:t xml:space="preserve"> </w:t>
            </w:r>
            <w:r>
              <w:t xml:space="preserve">— transient by design</w:t>
            </w:r>
          </w:p>
        </w:tc>
        <w:tc>
          <w:tcPr/>
          <w:p>
            <w:pPr>
              <w:pStyle w:val="Compact"/>
            </w:pPr>
            <w:r>
              <w:t xml:space="preserve">~32 weeks</w:t>
            </w:r>
          </w:p>
        </w:tc>
      </w:tr>
      <w:tr>
        <w:tc>
          <w:tcPr/>
          <w:p>
            <w:pPr>
              <w:pStyle w:val="Compact"/>
            </w:pPr>
            <w:r>
              <w:t xml:space="preserve">Hippocampal</w:t>
            </w:r>
          </w:p>
        </w:tc>
        <w:tc>
          <w:tcPr/>
          <w:p>
            <w:pPr>
              <w:pStyle w:val="Compact"/>
            </w:pPr>
            <w:r>
              <w:t xml:space="preserve">CA1 pyramidal neurons</w:t>
            </w:r>
          </w:p>
        </w:tc>
        <w:tc>
          <w:tcPr/>
          <w:p>
            <w:pPr>
              <w:pStyle w:val="Compact"/>
            </w:pPr>
            <w:r>
              <w:t xml:space="preserve">Minimal (limited adult neurogenesis)</w:t>
            </w:r>
          </w:p>
        </w:tc>
        <w:tc>
          <w:tcPr/>
          <w:p>
            <w:pPr>
              <w:pStyle w:val="Compact"/>
            </w:pPr>
            <w:r>
              <w:t xml:space="preserve">~36 weeks</w:t>
            </w:r>
          </w:p>
        </w:tc>
      </w:tr>
      <w:tr>
        <w:tc>
          <w:tcPr/>
          <w:p>
            <w:pPr>
              <w:pStyle w:val="Compact"/>
            </w:pPr>
            <w:r>
              <w:t xml:space="preserve">Pulmonary</w:t>
            </w:r>
          </w:p>
        </w:tc>
        <w:tc>
          <w:tcPr/>
          <w:p>
            <w:pPr>
              <w:pStyle w:val="Compact"/>
            </w:pPr>
            <w:r>
              <w:t xml:space="preserve">ATII cells</w:t>
            </w:r>
          </w:p>
        </w:tc>
        <w:tc>
          <w:tcPr/>
          <w:p>
            <w:pPr>
              <w:pStyle w:val="Compact"/>
            </w:pPr>
            <w:r>
              <w:t xml:space="preserve">Partial (alveolarisation to ~age 3)</w:t>
            </w:r>
          </w:p>
        </w:tc>
        <w:tc>
          <w:tcPr/>
          <w:p>
            <w:pPr>
              <w:pStyle w:val="Compact"/>
            </w:pPr>
            <w:r>
              <w:t xml:space="preserve">Ongoing but framework set in utero</w:t>
            </w:r>
          </w:p>
        </w:tc>
      </w:tr>
      <w:tr>
        <w:tc>
          <w:tcPr/>
          <w:p>
            <w:pPr>
              <w:pStyle w:val="Compact"/>
            </w:pPr>
            <w:r>
              <w:t xml:space="preserve">Pancreatic</w:t>
            </w:r>
          </w:p>
        </w:tc>
        <w:tc>
          <w:tcPr/>
          <w:p>
            <w:pPr>
              <w:pStyle w:val="Compact"/>
            </w:pPr>
            <w:r>
              <w:t xml:space="preserve">Beta cells</w:t>
            </w:r>
          </w:p>
        </w:tc>
        <w:tc>
          <w:tcPr/>
          <w:p>
            <w:pPr>
              <w:pStyle w:val="Compact"/>
            </w:pPr>
            <w:r>
              <w:t xml:space="preserve">Low renewal rate</w:t>
            </w:r>
          </w:p>
        </w:tc>
        <w:tc>
          <w:tcPr/>
          <w:p>
            <w:pPr>
              <w:pStyle w:val="Compact"/>
            </w:pPr>
            <w:r>
              <w:t xml:space="preserve">Ongoing but mass determined fetally</w:t>
            </w:r>
          </w:p>
        </w:tc>
      </w:tr>
    </w:tbl>
    <w:p>
      <w:pPr>
        <w:pStyle w:val="BodyText"/>
      </w:pPr>
      <w:r>
        <w:t xml:space="preserve">If the fixed endowment is reduced by gestational hypoxia, the lifetime reserve is permanently lower. The system starts life closer to its failure threshold. It reaches that threshold sooner when demand increases. This is the mechanism by which a single gestational event produces a clinical disease decades later.</w:t>
      </w:r>
    </w:p>
    <w:p>
      <w:r>
        <w:pict>
          <v:rect style="width:0;height:1.5pt" o:hralign="center" o:hrstd="t" o:hr="t"/>
        </w:pict>
      </w:r>
    </w:p>
    <w:bookmarkEnd w:id="29"/>
    <w:bookmarkStart w:id="33" w:name="hif-1α-the-common-molecular-thread"/>
    <w:p>
      <w:pPr>
        <w:pStyle w:val="Heading2"/>
      </w:pPr>
      <w:r>
        <w:t xml:space="preserve">5. HIF-1α: The Common Molecular Thread</w:t>
      </w:r>
    </w:p>
    <w:bookmarkStart w:id="30" w:name="one-molecule-every-system"/>
    <w:p>
      <w:pPr>
        <w:pStyle w:val="Heading3"/>
      </w:pPr>
      <w:r>
        <w:t xml:space="preserve">5.1 One Molecule, Every System</w:t>
      </w:r>
    </w:p>
    <w:p>
      <w:pPr>
        <w:pStyle w:val="FirstParagraph"/>
      </w:pPr>
      <w:r>
        <w:t xml:space="preserve">Hypoxia-Inducible Factor 1-alpha (HIF-1α) is the molecular sensor that translates oxygen availability into developmental decisions. It emerges from the evidence as the common molecular thread across virtually every organ system:</w:t>
      </w:r>
    </w:p>
    <w:tbl>
      <w:tblPr>
        <w:tblStyle w:val="Table"/>
        <w:tblW w:type="pct" w:w="5000"/>
        <w:tblLayout w:type="fixed"/>
        <w:tblLook w:firstRow="1" w:lastRow="0" w:firstColumn="0" w:lastColumn="0" w:noHBand="0" w:noVBand="0" w:val="0020"/>
      </w:tblPr>
      <w:tblGrid>
        <w:gridCol w:w="1810"/>
        <w:gridCol w:w="2941"/>
        <w:gridCol w:w="3168"/>
      </w:tblGrid>
      <w:tr>
        <w:trPr>
          <w:tblHeader w:val="on"/>
        </w:trPr>
        <w:tc>
          <w:tcPr/>
          <w:p>
            <w:pPr>
              <w:pStyle w:val="Compact"/>
            </w:pPr>
            <w:r>
              <w:t xml:space="preserve">System</w:t>
            </w:r>
          </w:p>
        </w:tc>
        <w:tc>
          <w:tcPr/>
          <w:p>
            <w:pPr>
              <w:pStyle w:val="Compact"/>
            </w:pPr>
            <w:r>
              <w:t xml:space="preserve">HIF-1α Role</w:t>
            </w:r>
          </w:p>
        </w:tc>
        <w:tc>
          <w:tcPr/>
          <w:p>
            <w:pPr>
              <w:pStyle w:val="Compact"/>
            </w:pPr>
            <w:r>
              <w:t xml:space="preserve">Key Citation</w:t>
            </w:r>
          </w:p>
        </w:tc>
      </w:tr>
      <w:tr>
        <w:tc>
          <w:tcPr/>
          <w:p>
            <w:pPr>
              <w:pStyle w:val="Compact"/>
            </w:pPr>
            <w:r>
              <w:t xml:space="preserve">White matter</w:t>
            </w:r>
          </w:p>
        </w:tc>
        <w:tc>
          <w:tcPr/>
          <w:p>
            <w:pPr>
              <w:pStyle w:val="Compact"/>
            </w:pPr>
            <w:r>
              <w:t xml:space="preserve">Regulates OPC maturation</w:t>
            </w:r>
          </w:p>
        </w:tc>
        <w:tc>
          <w:tcPr/>
          <w:p>
            <w:pPr>
              <w:pStyle w:val="Compact"/>
            </w:pPr>
            <w:r>
              <w:t xml:space="preserve">Wellmann et al., 2015</w:t>
            </w:r>
          </w:p>
        </w:tc>
      </w:tr>
      <w:tr>
        <w:tc>
          <w:tcPr/>
          <w:p>
            <w:pPr>
              <w:pStyle w:val="Compact"/>
            </w:pPr>
            <w:r>
              <w:t xml:space="preserve">Cardiac</w:t>
            </w:r>
          </w:p>
        </w:tc>
        <w:tc>
          <w:tcPr/>
          <w:p>
            <w:pPr>
              <w:pStyle w:val="Compact"/>
            </w:pPr>
            <w:r>
              <w:t xml:space="preserve">Essential for septation; cardiomyocyte survival</w:t>
            </w:r>
          </w:p>
        </w:tc>
        <w:tc>
          <w:tcPr/>
          <w:p>
            <w:pPr>
              <w:pStyle w:val="Compact"/>
            </w:pPr>
            <w:r>
              <w:t xml:space="preserve">Llurba Olive et al., 2018</w:t>
            </w:r>
          </w:p>
        </w:tc>
      </w:tr>
      <w:tr>
        <w:tc>
          <w:tcPr/>
          <w:p>
            <w:pPr>
              <w:pStyle w:val="Compact"/>
            </w:pPr>
            <w:r>
              <w:t xml:space="preserve">Renal</w:t>
            </w:r>
          </w:p>
        </w:tc>
        <w:tc>
          <w:tcPr/>
          <w:p>
            <w:pPr>
              <w:pStyle w:val="Compact"/>
            </w:pPr>
            <w:r>
              <w:t xml:space="preserve">PHD-VHL hydroxylation in FOXD1 cells essential for nephrogenesis</w:t>
            </w:r>
          </w:p>
        </w:tc>
        <w:tc>
          <w:tcPr/>
          <w:p>
            <w:pPr>
              <w:pStyle w:val="Compact"/>
            </w:pPr>
            <w:r>
              <w:t xml:space="preserve">Kobayashi et al., 2017</w:t>
            </w:r>
          </w:p>
        </w:tc>
      </w:tr>
      <w:tr>
        <w:tc>
          <w:tcPr/>
          <w:p>
            <w:pPr>
              <w:pStyle w:val="Compact"/>
            </w:pPr>
            <w:r>
              <w:t xml:space="preserve">Pulmonary</w:t>
            </w:r>
          </w:p>
        </w:tc>
        <w:tc>
          <w:tcPr/>
          <w:p>
            <w:pPr>
              <w:pStyle w:val="Compact"/>
            </w:pPr>
            <w:r>
              <w:t xml:space="preserve">Essential for alveolar epithelial differentiation</w:t>
            </w:r>
          </w:p>
        </w:tc>
        <w:tc>
          <w:tcPr/>
          <w:p>
            <w:pPr>
              <w:pStyle w:val="Compact"/>
            </w:pPr>
            <w:r>
              <w:t xml:space="preserve">Saini et al., 2008</w:t>
            </w:r>
          </w:p>
        </w:tc>
      </w:tr>
      <w:tr>
        <w:tc>
          <w:tcPr/>
          <w:p>
            <w:pPr>
              <w:pStyle w:val="Compact"/>
            </w:pPr>
            <w:r>
              <w:t xml:space="preserve">Retinal</w:t>
            </w:r>
          </w:p>
        </w:tc>
        <w:tc>
          <w:tcPr/>
          <w:p>
            <w:pPr>
              <w:pStyle w:val="Compact"/>
            </w:pPr>
            <w:r>
              <w:t xml:space="preserve">Drives VEGF controlling retinal vascularisation</w:t>
            </w:r>
          </w:p>
        </w:tc>
        <w:tc>
          <w:tcPr/>
          <w:p>
            <w:pPr>
              <w:pStyle w:val="Compact"/>
            </w:pPr>
            <w:r>
              <w:t xml:space="preserve">Stone et al., 1995</w:t>
            </w:r>
          </w:p>
        </w:tc>
      </w:tr>
      <w:tr>
        <w:tc>
          <w:tcPr/>
          <w:p>
            <w:pPr>
              <w:pStyle w:val="Compact"/>
            </w:pPr>
            <w:r>
              <w:t xml:space="preserve">Immune</w:t>
            </w:r>
          </w:p>
        </w:tc>
        <w:tc>
          <w:tcPr/>
          <w:p>
            <w:pPr>
              <w:pStyle w:val="Compact"/>
            </w:pPr>
            <w:r>
              <w:t xml:space="preserve">Mediates thymocyte survival/apoptosis decisions</w:t>
            </w:r>
          </w:p>
        </w:tc>
        <w:tc>
          <w:tcPr/>
          <w:p>
            <w:pPr>
              <w:pStyle w:val="Compact"/>
            </w:pPr>
            <w:r>
              <w:t xml:space="preserve">HIF-dependent pathway</w:t>
            </w:r>
          </w:p>
        </w:tc>
      </w:tr>
      <w:tr>
        <w:tc>
          <w:tcPr/>
          <w:p>
            <w:pPr>
              <w:pStyle w:val="Compact"/>
            </w:pPr>
            <w:r>
              <w:t xml:space="preserve">Hepatic</w:t>
            </w:r>
          </w:p>
        </w:tc>
        <w:tc>
          <w:tcPr/>
          <w:p>
            <w:pPr>
              <w:pStyle w:val="Compact"/>
            </w:pPr>
            <w:r>
              <w:t xml:space="preserve">Controls metabolic zonation</w:t>
            </w:r>
          </w:p>
        </w:tc>
        <w:tc>
          <w:tcPr/>
          <w:p>
            <w:pPr>
              <w:pStyle w:val="Compact"/>
            </w:pPr>
            <w:r>
              <w:t xml:space="preserve">Oxygen gradient-driven</w:t>
            </w:r>
          </w:p>
        </w:tc>
      </w:tr>
      <w:tr>
        <w:tc>
          <w:tcPr/>
          <w:p>
            <w:pPr>
              <w:pStyle w:val="Compact"/>
            </w:pPr>
            <w:r>
              <w:t xml:space="preserve">Cortical</w:t>
            </w:r>
          </w:p>
        </w:tc>
        <w:tc>
          <w:tcPr/>
          <w:p>
            <w:pPr>
              <w:pStyle w:val="Compact"/>
            </w:pPr>
            <w:r>
              <w:t xml:space="preserve">Subplate neuron maturation disrupted by transient hypoxemia</w:t>
            </w:r>
          </w:p>
        </w:tc>
        <w:tc>
          <w:tcPr/>
          <w:p>
            <w:pPr>
              <w:pStyle w:val="Compact"/>
            </w:pPr>
            <w:r>
              <w:t xml:space="preserve">McClendon et al., 2017</w:t>
            </w:r>
          </w:p>
        </w:tc>
      </w:tr>
    </w:tbl>
    <w:p>
      <w:pPr>
        <w:pStyle w:val="BodyText"/>
      </w:pPr>
      <w:r>
        <w:t xml:space="preserve">HIF-1α is the reason the alignment model works at the molecular level. Every developing organ system is listening to the same oxygen signal through the same molecular machinery. When that signal is disrupted, HIF-mediated developmental programmes are disrupted simultaneously across every system currently in its construction phase.</w:t>
      </w:r>
    </w:p>
    <w:bookmarkEnd w:id="30"/>
    <w:bookmarkStart w:id="31" w:name="the-phd-vhl-fih-counter-regulation"/>
    <w:p>
      <w:pPr>
        <w:pStyle w:val="Heading3"/>
      </w:pPr>
      <w:r>
        <w:t xml:space="preserve">5.2 The PHD-VHL-FIH Counter-Regulation</w:t>
      </w:r>
    </w:p>
    <w:p>
      <w:pPr>
        <w:pStyle w:val="FirstParagraph"/>
      </w:pPr>
      <w:r>
        <w:t xml:space="preserve">The 2019 Nobel Prize in Physiology or Medicine (Kaelin, Ratcliffe, Semenza) was awarded for discovering the HIF oxygen-sensing pathway. Under normoxia, prolyl hydroxylase domain (PHD) enzymes hydroxylate HIF-1α, enabling VHL recognition and proteasomal degradation (half-life &lt; 5 minutes). Under hypoxia, PHDs cannot function, HIF-1α stabilises, and activates hundreds of downstream genes.</w:t>
      </w:r>
    </w:p>
    <w:p>
      <w:pPr>
        <w:pStyle w:val="BodyText"/>
      </w:pPr>
      <w:r>
        <w:t xml:space="preserve">Critically, PHD enzymes require not only molecular oxygen but also iron (Fe²⁺), ascorbate (vitamin C), and 2-oxoglutarate as cofactors. Deficiency of ANY of these produces</w:t>
      </w:r>
      <w:r>
        <w:t xml:space="preserve"> </w:t>
      </w:r>
      <w:r>
        <w:t xml:space="preserve">“pseudohypoxia”</w:t>
      </w:r>
      <w:r>
        <w:t xml:space="preserve"> </w:t>
      </w:r>
      <w:r>
        <w:t xml:space="preserve">— HIF stabilisation and developmental programme disruption even with normal oxygen levels. This means iron-deficient mothers (40–60% of pregnancies globally) may produce fetal developmental injury indistinguishable from oxygen deprivation at the molecular level.</w:t>
      </w:r>
    </w:p>
    <w:bookmarkEnd w:id="31"/>
    <w:bookmarkStart w:id="32" w:name="the-oscillation-amplifier"/>
    <w:p>
      <w:pPr>
        <w:pStyle w:val="Heading3"/>
      </w:pPr>
      <w:r>
        <w:t xml:space="preserve">5.3 The Oscillation Amplifier</w:t>
      </w:r>
    </w:p>
    <w:p>
      <w:pPr>
        <w:pStyle w:val="FirstParagraph"/>
      </w:pPr>
      <w:r>
        <w:t xml:space="preserve">The oscillation problem identified in white matter (reoxygenation injury worse than sustained hypoxia — Ramond et al., 2013) applies universally through HIF:</w:t>
      </w:r>
    </w:p>
    <w:p>
      <w:pPr>
        <w:pStyle w:val="Compact"/>
        <w:numPr>
          <w:ilvl w:val="0"/>
          <w:numId w:val="1002"/>
        </w:numPr>
      </w:pPr>
      <w:r>
        <w:t xml:space="preserve">Hypoxic dip → HIF-1α stabilises → activates hypoxic response genes → arrests maturation</w:t>
      </w:r>
    </w:p>
    <w:p>
      <w:pPr>
        <w:pStyle w:val="Compact"/>
        <w:numPr>
          <w:ilvl w:val="0"/>
          <w:numId w:val="1002"/>
        </w:numPr>
      </w:pPr>
      <w:r>
        <w:t xml:space="preserve">Reoxygenation → HIF-1α degrades → generates ROS → oxidative damage</w:t>
      </w:r>
    </w:p>
    <w:p>
      <w:pPr>
        <w:pStyle w:val="Compact"/>
        <w:numPr>
          <w:ilvl w:val="0"/>
          <w:numId w:val="1002"/>
        </w:numPr>
      </w:pPr>
      <w:r>
        <w:t xml:space="preserve">Next dip → HIF-1α restabilises → maturation arrest deepens</w:t>
      </w:r>
    </w:p>
    <w:p>
      <w:pPr>
        <w:pStyle w:val="Compact"/>
        <w:numPr>
          <w:ilvl w:val="0"/>
          <w:numId w:val="1002"/>
        </w:numPr>
      </w:pPr>
      <w:r>
        <w:t xml:space="preserve">Next reoxygenation → more ROS → cumulative oxidative burden</w:t>
      </w:r>
    </w:p>
    <w:p>
      <w:pPr>
        <w:pStyle w:val="FirstParagraph"/>
      </w:pPr>
      <w:r>
        <w:t xml:space="preserve">Each cycle hits developing cells from both directions. Preeclampsia produces exactly this pattern: episodic vasospasm → episodic placental insufficiency → episodic fetal hypoxia → episodic reoxygenation → cumulative multi-organ HIF oscillation damage.</w:t>
      </w:r>
    </w:p>
    <w:p>
      <w:r>
        <w:pict>
          <v:rect style="width:0;height:1.5pt" o:hralign="center" o:hrstd="t" o:hr="t"/>
        </w:pict>
      </w:r>
    </w:p>
    <w:bookmarkEnd w:id="32"/>
    <w:bookmarkEnd w:id="33"/>
    <w:bookmarkStart w:id="36" w:name="the-2336-week-super-window"/>
    <w:p>
      <w:pPr>
        <w:pStyle w:val="Heading2"/>
      </w:pPr>
      <w:r>
        <w:t xml:space="preserve">6. The 23–36 Week Super-Window</w:t>
      </w:r>
    </w:p>
    <w:bookmarkStart w:id="34" w:name="maximum-simultaneous-vulnerability"/>
    <w:p>
      <w:pPr>
        <w:pStyle w:val="Heading3"/>
      </w:pPr>
      <w:r>
        <w:t xml:space="preserve">6.1 Maximum Simultaneous Vulnerability</w:t>
      </w:r>
    </w:p>
    <w:p>
      <w:pPr>
        <w:pStyle w:val="FirstParagraph"/>
      </w:pPr>
      <w:r>
        <w:t xml:space="preserve">Mapping the vulnerability windows of all ten organ systems onto the gestational timeline reveals a critical convergence: between 23 and 36 weeks GA, nine or more organ systems are simultaneously in their vulnerability windows.</w:t>
      </w:r>
    </w:p>
    <w:p>
      <w:pPr>
        <w:pStyle w:val="BodyText"/>
      </w:pPr>
      <w:r>
        <w:rPr>
          <w:b/>
          <w:bCs/>
        </w:rPr>
        <w:t xml:space="preserve">Systems vulnerable at 28 weeks GA (illustrative):</w:t>
      </w:r>
      <w:r>
        <w:t xml:space="preserve"> </w:t>
      </w:r>
      <w:r>
        <w:t xml:space="preserve">- White matter (preOLs: 23–32 weeks) — peak vulnerability</w:t>
      </w:r>
      <w:r>
        <w:t xml:space="preserve"> </w:t>
      </w:r>
      <w:r>
        <w:t xml:space="preserve">- Renal (nephron progenitors: 20–36 weeks) — active nephrogenesis</w:t>
      </w:r>
      <w:r>
        <w:t xml:space="preserve"> </w:t>
      </w:r>
      <w:r>
        <w:t xml:space="preserve">- Cardiac (coronary vascular: 20–36 weeks) — vascular programming</w:t>
      </w:r>
      <w:r>
        <w:t xml:space="preserve"> </w:t>
      </w:r>
      <w:r>
        <w:t xml:space="preserve">- Hippocampal (CA1 maturation: 22–36 weeks) — synaptogenesis</w:t>
      </w:r>
      <w:r>
        <w:t xml:space="preserve"> </w:t>
      </w:r>
      <w:r>
        <w:t xml:space="preserve">- Cerebellar (Purkinje cells: 24–36 weeks) — dendritic arborisation</w:t>
      </w:r>
      <w:r>
        <w:t xml:space="preserve"> </w:t>
      </w:r>
      <w:r>
        <w:t xml:space="preserve">- Immune (thymic: 12–36 weeks) — T-cell repertoire shaping</w:t>
      </w:r>
      <w:r>
        <w:t xml:space="preserve"> </w:t>
      </w:r>
      <w:r>
        <w:t xml:space="preserve">- Pancreatic (β-cells: 20–38 weeks) — mass expansion</w:t>
      </w:r>
      <w:r>
        <w:t xml:space="preserve"> </w:t>
      </w:r>
      <w:r>
        <w:t xml:space="preserve">- Pulmonary (saccular: 24–36 weeks) — gas exchange surfaces</w:t>
      </w:r>
      <w:r>
        <w:t xml:space="preserve"> </w:t>
      </w:r>
      <w:r>
        <w:t xml:space="preserve">- Cortical (subplate: 23–32 weeks) — scaffolding function</w:t>
      </w:r>
      <w:r>
        <w:t xml:space="preserve"> </w:t>
      </w:r>
      <w:r>
        <w:t xml:space="preserve">- Retinal (vascular: 14–32 weeks) — retinal vascularisation</w:t>
      </w:r>
    </w:p>
    <w:p>
      <w:pPr>
        <w:pStyle w:val="BodyText"/>
      </w:pPr>
      <w:r>
        <w:t xml:space="preserve">A single oxygen deprivation event at week 28 hits all ten systems simultaneously. Each absorbs its injury silently. Each waits for its own demand spike. Each failure is diagnosed independently: speech delay at age 3, motor issues at age 5, learning difficulty at age 7, anxiety at age 12, hypertension at age 35, metabolic syndrome at age 45.</w:t>
      </w:r>
    </w:p>
    <w:bookmarkEnd w:id="34"/>
    <w:bookmarkStart w:id="35" w:name="the-staggered-unmasking"/>
    <w:p>
      <w:pPr>
        <w:pStyle w:val="Heading3"/>
      </w:pPr>
      <w:r>
        <w:t xml:space="preserve">6.2 The Staggered Unmasking</w:t>
      </w:r>
    </w:p>
    <w:p>
      <w:pPr>
        <w:pStyle w:val="FirstParagraph"/>
      </w:pPr>
      <w:r>
        <w:t xml:space="preserve">The injuries are simultaneous; the clinical presentations are sequential. Each system hits its demand spike at a different age:</w:t>
      </w:r>
    </w:p>
    <w:tbl>
      <w:tblPr>
        <w:tblStyle w:val="Table"/>
        <w:tblW w:type="pct" w:w="5000"/>
        <w:tblLayout w:type="fixed"/>
        <w:tblLook w:firstRow="1" w:lastRow="0" w:firstColumn="0" w:lastColumn="0" w:noHBand="0" w:noVBand="0" w:val="0020"/>
      </w:tblPr>
      <w:tblGrid>
        <w:gridCol w:w="825"/>
        <w:gridCol w:w="1320"/>
        <w:gridCol w:w="2145"/>
        <w:gridCol w:w="3630"/>
      </w:tblGrid>
      <w:tr>
        <w:trPr>
          <w:tblHeader w:val="on"/>
        </w:trPr>
        <w:tc>
          <w:tcPr/>
          <w:p>
            <w:pPr>
              <w:pStyle w:val="Compact"/>
            </w:pPr>
            <w:r>
              <w:t xml:space="preserve">Age</w:t>
            </w:r>
          </w:p>
        </w:tc>
        <w:tc>
          <w:tcPr/>
          <w:p>
            <w:pPr>
              <w:pStyle w:val="Compact"/>
            </w:pPr>
            <w:r>
              <w:t xml:space="preserve">System</w:t>
            </w:r>
          </w:p>
        </w:tc>
        <w:tc>
          <w:tcPr/>
          <w:p>
            <w:pPr>
              <w:pStyle w:val="Compact"/>
            </w:pPr>
            <w:r>
              <w:t xml:space="preserve">Demand Spike</w:t>
            </w:r>
          </w:p>
        </w:tc>
        <w:tc>
          <w:tcPr/>
          <w:p>
            <w:pPr>
              <w:pStyle w:val="Compact"/>
            </w:pPr>
            <w:r>
              <w:t xml:space="preserve">Clinical Presentation</w:t>
            </w:r>
          </w:p>
        </w:tc>
      </w:tr>
      <w:tr>
        <w:tc>
          <w:tcPr/>
          <w:p>
            <w:pPr>
              <w:pStyle w:val="Compact"/>
            </w:pPr>
            <w:r>
              <w:t xml:space="preserve">Birth</w:t>
            </w:r>
          </w:p>
        </w:tc>
        <w:tc>
          <w:tcPr/>
          <w:p>
            <w:pPr>
              <w:pStyle w:val="Compact"/>
            </w:pPr>
            <w:r>
              <w:t xml:space="preserve">Pulmonary</w:t>
            </w:r>
          </w:p>
        </w:tc>
        <w:tc>
          <w:tcPr/>
          <w:p>
            <w:pPr>
              <w:pStyle w:val="Compact"/>
            </w:pPr>
            <w:r>
              <w:t xml:space="preserve">Surfactant demand</w:t>
            </w:r>
          </w:p>
        </w:tc>
        <w:tc>
          <w:tcPr/>
          <w:p>
            <w:pPr>
              <w:pStyle w:val="Compact"/>
            </w:pPr>
            <w:r>
              <w:t xml:space="preserve">Respiratory distress</w:t>
            </w:r>
          </w:p>
        </w:tc>
      </w:tr>
      <w:tr>
        <w:tc>
          <w:tcPr/>
          <w:p>
            <w:pPr>
              <w:pStyle w:val="Compact"/>
            </w:pPr>
            <w:r>
              <w:t xml:space="preserve">6 months</w:t>
            </w:r>
          </w:p>
        </w:tc>
        <w:tc>
          <w:tcPr/>
          <w:p>
            <w:pPr>
              <w:pStyle w:val="Compact"/>
            </w:pPr>
            <w:r>
              <w:t xml:space="preserve">Immune</w:t>
            </w:r>
          </w:p>
        </w:tc>
        <w:tc>
          <w:tcPr/>
          <w:p>
            <w:pPr>
              <w:pStyle w:val="Compact"/>
            </w:pPr>
            <w:r>
              <w:t xml:space="preserve">First pathogen exposure</w:t>
            </w:r>
          </w:p>
        </w:tc>
        <w:tc>
          <w:tcPr/>
          <w:p>
            <w:pPr>
              <w:pStyle w:val="Compact"/>
            </w:pPr>
            <w:r>
              <w:t xml:space="preserve">Infection susceptibility</w:t>
            </w:r>
          </w:p>
        </w:tc>
      </w:tr>
      <w:tr>
        <w:tc>
          <w:tcPr/>
          <w:p>
            <w:pPr>
              <w:pStyle w:val="Compact"/>
            </w:pPr>
            <w:r>
              <w:t xml:space="preserve">6–18 months</w:t>
            </w:r>
          </w:p>
        </w:tc>
        <w:tc>
          <w:tcPr/>
          <w:p>
            <w:pPr>
              <w:pStyle w:val="Compact"/>
            </w:pPr>
            <w:r>
              <w:t xml:space="preserve">Cerebellar</w:t>
            </w:r>
          </w:p>
        </w:tc>
        <w:tc>
          <w:tcPr/>
          <w:p>
            <w:pPr>
              <w:pStyle w:val="Compact"/>
            </w:pPr>
            <w:r>
              <w:t xml:space="preserve">Motor milestones</w:t>
            </w:r>
          </w:p>
        </w:tc>
        <w:tc>
          <w:tcPr/>
          <w:p>
            <w:pPr>
              <w:pStyle w:val="Compact"/>
            </w:pPr>
            <w:r>
              <w:t xml:space="preserve">Motor delay</w:t>
            </w:r>
          </w:p>
        </w:tc>
      </w:tr>
      <w:tr>
        <w:tc>
          <w:tcPr/>
          <w:p>
            <w:pPr>
              <w:pStyle w:val="Compact"/>
            </w:pPr>
            <w:r>
              <w:t xml:space="preserve">18–36 months</w:t>
            </w:r>
          </w:p>
        </w:tc>
        <w:tc>
          <w:tcPr/>
          <w:p>
            <w:pPr>
              <w:pStyle w:val="Compact"/>
            </w:pPr>
            <w:r>
              <w:t xml:space="preserve">White matter</w:t>
            </w:r>
          </w:p>
        </w:tc>
        <w:tc>
          <w:tcPr/>
          <w:p>
            <w:pPr>
              <w:pStyle w:val="Compact"/>
            </w:pPr>
            <w:r>
              <w:t xml:space="preserve">Language emergence</w:t>
            </w:r>
          </w:p>
        </w:tc>
        <w:tc>
          <w:tcPr/>
          <w:p>
            <w:pPr>
              <w:pStyle w:val="Compact"/>
            </w:pPr>
            <w:r>
              <w:t xml:space="preserve">Speech delay</w:t>
            </w:r>
          </w:p>
        </w:tc>
      </w:tr>
      <w:tr>
        <w:tc>
          <w:tcPr/>
          <w:p>
            <w:pPr>
              <w:pStyle w:val="Compact"/>
            </w:pPr>
            <w:r>
              <w:t xml:space="preserve">2–5 years</w:t>
            </w:r>
          </w:p>
        </w:tc>
        <w:tc>
          <w:tcPr/>
          <w:p>
            <w:pPr>
              <w:pStyle w:val="Compact"/>
            </w:pPr>
            <w:r>
              <w:t xml:space="preserve">Cortical</w:t>
            </w:r>
          </w:p>
        </w:tc>
        <w:tc>
          <w:tcPr/>
          <w:p>
            <w:pPr>
              <w:pStyle w:val="Compact"/>
            </w:pPr>
            <w:r>
              <w:t xml:space="preserve">Social cognition</w:t>
            </w:r>
          </w:p>
        </w:tc>
        <w:tc>
          <w:tcPr/>
          <w:p>
            <w:pPr>
              <w:pStyle w:val="Compact"/>
            </w:pPr>
            <w:r>
              <w:t xml:space="preserve">Interaction difficulties</w:t>
            </w:r>
          </w:p>
        </w:tc>
      </w:tr>
      <w:tr>
        <w:tc>
          <w:tcPr/>
          <w:p>
            <w:pPr>
              <w:pStyle w:val="Compact"/>
            </w:pPr>
            <w:r>
              <w:t xml:space="preserve">5–6 years</w:t>
            </w:r>
          </w:p>
        </w:tc>
        <w:tc>
          <w:tcPr/>
          <w:p>
            <w:pPr>
              <w:pStyle w:val="Compact"/>
            </w:pPr>
            <w:r>
              <w:t xml:space="preserve">Hippocampal</w:t>
            </w:r>
          </w:p>
        </w:tc>
        <w:tc>
          <w:tcPr/>
          <w:p>
            <w:pPr>
              <w:pStyle w:val="Compact"/>
            </w:pPr>
            <w:r>
              <w:t xml:space="preserve">School entry</w:t>
            </w:r>
          </w:p>
        </w:tc>
        <w:tc>
          <w:tcPr/>
          <w:p>
            <w:pPr>
              <w:pStyle w:val="Compact"/>
            </w:pPr>
            <w:r>
              <w:t xml:space="preserve">Learning/memory deficits</w:t>
            </w:r>
          </w:p>
        </w:tc>
      </w:tr>
      <w:tr>
        <w:tc>
          <w:tcPr/>
          <w:p>
            <w:pPr>
              <w:pStyle w:val="Compact"/>
            </w:pPr>
            <w:r>
              <w:t xml:space="preserve">Adolescence</w:t>
            </w:r>
          </w:p>
        </w:tc>
        <w:tc>
          <w:tcPr/>
          <w:p>
            <w:pPr>
              <w:pStyle w:val="Compact"/>
            </w:pPr>
            <w:r>
              <w:t xml:space="preserve">Hippocampal/cortical</w:t>
            </w:r>
          </w:p>
        </w:tc>
        <w:tc>
          <w:tcPr/>
          <w:p>
            <w:pPr>
              <w:pStyle w:val="Compact"/>
            </w:pPr>
            <w:r>
              <w:t xml:space="preserve">Executive function, stress</w:t>
            </w:r>
          </w:p>
        </w:tc>
        <w:tc>
          <w:tcPr/>
          <w:p>
            <w:pPr>
              <w:pStyle w:val="Compact"/>
            </w:pPr>
            <w:r>
              <w:t xml:space="preserve">Anxiety, depression, PTSD risk</w:t>
            </w:r>
          </w:p>
        </w:tc>
      </w:tr>
      <w:tr>
        <w:tc>
          <w:tcPr/>
          <w:p>
            <w:pPr>
              <w:pStyle w:val="Compact"/>
            </w:pPr>
            <w:r>
              <w:t xml:space="preserve">20s–40s</w:t>
            </w:r>
          </w:p>
        </w:tc>
        <w:tc>
          <w:tcPr/>
          <w:p>
            <w:pPr>
              <w:pStyle w:val="Compact"/>
            </w:pPr>
            <w:r>
              <w:t xml:space="preserve">Pancreatic</w:t>
            </w:r>
          </w:p>
        </w:tc>
        <w:tc>
          <w:tcPr/>
          <w:p>
            <w:pPr>
              <w:pStyle w:val="Compact"/>
            </w:pPr>
            <w:r>
              <w:t xml:space="preserve">Metabolic load</w:t>
            </w:r>
          </w:p>
        </w:tc>
        <w:tc>
          <w:tcPr/>
          <w:p>
            <w:pPr>
              <w:pStyle w:val="Compact"/>
            </w:pPr>
            <w:r>
              <w:t xml:space="preserve">Lean T2DM, metabolic syndrome</w:t>
            </w:r>
          </w:p>
        </w:tc>
      </w:tr>
      <w:tr>
        <w:tc>
          <w:tcPr/>
          <w:p>
            <w:pPr>
              <w:pStyle w:val="Compact"/>
            </w:pPr>
            <w:r>
              <w:t xml:space="preserve">35–50</w:t>
            </w:r>
          </w:p>
        </w:tc>
        <w:tc>
          <w:tcPr/>
          <w:p>
            <w:pPr>
              <w:pStyle w:val="Compact"/>
            </w:pPr>
            <w:r>
              <w:t xml:space="preserve">Cardiac</w:t>
            </w:r>
          </w:p>
        </w:tc>
        <w:tc>
          <w:tcPr/>
          <w:p>
            <w:pPr>
              <w:pStyle w:val="Compact"/>
            </w:pPr>
            <w:r>
              <w:t xml:space="preserve">Exercise + ageing</w:t>
            </w:r>
          </w:p>
        </w:tc>
        <w:tc>
          <w:tcPr/>
          <w:p>
            <w:pPr>
              <w:pStyle w:val="Compact"/>
            </w:pPr>
            <w:r>
              <w:t xml:space="preserve">Early-onset CVD</w:t>
            </w:r>
          </w:p>
        </w:tc>
      </w:tr>
      <w:tr>
        <w:tc>
          <w:tcPr/>
          <w:p>
            <w:pPr>
              <w:pStyle w:val="Compact"/>
            </w:pPr>
            <w:r>
              <w:t xml:space="preserve">35–50</w:t>
            </w:r>
          </w:p>
        </w:tc>
        <w:tc>
          <w:tcPr/>
          <w:p>
            <w:pPr>
              <w:pStyle w:val="Compact"/>
            </w:pPr>
            <w:r>
              <w:t xml:space="preserve">Renal</w:t>
            </w:r>
          </w:p>
        </w:tc>
        <w:tc>
          <w:tcPr/>
          <w:p>
            <w:pPr>
              <w:pStyle w:val="Compact"/>
            </w:pPr>
            <w:r>
              <w:t xml:space="preserve">Renal demand</w:t>
            </w:r>
          </w:p>
        </w:tc>
        <w:tc>
          <w:tcPr/>
          <w:p>
            <w:pPr>
              <w:pStyle w:val="Compact"/>
            </w:pPr>
            <w:r>
              <w:t xml:space="preserve">Essential hypertension</w:t>
            </w:r>
          </w:p>
        </w:tc>
      </w:tr>
      <w:tr>
        <w:tc>
          <w:tcPr/>
          <w:p>
            <w:pPr>
              <w:pStyle w:val="Compact"/>
            </w:pPr>
            <w:r>
              <w:t xml:space="preserve">40–60</w:t>
            </w:r>
          </w:p>
        </w:tc>
        <w:tc>
          <w:tcPr/>
          <w:p>
            <w:pPr>
              <w:pStyle w:val="Compact"/>
            </w:pPr>
            <w:r>
              <w:t xml:space="preserve">Hepatic</w:t>
            </w:r>
          </w:p>
        </w:tc>
        <w:tc>
          <w:tcPr/>
          <w:p>
            <w:pPr>
              <w:pStyle w:val="Compact"/>
            </w:pPr>
            <w:r>
              <w:t xml:space="preserve">Metabolic load</w:t>
            </w:r>
          </w:p>
        </w:tc>
        <w:tc>
          <w:tcPr/>
          <w:p>
            <w:pPr>
              <w:pStyle w:val="Compact"/>
            </w:pPr>
            <w:r>
              <w:t xml:space="preserve">NAFLD</w:t>
            </w:r>
          </w:p>
        </w:tc>
      </w:tr>
      <w:tr>
        <w:tc>
          <w:tcPr/>
          <w:p>
            <w:pPr>
              <w:pStyle w:val="Compact"/>
            </w:pPr>
            <w:r>
              <w:t xml:space="preserve">50+</w:t>
            </w:r>
          </w:p>
        </w:tc>
        <w:tc>
          <w:tcPr/>
          <w:p>
            <w:pPr>
              <w:pStyle w:val="Compact"/>
            </w:pPr>
            <w:r>
              <w:t xml:space="preserve">Pulmonary</w:t>
            </w:r>
          </w:p>
        </w:tc>
        <w:tc>
          <w:tcPr/>
          <w:p>
            <w:pPr>
              <w:pStyle w:val="Compact"/>
            </w:pPr>
            <w:r>
              <w:t xml:space="preserve">Ageing decline</w:t>
            </w:r>
          </w:p>
        </w:tc>
        <w:tc>
          <w:tcPr/>
          <w:p>
            <w:pPr>
              <w:pStyle w:val="Compact"/>
            </w:pPr>
            <w:r>
              <w:t xml:space="preserve">Reduced lung function, COPD</w:t>
            </w:r>
          </w:p>
        </w:tc>
      </w:tr>
    </w:tbl>
    <w:p>
      <w:pPr>
        <w:pStyle w:val="BodyText"/>
      </w:pPr>
      <w:r>
        <w:t xml:space="preserve">No clinician connects them because they look like separate diseases emerging at separate times from separate causes. The person with essential hypertension at 42, lean T2DM at 48, and depression at 35 may have had one gestational event at week 28 that hit three open vulnerability windows simultaneously. Three specialists. Three diagnoses. Three medications. One cause.</w:t>
      </w:r>
    </w:p>
    <w:p>
      <w:r>
        <w:pict>
          <v:rect style="width:0;height:1.5pt" o:hralign="center" o:hrstd="t" o:hr="t"/>
        </w:pict>
      </w:r>
    </w:p>
    <w:bookmarkEnd w:id="35"/>
    <w:bookmarkEnd w:id="36"/>
    <w:bookmarkStart w:id="40" w:name="X6621c3dc2a3082fc71f0092943b0bcbdaca3e0c"/>
    <w:p>
      <w:pPr>
        <w:pStyle w:val="Heading2"/>
      </w:pPr>
      <w:r>
        <w:t xml:space="preserve">7. Preeclampsia as the Multi-Organ Programming Event</w:t>
      </w:r>
    </w:p>
    <w:bookmarkStart w:id="37" w:name="the-paradigmatic-insult"/>
    <w:p>
      <w:pPr>
        <w:pStyle w:val="Heading3"/>
      </w:pPr>
      <w:r>
        <w:t xml:space="preserve">7.1 The Paradigmatic Insult</w:t>
      </w:r>
    </w:p>
    <w:p>
      <w:pPr>
        <w:pStyle w:val="FirstParagraph"/>
      </w:pPr>
      <w:r>
        <w:t xml:space="preserve">Preeclampsia occupies a unique position in this framework because it produces chronic, episodic fetal hypoxia via placental insufficiency during precisely the 23–36 week super-window. It is not a single acute event but a sustained and worsening condition. It produces both sustained and oscillating hypoxia — the worst combination for HIF-mediated injury. It is common (3–8% of pregnancies globally), providing population-level significance. And it affects every organ system via the placenta — the single supply line.</w:t>
      </w:r>
    </w:p>
    <w:p>
      <w:pPr>
        <w:pStyle w:val="BodyText"/>
      </w:pPr>
      <w:r>
        <w:t xml:space="preserve">The literature already confirms elevated rates in preeclampsia offspring of cardiovascular disease (Giussani &amp; Davidge, 2013), hypertension (Zhang, 2005), metabolic syndrome/T2DM (Hales &amp; Barker, 1992), neurodevelopmental disorders, renal disease (Luyckx &amp; Brenner, 2005), and immune dysfunction (Contreras et al., 2011). These are currently treated as separate research domains. The alignment model says they are one pathophysiology expressed across multiple systems — and the specific combination in a given individual depends on when, how deeply, and how frequently the oxygen dropped.</w:t>
      </w:r>
    </w:p>
    <w:bookmarkEnd w:id="37"/>
    <w:bookmarkStart w:id="38" w:name="the-onset-timing-prediction"/>
    <w:p>
      <w:pPr>
        <w:pStyle w:val="Heading3"/>
      </w:pPr>
      <w:r>
        <w:t xml:space="preserve">7.2 The Onset Timing Prediction</w:t>
      </w:r>
    </w:p>
    <w:p>
      <w:pPr>
        <w:pStyle w:val="FirstParagraph"/>
      </w:pPr>
      <w:r>
        <w:t xml:space="preserve">The alignment model makes a specific prediction that the field has barely tested: the gestational timing of PE onset should determine which organ systems are affected. A systematic review of 27 PubMed searches and 18 key studies reveals that the field almost universally treats preeclampsia as a unitary exposure — studies compare</w:t>
      </w:r>
      <w:r>
        <w:t xml:space="preserve"> </w:t>
      </w:r>
      <w:r>
        <w:t xml:space="preserve">“PE vs no PE”</w:t>
      </w:r>
      <w:r>
        <w:t xml:space="preserve"> </w:t>
      </w:r>
      <w:r>
        <w:t xml:space="preserve">rather than</w:t>
      </w:r>
      <w:r>
        <w:t xml:space="preserve"> </w:t>
      </w:r>
      <w:r>
        <w:t xml:space="preserve">“PE at week 26 vs PE at week 34.”</w:t>
      </w:r>
    </w:p>
    <w:p>
      <w:pPr>
        <w:pStyle w:val="BodyText"/>
      </w:pPr>
      <w:r>
        <w:t xml:space="preserve">When early-onset PE (EOPE, &lt;34 weeks) versus late-onset PE (LOPE, ≥34 weeks) IS compared, different patterns emerge:</w:t>
      </w:r>
    </w:p>
    <w:p>
      <w:pPr>
        <w:pStyle w:val="Compact"/>
        <w:numPr>
          <w:ilvl w:val="0"/>
          <w:numId w:val="1003"/>
        </w:numPr>
      </w:pPr>
      <w:r>
        <w:rPr>
          <w:b/>
          <w:bCs/>
        </w:rPr>
        <w:t xml:space="preserve">Herzog et al. (2017):</w:t>
      </w:r>
      <w:r>
        <w:t xml:space="preserve"> </w:t>
      </w:r>
      <w:r>
        <w:t xml:space="preserve">Tissue-specific DNA methylation differences between EOPE and LOPE placentas — demonstrating different molecular signatures by timing</w:t>
      </w:r>
    </w:p>
    <w:p>
      <w:pPr>
        <w:pStyle w:val="Compact"/>
        <w:numPr>
          <w:ilvl w:val="0"/>
          <w:numId w:val="1003"/>
        </w:numPr>
      </w:pPr>
      <w:r>
        <w:rPr>
          <w:b/>
          <w:bCs/>
        </w:rPr>
        <w:t xml:space="preserve">Stadler et al. (2023):</w:t>
      </w:r>
      <w:r>
        <w:t xml:space="preserve"> </w:t>
      </w:r>
      <w:r>
        <w:t xml:space="preserve">EOPE → elevated total cholesterol; LOPE → impaired HDL function — different metabolic programming by onset timing</w:t>
      </w:r>
    </w:p>
    <w:p>
      <w:pPr>
        <w:pStyle w:val="Compact"/>
        <w:numPr>
          <w:ilvl w:val="0"/>
          <w:numId w:val="1003"/>
        </w:numPr>
      </w:pPr>
      <w:r>
        <w:rPr>
          <w:b/>
          <w:bCs/>
        </w:rPr>
        <w:t xml:space="preserve">Davis et al. (2012):</w:t>
      </w:r>
      <w:r>
        <w:t xml:space="preserve"> </w:t>
      </w:r>
      <w:r>
        <w:t xml:space="preserve">EOPE → more severe offspring cardiovascular risk than LOPE — earlier onset = more programming</w:t>
      </w:r>
    </w:p>
    <w:p>
      <w:pPr>
        <w:pStyle w:val="FirstParagraph"/>
      </w:pPr>
      <w:r>
        <w:t xml:space="preserve">These findings support the alignment model’s prediction but represent a small fraction of the testing required. The critical confounder remains: EOPE almost always causes preterm delivery, and separating PE timing from delivery timing is the field’s unresolved methodological challenge.</w:t>
      </w:r>
    </w:p>
    <w:bookmarkEnd w:id="38"/>
    <w:bookmarkStart w:id="39" w:name="the-stacking-effect"/>
    <w:p>
      <w:pPr>
        <w:pStyle w:val="Heading3"/>
      </w:pPr>
      <w:r>
        <w:t xml:space="preserve">7.3 The Stacking Effect</w:t>
      </w:r>
    </w:p>
    <w:p>
      <w:pPr>
        <w:pStyle w:val="FirstParagraph"/>
      </w:pPr>
      <w:r>
        <w:t xml:space="preserve">A single deprivation event during a single vulnerability window produces a single-system latent deficit. But preeclampsia is not a single event — it is a chronic condition with episodic exacerbations across weeks to months:</w:t>
      </w:r>
    </w:p>
    <w:tbl>
      <w:tblPr>
        <w:tblStyle w:val="Table"/>
        <w:tblW w:type="pct" w:w="5000"/>
        <w:tblLayout w:type="fixed"/>
        <w:tblLook w:firstRow="1" w:lastRow="0" w:firstColumn="0" w:lastColumn="0" w:noHBand="0" w:noVBand="0" w:val="0020"/>
      </w:tblPr>
      <w:tblGrid>
        <w:gridCol w:w="880"/>
        <w:gridCol w:w="2011"/>
        <w:gridCol w:w="1760"/>
        <w:gridCol w:w="3268"/>
      </w:tblGrid>
      <w:tr>
        <w:trPr>
          <w:tblHeader w:val="on"/>
        </w:trPr>
        <w:tc>
          <w:tcPr/>
          <w:p>
            <w:pPr>
              <w:pStyle w:val="Compact"/>
            </w:pPr>
            <w:r>
              <w:t xml:space="preserve">Event</w:t>
            </w:r>
          </w:p>
        </w:tc>
        <w:tc>
          <w:tcPr/>
          <w:p>
            <w:pPr>
              <w:pStyle w:val="Compact"/>
            </w:pPr>
            <w:r>
              <w:t xml:space="preserve">Gestational Age</w:t>
            </w:r>
          </w:p>
        </w:tc>
        <w:tc>
          <w:tcPr/>
          <w:p>
            <w:pPr>
              <w:pStyle w:val="Compact"/>
            </w:pPr>
            <w:r>
              <w:t xml:space="preserve">Open Windows</w:t>
            </w:r>
          </w:p>
        </w:tc>
        <w:tc>
          <w:tcPr/>
          <w:p>
            <w:pPr>
              <w:pStyle w:val="Compact"/>
            </w:pPr>
            <w:r>
              <w:t xml:space="preserve">Projected Latent Outcomes</w:t>
            </w:r>
          </w:p>
        </w:tc>
      </w:tr>
      <w:tr>
        <w:tc>
          <w:tcPr/>
          <w:p>
            <w:pPr>
              <w:pStyle w:val="Compact"/>
            </w:pPr>
            <w:r>
              <w:t xml:space="preserve">Vasospasm episode 1</w:t>
            </w:r>
          </w:p>
        </w:tc>
        <w:tc>
          <w:tcPr/>
          <w:p>
            <w:pPr>
              <w:pStyle w:val="Compact"/>
            </w:pPr>
            <w:r>
              <w:t xml:space="preserve">Week 24</w:t>
            </w:r>
          </w:p>
        </w:tc>
        <w:tc>
          <w:tcPr/>
          <w:p>
            <w:pPr>
              <w:pStyle w:val="Compact"/>
            </w:pPr>
            <w:r>
              <w:t xml:space="preserve">Purkinje, ATII, subplate, retinal, preOLs, β-cells</w:t>
            </w:r>
          </w:p>
        </w:tc>
        <w:tc>
          <w:tcPr/>
          <w:p>
            <w:pPr>
              <w:pStyle w:val="Compact"/>
            </w:pPr>
            <w:r>
              <w:t xml:space="preserve">Motor + respiratory + cortical + visual + WM + metabolic</w:t>
            </w:r>
          </w:p>
        </w:tc>
      </w:tr>
      <w:tr>
        <w:tc>
          <w:tcPr/>
          <w:p>
            <w:pPr>
              <w:pStyle w:val="Compact"/>
            </w:pPr>
            <w:r>
              <w:t xml:space="preserve">Worsening</w:t>
            </w:r>
          </w:p>
        </w:tc>
        <w:tc>
          <w:tcPr/>
          <w:p>
            <w:pPr>
              <w:pStyle w:val="Compact"/>
            </w:pPr>
            <w:r>
              <w:t xml:space="preserve">Week 28</w:t>
            </w:r>
          </w:p>
        </w:tc>
        <w:tc>
          <w:tcPr/>
          <w:p>
            <w:pPr>
              <w:pStyle w:val="Compact"/>
            </w:pPr>
            <w:r>
              <w:t xml:space="preserve">All above + nephron progenitors + hepatic</w:t>
            </w:r>
          </w:p>
        </w:tc>
        <w:tc>
          <w:tcPr/>
          <w:p>
            <w:pPr>
              <w:pStyle w:val="Compact"/>
            </w:pPr>
            <w:r>
              <w:t xml:space="preserve">+ Renal + hepatic</w:t>
            </w:r>
          </w:p>
        </w:tc>
      </w:tr>
      <w:tr>
        <w:tc>
          <w:tcPr/>
          <w:p>
            <w:pPr>
              <w:pStyle w:val="Compact"/>
            </w:pPr>
            <w:r>
              <w:t xml:space="preserve">Acute crisis</w:t>
            </w:r>
          </w:p>
        </w:tc>
        <w:tc>
          <w:tcPr/>
          <w:p>
            <w:pPr>
              <w:pStyle w:val="Compact"/>
            </w:pPr>
            <w:r>
              <w:t xml:space="preserve">Week 32</w:t>
            </w:r>
          </w:p>
        </w:tc>
        <w:tc>
          <w:tcPr/>
          <w:p>
            <w:pPr>
              <w:pStyle w:val="Compact"/>
            </w:pPr>
            <w:r>
              <w:t xml:space="preserve">PreOL peak, CA1, Purkinje, thymocytes, β-cells</w:t>
            </w:r>
          </w:p>
        </w:tc>
        <w:tc>
          <w:tcPr/>
          <w:p>
            <w:pPr>
              <w:pStyle w:val="Compact"/>
            </w:pPr>
            <w:r>
              <w:t xml:space="preserve">WM + memory + motor + immune + metabolic</w:t>
            </w:r>
          </w:p>
        </w:tc>
      </w:tr>
      <w:tr>
        <w:tc>
          <w:tcPr/>
          <w:p>
            <w:pPr>
              <w:pStyle w:val="Compact"/>
            </w:pPr>
            <w:r>
              <w:t xml:space="preserve">Emergency delivery</w:t>
            </w:r>
          </w:p>
        </w:tc>
        <w:tc>
          <w:tcPr/>
          <w:p>
            <w:pPr>
              <w:pStyle w:val="Compact"/>
            </w:pPr>
            <w:r>
              <w:t xml:space="preserve">Week 34</w:t>
            </w:r>
          </w:p>
        </w:tc>
        <w:tc>
          <w:tcPr/>
          <w:p>
            <w:pPr>
              <w:pStyle w:val="Compact"/>
            </w:pPr>
            <w:r>
              <w:t xml:space="preserve">Nephrogenesis still open, ongoing myelination</w:t>
            </w:r>
          </w:p>
        </w:tc>
        <w:tc>
          <w:tcPr/>
          <w:p>
            <w:pPr>
              <w:pStyle w:val="Compact"/>
            </w:pPr>
            <w:r>
              <w:t xml:space="preserve">Renal + WM + motor</w:t>
            </w:r>
          </w:p>
        </w:tc>
      </w:tr>
    </w:tbl>
    <w:p>
      <w:pPr>
        <w:pStyle w:val="BodyText"/>
      </w:pPr>
      <w:r>
        <w:t xml:space="preserve">Each event on its own may be subclinical. Combined, they accumulate across systems. What looks like a growing list of independent diagnoses is in reality a single gestational event playing out across a lifetime.</w:t>
      </w:r>
    </w:p>
    <w:p>
      <w:r>
        <w:pict>
          <v:rect style="width:0;height:1.5pt" o:hralign="center" o:hrstd="t" o:hr="t"/>
        </w:pict>
      </w:r>
    </w:p>
    <w:bookmarkEnd w:id="39"/>
    <w:bookmarkEnd w:id="40"/>
    <w:bookmarkStart w:id="41" w:name="X25ddc6affe0b0b1ed4446ea584378ba1540ee6a"/>
    <w:p>
      <w:pPr>
        <w:pStyle w:val="Heading2"/>
      </w:pPr>
      <w:r>
        <w:t xml:space="preserve">8. The</w:t>
      </w:r>
      <w:r>
        <w:t xml:space="preserve"> </w:t>
      </w:r>
      <w:r>
        <w:t xml:space="preserve">“Idiopathic”</w:t>
      </w:r>
      <w:r>
        <w:t xml:space="preserve"> </w:t>
      </w:r>
      <w:r>
        <w:t xml:space="preserve">Conditions: Evidence Assessment</w:t>
      </w:r>
    </w:p>
    <w:p>
      <w:pPr>
        <w:pStyle w:val="FirstParagraph"/>
      </w:pPr>
      <w:r>
        <w:t xml:space="preserve">Systematic cross-referencing of conditions currently classified as</w:t>
      </w:r>
      <w:r>
        <w:t xml:space="preserve"> </w:t>
      </w:r>
      <w:r>
        <w:t xml:space="preserve">“idiopathic”</w:t>
      </w:r>
      <w:r>
        <w:t xml:space="preserve"> </w:t>
      </w:r>
      <w:r>
        <w:t xml:space="preserve">with the PubMed literature on gestational risk factors reveals that a significant proportion have documented gestational origins:</w:t>
      </w:r>
    </w:p>
    <w:tbl>
      <w:tblPr>
        <w:tblStyle w:val="Table"/>
        <w:tblW w:type="pct" w:w="5000"/>
        <w:tblLayout w:type="fixed"/>
        <w:tblLook w:firstRow="1" w:lastRow="0" w:firstColumn="0" w:lastColumn="0" w:noHBand="0" w:noVBand="0" w:val="0020"/>
      </w:tblPr>
      <w:tblGrid>
        <w:gridCol w:w="2346"/>
        <w:gridCol w:w="1564"/>
        <w:gridCol w:w="3031"/>
        <w:gridCol w:w="977"/>
      </w:tblGrid>
      <w:tr>
        <w:trPr>
          <w:tblHeader w:val="on"/>
        </w:trPr>
        <w:tc>
          <w:tcPr/>
          <w:p>
            <w:pPr>
              <w:pStyle w:val="Compact"/>
            </w:pPr>
            <w:r>
              <w:t xml:space="preserve">“Idiopathic”</w:t>
            </w:r>
            <w:r>
              <w:t xml:space="preserve"> </w:t>
            </w:r>
            <w:r>
              <w:t xml:space="preserve">Condition</w:t>
            </w:r>
          </w:p>
        </w:tc>
        <w:tc>
          <w:tcPr/>
          <w:p>
            <w:pPr>
              <w:pStyle w:val="Compact"/>
            </w:pPr>
            <w:r>
              <w:t xml:space="preserve">% Unknown Cause</w:t>
            </w:r>
          </w:p>
        </w:tc>
        <w:tc>
          <w:tcPr/>
          <w:p>
            <w:pPr>
              <w:pStyle w:val="Compact"/>
            </w:pPr>
            <w:r>
              <w:t xml:space="preserve">Evidence for Gestational Origin</w:t>
            </w:r>
          </w:p>
        </w:tc>
        <w:tc>
          <w:tcPr/>
          <w:p>
            <w:pPr>
              <w:pStyle w:val="Compact"/>
            </w:pPr>
            <w:r>
              <w:t xml:space="preserve">Strength</w:t>
            </w:r>
          </w:p>
        </w:tc>
      </w:tr>
      <w:tr>
        <w:tc>
          <w:tcPr/>
          <w:p>
            <w:pPr>
              <w:pStyle w:val="Compact"/>
            </w:pPr>
            <w:r>
              <w:t xml:space="preserve">Essential hypertension</w:t>
            </w:r>
          </w:p>
        </w:tc>
        <w:tc>
          <w:tcPr/>
          <w:p>
            <w:pPr>
              <w:pStyle w:val="Compact"/>
            </w:pPr>
            <w:r>
              <w:t xml:space="preserve">~90%</w:t>
            </w:r>
          </w:p>
        </w:tc>
        <w:tc>
          <w:tcPr/>
          <w:p>
            <w:pPr>
              <w:pStyle w:val="Compact"/>
            </w:pPr>
            <w:r>
              <w:t xml:space="preserve">LBW → hypertension across 40+ cohorts; nephron programming confirmed</w:t>
            </w:r>
          </w:p>
        </w:tc>
        <w:tc>
          <w:tcPr/>
          <w:p>
            <w:pPr>
              <w:pStyle w:val="Compact"/>
            </w:pPr>
            <w:r>
              <w:t xml:space="preserve">★★★★★</w:t>
            </w:r>
          </w:p>
        </w:tc>
      </w:tr>
      <w:tr>
        <w:tc>
          <w:tcPr/>
          <w:p>
            <w:pPr>
              <w:pStyle w:val="Compact"/>
            </w:pPr>
            <w:r>
              <w:t xml:space="preserve">Lean T2DM</w:t>
            </w:r>
          </w:p>
        </w:tc>
        <w:tc>
          <w:tcPr/>
          <w:p>
            <w:pPr>
              <w:pStyle w:val="Compact"/>
            </w:pPr>
            <w:r>
              <w:t xml:space="preserve">~10–40%</w:t>
            </w:r>
          </w:p>
        </w:tc>
        <w:tc>
          <w:tcPr/>
          <w:p>
            <w:pPr>
              <w:pStyle w:val="Compact"/>
            </w:pPr>
            <w:r>
              <w:t xml:space="preserve">Thrifty phenotype; β-cell programming documented</w:t>
            </w:r>
          </w:p>
        </w:tc>
        <w:tc>
          <w:tcPr/>
          <w:p>
            <w:pPr>
              <w:pStyle w:val="Compact"/>
            </w:pPr>
            <w:r>
              <w:t xml:space="preserve">★★★★★</w:t>
            </w:r>
          </w:p>
        </w:tc>
      </w:tr>
      <w:tr>
        <w:tc>
          <w:tcPr/>
          <w:p>
            <w:pPr>
              <w:pStyle w:val="Compact"/>
            </w:pPr>
            <w:r>
              <w:t xml:space="preserve">Early-onset CVD</w:t>
            </w:r>
          </w:p>
        </w:tc>
        <w:tc>
          <w:tcPr/>
          <w:p>
            <w:pPr>
              <w:pStyle w:val="Compact"/>
            </w:pPr>
            <w:r>
              <w:t xml:space="preserve">~15–20%</w:t>
            </w:r>
          </w:p>
        </w:tc>
        <w:tc>
          <w:tcPr/>
          <w:p>
            <w:pPr>
              <w:pStyle w:val="Compact"/>
            </w:pPr>
            <w:r>
              <w:t xml:space="preserve">Fetal cardiac programming; Barker 18,000-person cohort</w:t>
            </w:r>
          </w:p>
        </w:tc>
        <w:tc>
          <w:tcPr/>
          <w:p>
            <w:pPr>
              <w:pStyle w:val="Compact"/>
            </w:pPr>
            <w:r>
              <w:t xml:space="preserve">★★★★★</w:t>
            </w:r>
          </w:p>
        </w:tc>
      </w:tr>
      <w:tr>
        <w:tc>
          <w:tcPr/>
          <w:p>
            <w:pPr>
              <w:pStyle w:val="Compact"/>
            </w:pPr>
            <w:r>
              <w:t xml:space="preserve">ADHD</w:t>
            </w:r>
          </w:p>
        </w:tc>
        <w:tc>
          <w:tcPr/>
          <w:p>
            <w:pPr>
              <w:pStyle w:val="Compact"/>
            </w:pPr>
            <w:r>
              <w:t xml:space="preserve">Variable</w:t>
            </w:r>
          </w:p>
        </w:tc>
        <w:tc>
          <w:tcPr/>
          <w:p>
            <w:pPr>
              <w:pStyle w:val="Compact"/>
            </w:pPr>
            <w:r>
              <w:t xml:space="preserve">3 meta-analyses confirming perinatal hypoxia association</w:t>
            </w:r>
          </w:p>
        </w:tc>
        <w:tc>
          <w:tcPr/>
          <w:p>
            <w:pPr>
              <w:pStyle w:val="Compact"/>
            </w:pPr>
            <w:r>
              <w:t xml:space="preserve">★★★★★</w:t>
            </w:r>
          </w:p>
        </w:tc>
      </w:tr>
      <w:tr>
        <w:tc>
          <w:tcPr/>
          <w:p>
            <w:pPr>
              <w:pStyle w:val="Compact"/>
            </w:pPr>
            <w:r>
              <w:t xml:space="preserve">Reduced lung function (never-smoker)</w:t>
            </w:r>
          </w:p>
        </w:tc>
        <w:tc>
          <w:tcPr/>
          <w:p>
            <w:pPr>
              <w:pStyle w:val="Compact"/>
            </w:pPr>
            <w:r>
              <w:t xml:space="preserve">~30–40%</w:t>
            </w:r>
          </w:p>
        </w:tc>
        <w:tc>
          <w:tcPr/>
          <w:p>
            <w:pPr>
              <w:pStyle w:val="Compact"/>
            </w:pPr>
            <w:r>
              <w:t xml:space="preserve">BPD/preterm → adult spirometry deficit</w:t>
            </w:r>
          </w:p>
        </w:tc>
        <w:tc>
          <w:tcPr/>
          <w:p>
            <w:pPr>
              <w:pStyle w:val="Compact"/>
            </w:pPr>
            <w:r>
              <w:t xml:space="preserve">★★★★</w:t>
            </w:r>
          </w:p>
        </w:tc>
      </w:tr>
      <w:tr>
        <w:tc>
          <w:tcPr/>
          <w:p>
            <w:pPr>
              <w:pStyle w:val="Compact"/>
            </w:pPr>
            <w:r>
              <w:t xml:space="preserve">Temporal lobe epilepsy</w:t>
            </w:r>
          </w:p>
        </w:tc>
        <w:tc>
          <w:tcPr/>
          <w:p>
            <w:pPr>
              <w:pStyle w:val="Compact"/>
            </w:pPr>
            <w:r>
              <w:t xml:space="preserve">~40–50%</w:t>
            </w:r>
          </w:p>
        </w:tc>
        <w:tc>
          <w:tcPr/>
          <w:p>
            <w:pPr>
              <w:pStyle w:val="Compact"/>
            </w:pPr>
            <w:r>
              <w:t xml:space="preserve">Perinatal hypoxia → hippocampal sclerosis → TLE</w:t>
            </w:r>
          </w:p>
        </w:tc>
        <w:tc>
          <w:tcPr/>
          <w:p>
            <w:pPr>
              <w:pStyle w:val="Compact"/>
            </w:pPr>
            <w:r>
              <w:t xml:space="preserve">★★★★</w:t>
            </w:r>
          </w:p>
        </w:tc>
      </w:tr>
      <w:tr>
        <w:tc>
          <w:tcPr/>
          <w:p>
            <w:pPr>
              <w:pStyle w:val="Compact"/>
            </w:pPr>
            <w:r>
              <w:t xml:space="preserve">DCD/Dyspraxia</w:t>
            </w:r>
          </w:p>
        </w:tc>
        <w:tc>
          <w:tcPr/>
          <w:p>
            <w:pPr>
              <w:pStyle w:val="Compact"/>
            </w:pPr>
            <w:r>
              <w:t xml:space="preserve">~100%</w:t>
            </w:r>
          </w:p>
        </w:tc>
        <w:tc>
          <w:tcPr/>
          <w:p>
            <w:pPr>
              <w:pStyle w:val="Compact"/>
            </w:pPr>
            <w:r>
              <w:t xml:space="preserve">Cerebellar + WM programming; preterm strongest risk factor</w:t>
            </w:r>
          </w:p>
        </w:tc>
        <w:tc>
          <w:tcPr/>
          <w:p>
            <w:pPr>
              <w:pStyle w:val="Compact"/>
            </w:pPr>
            <w:r>
              <w:t xml:space="preserve">★★★★</w:t>
            </w:r>
          </w:p>
        </w:tc>
      </w:tr>
      <w:tr>
        <w:tc>
          <w:tcPr/>
          <w:p>
            <w:pPr>
              <w:pStyle w:val="Compact"/>
            </w:pPr>
            <w:r>
              <w:t xml:space="preserve">Anxiety/Depression</w:t>
            </w:r>
          </w:p>
        </w:tc>
        <w:tc>
          <w:tcPr/>
          <w:p>
            <w:pPr>
              <w:pStyle w:val="Compact"/>
            </w:pPr>
            <w:r>
              <w:t xml:space="preserve">~30–50%</w:t>
            </w:r>
          </w:p>
        </w:tc>
        <w:tc>
          <w:tcPr/>
          <w:p>
            <w:pPr>
              <w:pStyle w:val="Compact"/>
            </w:pPr>
            <w:r>
              <w:t xml:space="preserve">Hippocampal volume reduction; HPA axis programming</w:t>
            </w:r>
          </w:p>
        </w:tc>
        <w:tc>
          <w:tcPr/>
          <w:p>
            <w:pPr>
              <w:pStyle w:val="Compact"/>
            </w:pPr>
            <w:r>
              <w:t xml:space="preserve">★★★</w:t>
            </w:r>
          </w:p>
        </w:tc>
      </w:tr>
      <w:tr>
        <w:tc>
          <w:tcPr/>
          <w:p>
            <w:pPr>
              <w:pStyle w:val="Compact"/>
            </w:pPr>
            <w:r>
              <w:t xml:space="preserve">CKDu</w:t>
            </w:r>
          </w:p>
        </w:tc>
        <w:tc>
          <w:tcPr/>
          <w:p>
            <w:pPr>
              <w:pStyle w:val="Compact"/>
            </w:pPr>
            <w:r>
              <w:t xml:space="preserve">Variable</w:t>
            </w:r>
          </w:p>
        </w:tc>
        <w:tc>
          <w:tcPr/>
          <w:p>
            <w:pPr>
              <w:pStyle w:val="Compact"/>
            </w:pPr>
            <w:r>
              <w:t xml:space="preserve">Reduced nephron endowment; geographic LBW correlation</w:t>
            </w:r>
          </w:p>
        </w:tc>
        <w:tc>
          <w:tcPr/>
          <w:p>
            <w:pPr>
              <w:pStyle w:val="Compact"/>
            </w:pPr>
            <w:r>
              <w:t xml:space="preserve">★★★</w:t>
            </w:r>
          </w:p>
        </w:tc>
      </w:tr>
      <w:tr>
        <w:tc>
          <w:tcPr/>
          <w:p>
            <w:pPr>
              <w:pStyle w:val="Compact"/>
            </w:pPr>
            <w:r>
              <w:t xml:space="preserve">Autoimmune conditions</w:t>
            </w:r>
          </w:p>
        </w:tc>
        <w:tc>
          <w:tcPr/>
          <w:p>
            <w:pPr>
              <w:pStyle w:val="Compact"/>
            </w:pPr>
            <w:r>
              <w:t xml:space="preserve">&gt;70%</w:t>
            </w:r>
          </w:p>
        </w:tc>
        <w:tc>
          <w:tcPr/>
          <w:p>
            <w:pPr>
              <w:pStyle w:val="Compact"/>
            </w:pPr>
            <w:r>
              <w:t xml:space="preserve">IUGR → thymic programming; T-cell repertoire shaping</w:t>
            </w:r>
          </w:p>
        </w:tc>
        <w:tc>
          <w:tcPr/>
          <w:p>
            <w:pPr>
              <w:pStyle w:val="Compact"/>
            </w:pPr>
            <w:r>
              <w:t xml:space="preserve">★★</w:t>
            </w:r>
          </w:p>
        </w:tc>
      </w:tr>
    </w:tbl>
    <w:p>
      <w:pPr>
        <w:pStyle w:val="BodyText"/>
      </w:pPr>
      <w:r>
        <w:t xml:space="preserve">Five conditions (hypertension, lean T2DM, early-onset CVD, ADHD, reduced lung function) have STRONG evidence. Three (epilepsy, DCD, reduced lung function) have MODERATE-STRONG evidence. The conditions with the strongest evidence are also among the most globally prevalent</w:t>
      </w:r>
      <w:r>
        <w:t xml:space="preserve"> </w:t>
      </w:r>
      <w:r>
        <w:t xml:space="preserve">“idiopathic”</w:t>
      </w:r>
      <w:r>
        <w:t xml:space="preserve"> </w:t>
      </w:r>
      <w:r>
        <w:t xml:space="preserve">conditions — essential hypertension alone affects approximately 1.3 billion adults worldwide.</w:t>
      </w:r>
    </w:p>
    <w:p>
      <w:r>
        <w:pict>
          <v:rect style="width:0;height:1.5pt" o:hralign="center" o:hrstd="t" o:hr="t"/>
        </w:pict>
      </w:r>
    </w:p>
    <w:bookmarkEnd w:id="41"/>
    <w:bookmarkStart w:id="46" w:name="Xb5b0dc7f7721cdef223f6ff1bb26ac952d88ee5"/>
    <w:p>
      <w:pPr>
        <w:pStyle w:val="Heading2"/>
      </w:pPr>
      <w:r>
        <w:t xml:space="preserve">9. Retrospective Testing via Epigenetic Biomarkers</w:t>
      </w:r>
    </w:p>
    <w:bookmarkStart w:id="42" w:name="Xa25fa13e04a455de7e5b77b448ad17583ad6485"/>
    <w:p>
      <w:pPr>
        <w:pStyle w:val="Heading3"/>
      </w:pPr>
      <w:r>
        <w:t xml:space="preserve">9.1 HIF3A Methylation on Archived Blood Spots</w:t>
      </w:r>
    </w:p>
    <w:p>
      <w:pPr>
        <w:pStyle w:val="FirstParagraph"/>
      </w:pPr>
      <w:r>
        <w:t xml:space="preserve">The alignment model’s most significant limitation — that most births lack continuous oxygenation monitoring — can potentially be overcome through epigenetic retrospective detection. Zar Kyaw et al. (2019) demonstrated that HIF3A methylation in newborn blood spots (Guthrie cards) correlates with birth weight-for-gestational age centile — a proxy for chronic fetal hypoxia. Since most developed countries archive Guthrie cards for years or decades, populations can be retrospectively screened for evidence of gestational hypoxia.</w:t>
      </w:r>
    </w:p>
    <w:bookmarkEnd w:id="42"/>
    <w:bookmarkStart w:id="43" w:name="organ-specific-epigenetic-signatures"/>
    <w:p>
      <w:pPr>
        <w:pStyle w:val="Heading3"/>
      </w:pPr>
      <w:r>
        <w:t xml:space="preserve">9.2 Organ-Specific Epigenetic Signatures</w:t>
      </w:r>
    </w:p>
    <w:p>
      <w:pPr>
        <w:pStyle w:val="FirstParagraph"/>
      </w:pPr>
      <w:r>
        <w:t xml:space="preserve">Organ-specific methylation signatures have been confirmed:</w:t>
      </w:r>
      <w:r>
        <w:t xml:space="preserve"> </w:t>
      </w:r>
      <w:r>
        <w:t xml:space="preserve">-</w:t>
      </w:r>
      <w:r>
        <w:t xml:space="preserve"> </w:t>
      </w:r>
      <w:r>
        <w:rPr>
          <w:b/>
          <w:bCs/>
        </w:rPr>
        <w:t xml:space="preserve">Cardiac:</w:t>
      </w:r>
      <w:r>
        <w:t xml:space="preserve"> </w:t>
      </w:r>
      <w:r>
        <w:t xml:space="preserve">Hypoxia-induced methylation changes drive myofibroblast phenotype (Watson et al., 2014)</w:t>
      </w:r>
      <w:r>
        <w:t xml:space="preserve"> </w:t>
      </w:r>
      <w:r>
        <w:t xml:space="preserve">-</w:t>
      </w:r>
      <w:r>
        <w:t xml:space="preserve"> </w:t>
      </w:r>
      <w:r>
        <w:rPr>
          <w:b/>
          <w:bCs/>
        </w:rPr>
        <w:t xml:space="preserve">Cardiovascular pathways:</w:t>
      </w:r>
      <w:r>
        <w:t xml:space="preserve"> </w:t>
      </w:r>
      <w:r>
        <w:t xml:space="preserve">Cord blood methylation enriched for CV genes after PE (Knihtilä et al., 2023)</w:t>
      </w:r>
      <w:r>
        <w:t xml:space="preserve"> </w:t>
      </w:r>
      <w:r>
        <w:t xml:space="preserve">-</w:t>
      </w:r>
      <w:r>
        <w:t xml:space="preserve"> </w:t>
      </w:r>
      <w:r>
        <w:rPr>
          <w:b/>
          <w:bCs/>
        </w:rPr>
        <w:t xml:space="preserve">Hepatic:</w:t>
      </w:r>
      <w:r>
        <w:t xml:space="preserve"> </w:t>
      </w:r>
      <w:r>
        <w:t xml:space="preserve">PE → offspring hepatic steatosis via persistent methylation (Chen et al., 2024)</w:t>
      </w:r>
      <w:r>
        <w:t xml:space="preserve"> </w:t>
      </w:r>
      <w:r>
        <w:t xml:space="preserve">-</w:t>
      </w:r>
      <w:r>
        <w:t xml:space="preserve"> </w:t>
      </w:r>
      <w:r>
        <w:rPr>
          <w:b/>
          <w:bCs/>
        </w:rPr>
        <w:t xml:space="preserve">Pulmonary:</w:t>
      </w:r>
      <w:r>
        <w:t xml:space="preserve"> </w:t>
      </w:r>
      <w:r>
        <w:t xml:space="preserve">Placental CpG methylation predicts chronic lung disease (Jackson et al., 2022)</w:t>
      </w:r>
    </w:p>
    <w:bookmarkEnd w:id="43"/>
    <w:bookmarkStart w:id="44" w:name="epigenetic-clock-deviation"/>
    <w:p>
      <w:pPr>
        <w:pStyle w:val="Heading3"/>
      </w:pPr>
      <w:r>
        <w:t xml:space="preserve">9.3 Epigenetic Clock Deviation</w:t>
      </w:r>
    </w:p>
    <w:p>
      <w:pPr>
        <w:pStyle w:val="FirstParagraph"/>
      </w:pPr>
      <w:r>
        <w:t xml:space="preserve">Epigenetic gestational age (eGA) clocks can detect accelerated biological aging from prenatal adversity. Gerber et al. (2025) demonstrated that placental eGA acceleration predicts adolescent systolic blood pressure in a cohort born extremely preterm — directly linking epigenetic clock deviations at birth to cardiovascular outcomes a decade later.</w:t>
      </w:r>
    </w:p>
    <w:bookmarkEnd w:id="44"/>
    <w:bookmarkStart w:id="45" w:name="the-testable-prediction"/>
    <w:p>
      <w:pPr>
        <w:pStyle w:val="Heading3"/>
      </w:pPr>
      <w:r>
        <w:t xml:space="preserve">9.4 The Testable Prediction</w:t>
      </w:r>
    </w:p>
    <w:p>
      <w:pPr>
        <w:pStyle w:val="FirstParagraph"/>
      </w:pPr>
      <w:r>
        <w:t xml:space="preserve">If the alignment model is correct, individuals diagnosed with</w:t>
      </w:r>
      <w:r>
        <w:t xml:space="preserve"> </w:t>
      </w:r>
      <w:r>
        <w:t xml:space="preserve">“essential”</w:t>
      </w:r>
      <w:r>
        <w:t xml:space="preserve"> </w:t>
      </w:r>
      <w:r>
        <w:t xml:space="preserve">hypertension, lean T2DM, cryptogenic epilepsy, or ADHD should show:</w:t>
      </w:r>
      <w:r>
        <w:t xml:space="preserve"> </w:t>
      </w:r>
      <w:r>
        <w:t xml:space="preserve">1. Lower birthweight or markers of IUGR</w:t>
      </w:r>
      <w:r>
        <w:t xml:space="preserve"> </w:t>
      </w:r>
      <w:r>
        <w:t xml:space="preserve">2. Epigenetic signatures of gestational hypoxia (HIF3A methylation, specific CpG patterns)</w:t>
      </w:r>
      <w:r>
        <w:t xml:space="preserve"> </w:t>
      </w:r>
      <w:r>
        <w:t xml:space="preserve">3. Organ-specific methylation enrichment corresponding to their diagnosed condition</w:t>
      </w:r>
      <w:r>
        <w:t xml:space="preserve"> </w:t>
      </w:r>
      <w:r>
        <w:t xml:space="preserve">4. Epigenetic age acceleration at birth (if cord blood/placental tissue is available)</w:t>
      </w:r>
    </w:p>
    <w:p>
      <w:pPr>
        <w:pStyle w:val="BodyText"/>
      </w:pPr>
      <w:r>
        <w:t xml:space="preserve">This is testable with existing biobanked samples. Two cohorts — Generation R (Rotterdam) and the Danish National Registries — could provide proof-of-concept analyses for less than $80,000 combined.</w:t>
      </w:r>
    </w:p>
    <w:p>
      <w:r>
        <w:pict>
          <v:rect style="width:0;height:1.5pt" o:hralign="center" o:hrstd="t" o:hr="t"/>
        </w:pict>
      </w:r>
    </w:p>
    <w:bookmarkEnd w:id="45"/>
    <w:bookmarkEnd w:id="46"/>
    <w:bookmarkStart w:id="52" w:name="adversarial-stress-test"/>
    <w:p>
      <w:pPr>
        <w:pStyle w:val="Heading2"/>
      </w:pPr>
      <w:r>
        <w:t xml:space="preserve">10. Adversarial Stress Test</w:t>
      </w:r>
    </w:p>
    <w:bookmarkStart w:id="47" w:name="what-this-model-claims"/>
    <w:p>
      <w:pPr>
        <w:pStyle w:val="Heading3"/>
      </w:pPr>
      <w:r>
        <w:t xml:space="preserve">10.1 What This Model Claims</w:t>
      </w:r>
    </w:p>
    <w:p>
      <w:pPr>
        <w:pStyle w:val="FirstParagraph"/>
      </w:pPr>
      <w:r>
        <w:t xml:space="preserve">The alignment model claims that gestational oxygen disruption during defined vulnerability windows produces organ-specific developmental programming injuries that later manifest as</w:t>
      </w:r>
      <w:r>
        <w:t xml:space="preserve"> </w:t>
      </w:r>
      <w:r>
        <w:t xml:space="preserve">“idiopathic”</w:t>
      </w:r>
      <w:r>
        <w:t xml:space="preserve"> </w:t>
      </w:r>
      <w:r>
        <w:t xml:space="preserve">adult disease, mediated by HIF-1α as the common molecular transducer.</w:t>
      </w:r>
    </w:p>
    <w:bookmarkEnd w:id="47"/>
    <w:bookmarkStart w:id="48" w:name="what-would-disprove-it"/>
    <w:p>
      <w:pPr>
        <w:pStyle w:val="Heading3"/>
      </w:pPr>
      <w:r>
        <w:t xml:space="preserve">10.2 What Would Disprove It</w:t>
      </w:r>
    </w:p>
    <w:p>
      <w:pPr>
        <w:pStyle w:val="Compact"/>
        <w:numPr>
          <w:ilvl w:val="0"/>
          <w:numId w:val="1004"/>
        </w:numPr>
      </w:pPr>
      <w:r>
        <w:rPr>
          <w:b/>
          <w:bCs/>
        </w:rPr>
        <w:t xml:space="preserve">No timing-specificity:</w:t>
      </w:r>
      <w:r>
        <w:t xml:space="preserve"> </w:t>
      </w:r>
      <w:r>
        <w:t xml:space="preserve">If PE onset timing makes no difference to offspring outcome patterns — all PE produces the same multi-system profile regardless of onset week — the alignment model fails.</w:t>
      </w:r>
    </w:p>
    <w:p>
      <w:pPr>
        <w:pStyle w:val="Compact"/>
        <w:numPr>
          <w:ilvl w:val="0"/>
          <w:numId w:val="1004"/>
        </w:numPr>
      </w:pPr>
      <w:r>
        <w:rPr>
          <w:b/>
          <w:bCs/>
        </w:rPr>
        <w:t xml:space="preserve">No HIF-1α dependency:</w:t>
      </w:r>
      <w:r>
        <w:t xml:space="preserve"> </w:t>
      </w:r>
      <w:r>
        <w:t xml:space="preserve">If organ-system developmental programming occurs through pathways entirely independent of HIF signalling, the proposed common mechanism fails.</w:t>
      </w:r>
    </w:p>
    <w:p>
      <w:pPr>
        <w:pStyle w:val="Compact"/>
        <w:numPr>
          <w:ilvl w:val="0"/>
          <w:numId w:val="1004"/>
        </w:numPr>
      </w:pPr>
      <w:r>
        <w:rPr>
          <w:b/>
          <w:bCs/>
        </w:rPr>
        <w:t xml:space="preserve">No epigenetic signatures:</w:t>
      </w:r>
      <w:r>
        <w:t xml:space="preserve"> </w:t>
      </w:r>
      <w:r>
        <w:t xml:space="preserve">If archive Guthrie card or cord blood analysis shows no correlation between HIF3A methylation and later</w:t>
      </w:r>
      <w:r>
        <w:t xml:space="preserve"> </w:t>
      </w:r>
      <w:r>
        <w:t xml:space="preserve">“idiopathic”</w:t>
      </w:r>
      <w:r>
        <w:t xml:space="preserve"> </w:t>
      </w:r>
      <w:r>
        <w:t xml:space="preserve">disease, the retrospective detection arm fails.</w:t>
      </w:r>
    </w:p>
    <w:p>
      <w:pPr>
        <w:pStyle w:val="Compact"/>
        <w:numPr>
          <w:ilvl w:val="0"/>
          <w:numId w:val="1004"/>
        </w:numPr>
      </w:pPr>
      <w:r>
        <w:rPr>
          <w:b/>
          <w:bCs/>
        </w:rPr>
        <w:t xml:space="preserve">No fixed endowment effect:</w:t>
      </w:r>
      <w:r>
        <w:t xml:space="preserve"> </w:t>
      </w:r>
      <w:r>
        <w:t xml:space="preserve">If nephron number, cardiomyocyte count, or Purkinje cell density show no variation with gestational oxygen history, the cellular mechanism fails.</w:t>
      </w:r>
    </w:p>
    <w:p>
      <w:pPr>
        <w:pStyle w:val="Compact"/>
        <w:numPr>
          <w:ilvl w:val="0"/>
          <w:numId w:val="1004"/>
        </w:numPr>
      </w:pPr>
      <w:r>
        <w:rPr>
          <w:b/>
          <w:bCs/>
        </w:rPr>
        <w:t xml:space="preserve">Population mismatch:</w:t>
      </w:r>
      <w:r>
        <w:t xml:space="preserve"> </w:t>
      </w:r>
      <w:r>
        <w:t xml:space="preserve">If populations with known high rates of gestational hypoxia (high altitude, LMIC with poor neonatal oxygen) do not show elevated rates of the predicted adult conditions, the model fails at the population level.</w:t>
      </w:r>
    </w:p>
    <w:bookmarkEnd w:id="48"/>
    <w:bookmarkStart w:id="49" w:name="what-has-been-tested"/>
    <w:p>
      <w:pPr>
        <w:pStyle w:val="Heading3"/>
      </w:pPr>
      <w:r>
        <w:t xml:space="preserve">10.3 What Has Been Tested</w:t>
      </w:r>
    </w:p>
    <w:p>
      <w:pPr>
        <w:pStyle w:val="Compact"/>
        <w:numPr>
          <w:ilvl w:val="0"/>
          <w:numId w:val="1005"/>
        </w:numPr>
      </w:pPr>
      <w:r>
        <w:rPr>
          <w:b/>
          <w:bCs/>
        </w:rPr>
        <w:t xml:space="preserve">Fixed endowment in kidneys:</w:t>
      </w:r>
      <w:r>
        <w:t xml:space="preserve"> </w:t>
      </w:r>
      <w:r>
        <w:t xml:space="preserve">CONFIRMED — 10-fold variation in nephron number; low count predicts hypertension (Brenner et al., 1988; Luyckx &amp; Brenner, 2005).</w:t>
      </w:r>
    </w:p>
    <w:p>
      <w:pPr>
        <w:pStyle w:val="Compact"/>
        <w:numPr>
          <w:ilvl w:val="0"/>
          <w:numId w:val="1005"/>
        </w:numPr>
      </w:pPr>
      <w:r>
        <w:rPr>
          <w:b/>
          <w:bCs/>
        </w:rPr>
        <w:t xml:space="preserve">Cardiomyocyte reduction from hypoxia:</w:t>
      </w:r>
      <w:r>
        <w:t xml:space="preserve"> </w:t>
      </w:r>
      <w:r>
        <w:t xml:space="preserve">CONFIRMED in animal models (Botting et al., 2018; Österman et al., 2015).</w:t>
      </w:r>
    </w:p>
    <w:p>
      <w:pPr>
        <w:pStyle w:val="Compact"/>
        <w:numPr>
          <w:ilvl w:val="0"/>
          <w:numId w:val="1005"/>
        </w:numPr>
      </w:pPr>
      <w:r>
        <w:rPr>
          <w:b/>
          <w:bCs/>
        </w:rPr>
        <w:t xml:space="preserve">HIF-1α dependency:</w:t>
      </w:r>
      <w:r>
        <w:t xml:space="preserve"> </w:t>
      </w:r>
      <w:r>
        <w:t xml:space="preserve">CONFIRMED per organ system (see Section 5.1 table).</w:t>
      </w:r>
    </w:p>
    <w:p>
      <w:pPr>
        <w:pStyle w:val="Compact"/>
        <w:numPr>
          <w:ilvl w:val="0"/>
          <w:numId w:val="1005"/>
        </w:numPr>
      </w:pPr>
      <w:r>
        <w:rPr>
          <w:b/>
          <w:bCs/>
        </w:rPr>
        <w:t xml:space="preserve">PE offspring multi-system risk:</w:t>
      </w:r>
      <w:r>
        <w:t xml:space="preserve"> </w:t>
      </w:r>
      <w:r>
        <w:t xml:space="preserve">CONFIRMED — elevated rates of CVD, hypertension, T2DM, NDD, CKD in PE offspring.</w:t>
      </w:r>
    </w:p>
    <w:p>
      <w:pPr>
        <w:pStyle w:val="Compact"/>
        <w:numPr>
          <w:ilvl w:val="0"/>
          <w:numId w:val="1005"/>
        </w:numPr>
      </w:pPr>
      <w:r>
        <w:rPr>
          <w:b/>
          <w:bCs/>
        </w:rPr>
        <w:t xml:space="preserve">Population-level altitude evidence:</w:t>
      </w:r>
      <w:r>
        <w:t xml:space="preserve"> </w:t>
      </w:r>
      <w:r>
        <w:t xml:space="preserve">CONFIRMED — Julian and Moore programme demonstrates gestational oxygen supply drives fetal development with sufficient force to drive natural selection (Julian et al., 2009a, 2009b; Wilson et al., 2007).</w:t>
      </w:r>
    </w:p>
    <w:bookmarkEnd w:id="49"/>
    <w:bookmarkStart w:id="50" w:name="what-has-not-been-tested"/>
    <w:p>
      <w:pPr>
        <w:pStyle w:val="Heading3"/>
      </w:pPr>
      <w:r>
        <w:t xml:space="preserve">10.4 What Has NOT Been Tested</w:t>
      </w:r>
    </w:p>
    <w:p>
      <w:pPr>
        <w:pStyle w:val="Compact"/>
        <w:numPr>
          <w:ilvl w:val="0"/>
          <w:numId w:val="1006"/>
        </w:numPr>
      </w:pPr>
      <w:r>
        <w:rPr>
          <w:b/>
          <w:bCs/>
        </w:rPr>
        <w:t xml:space="preserve">Timing-specificity in a single cohort:</w:t>
      </w:r>
      <w:r>
        <w:t xml:space="preserve"> </w:t>
      </w:r>
      <w:r>
        <w:t xml:space="preserve">No study has simultaneously measured multi-organ outcomes stratified by PE onset timing. The PRISM study design addresses this gap.</w:t>
      </w:r>
    </w:p>
    <w:p>
      <w:pPr>
        <w:pStyle w:val="Compact"/>
        <w:numPr>
          <w:ilvl w:val="0"/>
          <w:numId w:val="1006"/>
        </w:numPr>
      </w:pPr>
      <w:r>
        <w:rPr>
          <w:b/>
          <w:bCs/>
        </w:rPr>
        <w:t xml:space="preserve">Epigenetic retrospective validation:</w:t>
      </w:r>
      <w:r>
        <w:t xml:space="preserve"> </w:t>
      </w:r>
      <w:r>
        <w:t xml:space="preserve">No study has tested whether archived Guthrie cards predict later</w:t>
      </w:r>
      <w:r>
        <w:t xml:space="preserve"> </w:t>
      </w:r>
      <w:r>
        <w:t xml:space="preserve">“idiopathic”</w:t>
      </w:r>
      <w:r>
        <w:t xml:space="preserve"> </w:t>
      </w:r>
      <w:r>
        <w:t xml:space="preserve">disease via HIF3A methylation.</w:t>
      </w:r>
    </w:p>
    <w:p>
      <w:pPr>
        <w:pStyle w:val="Compact"/>
        <w:numPr>
          <w:ilvl w:val="0"/>
          <w:numId w:val="1006"/>
        </w:numPr>
      </w:pPr>
      <w:r>
        <w:rPr>
          <w:b/>
          <w:bCs/>
        </w:rPr>
        <w:t xml:space="preserve">The stacking effect:</w:t>
      </w:r>
      <w:r>
        <w:t xml:space="preserve"> </w:t>
      </w:r>
      <w:r>
        <w:t xml:space="preserve">No study has tracked whether individuals with more</w:t>
      </w:r>
      <w:r>
        <w:t xml:space="preserve"> </w:t>
      </w:r>
      <w:r>
        <w:t xml:space="preserve">“idiopathic”</w:t>
      </w:r>
      <w:r>
        <w:t xml:space="preserve"> </w:t>
      </w:r>
      <w:r>
        <w:t xml:space="preserve">conditions share more gestational hypoxia markers than those with fewer.</w:t>
      </w:r>
    </w:p>
    <w:bookmarkEnd w:id="50"/>
    <w:bookmarkStart w:id="51" w:name="honest-limitations"/>
    <w:p>
      <w:pPr>
        <w:pStyle w:val="Heading3"/>
      </w:pPr>
      <w:r>
        <w:t xml:space="preserve">10.5 Honest Limitations</w:t>
      </w:r>
    </w:p>
    <w:p>
      <w:pPr>
        <w:pStyle w:val="Compact"/>
        <w:numPr>
          <w:ilvl w:val="0"/>
          <w:numId w:val="1007"/>
        </w:numPr>
      </w:pPr>
      <w:r>
        <w:rPr>
          <w:b/>
          <w:bCs/>
        </w:rPr>
        <w:t xml:space="preserve">Prematurity confounding:</w:t>
      </w:r>
      <w:r>
        <w:t xml:space="preserve"> </w:t>
      </w:r>
      <w:r>
        <w:t xml:space="preserve">EOPE almost always causes preterm delivery. Separating PE timing effects from prematurity effects remains the field’s central methodological challenge.</w:t>
      </w:r>
    </w:p>
    <w:p>
      <w:pPr>
        <w:pStyle w:val="Compact"/>
        <w:numPr>
          <w:ilvl w:val="0"/>
          <w:numId w:val="1007"/>
        </w:numPr>
      </w:pPr>
      <w:r>
        <w:rPr>
          <w:b/>
          <w:bCs/>
        </w:rPr>
        <w:t xml:space="preserve">Retrospective design weakness:</w:t>
      </w:r>
      <w:r>
        <w:t xml:space="preserve"> </w:t>
      </w:r>
      <w:r>
        <w:t xml:space="preserve">Most evidence is epidemiological (retrospective cohort, case-control). No prospective study has followed gestational oxygen events to multi-organ adult outcomes.</w:t>
      </w:r>
    </w:p>
    <w:p>
      <w:pPr>
        <w:pStyle w:val="Compact"/>
        <w:numPr>
          <w:ilvl w:val="0"/>
          <w:numId w:val="1007"/>
        </w:numPr>
      </w:pPr>
      <w:r>
        <w:rPr>
          <w:b/>
          <w:bCs/>
        </w:rPr>
        <w:t xml:space="preserve">Animal model translation:</w:t>
      </w:r>
      <w:r>
        <w:t xml:space="preserve"> </w:t>
      </w:r>
      <w:r>
        <w:t xml:space="preserve">Much cellular evidence comes from animal models. Human validation of fixed endowment effects is limited to nephron number and indirect cardiac evidence.</w:t>
      </w:r>
    </w:p>
    <w:p>
      <w:pPr>
        <w:pStyle w:val="Compact"/>
        <w:numPr>
          <w:ilvl w:val="0"/>
          <w:numId w:val="1007"/>
        </w:numPr>
      </w:pPr>
      <w:r>
        <w:rPr>
          <w:b/>
          <w:bCs/>
        </w:rPr>
        <w:t xml:space="preserve">Multifactorial causation:</w:t>
      </w:r>
      <w:r>
        <w:t xml:space="preserve"> </w:t>
      </w:r>
      <w:r>
        <w:t xml:space="preserve">Most</w:t>
      </w:r>
      <w:r>
        <w:t xml:space="preserve"> </w:t>
      </w:r>
      <w:r>
        <w:t xml:space="preserve">“idiopathic”</w:t>
      </w:r>
      <w:r>
        <w:t xml:space="preserve"> </w:t>
      </w:r>
      <w:r>
        <w:t xml:space="preserve">conditions have genetic, environmental, and lifestyle contributions. The alignment model does not claim gestational oxygen as the sole cause — only as a specific, testable, potentially modifiable contributing mechanism.</w:t>
      </w:r>
    </w:p>
    <w:p>
      <w:r>
        <w:pict>
          <v:rect style="width:0;height:1.5pt" o:hralign="center" o:hrstd="t" o:hr="t"/>
        </w:pict>
      </w:r>
    </w:p>
    <w:bookmarkEnd w:id="51"/>
    <w:bookmarkEnd w:id="52"/>
    <w:bookmarkStart w:id="56" w:name="clinical-implications"/>
    <w:p>
      <w:pPr>
        <w:pStyle w:val="Heading2"/>
      </w:pPr>
      <w:r>
        <w:t xml:space="preserve">11. Clinical Implications</w:t>
      </w:r>
    </w:p>
    <w:bookmarkStart w:id="53" w:name="personalised-developmental-surveillance"/>
    <w:p>
      <w:pPr>
        <w:pStyle w:val="Heading3"/>
      </w:pPr>
      <w:r>
        <w:t xml:space="preserve">11.1 Personalised Developmental Surveillance</w:t>
      </w:r>
    </w:p>
    <w:p>
      <w:pPr>
        <w:pStyle w:val="FirstParagraph"/>
      </w:pPr>
      <w:r>
        <w:t xml:space="preserve">If gestational oxygen history determines which systems carry latent injury, neonatal assessment could generate a personalised surveillance plan:</w:t>
      </w:r>
      <w:r>
        <w:t xml:space="preserve"> </w:t>
      </w:r>
      <w:r>
        <w:t xml:space="preserve">“This infant experienced preeclampsia onset at week 26 with delivery at week 32. Based on window alignment, prioritise monitoring of: white matter integrity (DTI at age 2), renal function (annually from age 5), metabolic markers (from adolescence), cardiac reserve (baseline echocardiography).”</w:t>
      </w:r>
    </w:p>
    <w:bookmarkEnd w:id="53"/>
    <w:bookmarkStart w:id="54" w:name="reconnecting-disconnected-specialties"/>
    <w:p>
      <w:pPr>
        <w:pStyle w:val="Heading3"/>
      </w:pPr>
      <w:r>
        <w:t xml:space="preserve">11.2 Reconnecting Disconnected Specialties</w:t>
      </w:r>
    </w:p>
    <w:p>
      <w:pPr>
        <w:pStyle w:val="FirstParagraph"/>
      </w:pPr>
      <w:r>
        <w:t xml:space="preserve">The adult patient with essential hypertension, lean T2DM, and treatment-resistant depression may not need three separate treatment paradigms — they may need recognition that their conditions share a common developmental origin, enabling coordinated care and targeted screening of remaining at-risk systems.</w:t>
      </w:r>
    </w:p>
    <w:bookmarkEnd w:id="54"/>
    <w:bookmarkStart w:id="55" w:name="X8b3f11e797cc56447fae9dce31296b862f57b4c"/>
    <w:p>
      <w:pPr>
        <w:pStyle w:val="Heading3"/>
      </w:pPr>
      <w:r>
        <w:t xml:space="preserve">11.3 Prevention Through Gestational Oxygen Optimisation</w:t>
      </w:r>
    </w:p>
    <w:p>
      <w:pPr>
        <w:pStyle w:val="FirstParagraph"/>
      </w:pPr>
      <w:r>
        <w:t xml:space="preserve">If the alignment model is correct, optimising maternal-fetal oxygen delivery during the super-window (23–36 weeks) — through blood pressure management, placental function support, iron/ascorbate supplementation (PHD cofactor optimisation), and appropriately timed delivery — could prevent multi-organ developmental programming. The prevention window is gestational; the disease burden is lifelong.</w:t>
      </w:r>
    </w:p>
    <w:p>
      <w:r>
        <w:pict>
          <v:rect style="width:0;height:1.5pt" o:hralign="center" o:hrstd="t" o:hr="t"/>
        </w:pict>
      </w:r>
    </w:p>
    <w:bookmarkEnd w:id="55"/>
    <w:bookmarkEnd w:id="56"/>
    <w:bookmarkStart w:id="57" w:name="what-this-model-adds-to-dohad"/>
    <w:p>
      <w:pPr>
        <w:pStyle w:val="Heading2"/>
      </w:pPr>
      <w:r>
        <w:t xml:space="preserve">12. What This Model Adds to DOHaD</w:t>
      </w:r>
    </w:p>
    <w:p>
      <w:pPr>
        <w:pStyle w:val="FirstParagraph"/>
      </w:pPr>
      <w:r>
        <w:t xml:space="preserve">DOHaD established the epidemiological pattern: fetal adversity → adult disease. The alignment model adds:</w:t>
      </w:r>
    </w:p>
    <w:p>
      <w:pPr>
        <w:pStyle w:val="Compact"/>
        <w:numPr>
          <w:ilvl w:val="0"/>
          <w:numId w:val="1008"/>
        </w:numPr>
      </w:pPr>
      <w:r>
        <w:rPr>
          <w:b/>
          <w:bCs/>
        </w:rPr>
        <w:t xml:space="preserve">Temporal resolution</w:t>
      </w:r>
      <w:r>
        <w:t xml:space="preserve"> </w:t>
      </w:r>
      <w:r>
        <w:t xml:space="preserve">— specific timing determines specific systems injured</w:t>
      </w:r>
    </w:p>
    <w:p>
      <w:pPr>
        <w:pStyle w:val="Compact"/>
        <w:numPr>
          <w:ilvl w:val="0"/>
          <w:numId w:val="1008"/>
        </w:numPr>
      </w:pPr>
      <w:r>
        <w:rPr>
          <w:b/>
          <w:bCs/>
        </w:rPr>
        <w:t xml:space="preserve">Cellular specificity</w:t>
      </w:r>
      <w:r>
        <w:t xml:space="preserve"> </w:t>
      </w:r>
      <w:r>
        <w:t xml:space="preserve">— identified progenitor cell types (</w:t>
      </w:r>
      <w:r>
        <w:t xml:space="preserve">“preOL equivalents”</w:t>
      </w:r>
      <w:r>
        <w:t xml:space="preserve">) in each system</w:t>
      </w:r>
    </w:p>
    <w:p>
      <w:pPr>
        <w:pStyle w:val="Compact"/>
        <w:numPr>
          <w:ilvl w:val="0"/>
          <w:numId w:val="1008"/>
        </w:numPr>
      </w:pPr>
      <w:r>
        <w:rPr>
          <w:b/>
          <w:bCs/>
        </w:rPr>
        <w:t xml:space="preserve">Molecular mechanism</w:t>
      </w:r>
      <w:r>
        <w:t xml:space="preserve"> </w:t>
      </w:r>
      <w:r>
        <w:t xml:space="preserve">— HIF-1α as common transducer, with PHD-VHL-FIH counter-regulation</w:t>
      </w:r>
    </w:p>
    <w:p>
      <w:pPr>
        <w:pStyle w:val="Compact"/>
        <w:numPr>
          <w:ilvl w:val="0"/>
          <w:numId w:val="1008"/>
        </w:numPr>
      </w:pPr>
      <w:r>
        <w:rPr>
          <w:b/>
          <w:bCs/>
        </w:rPr>
        <w:t xml:space="preserve">Stacking framework</w:t>
      </w:r>
      <w:r>
        <w:t xml:space="preserve"> </w:t>
      </w:r>
      <w:r>
        <w:t xml:space="preserve">— multiple subthreshold injuries accumulate when windows overlap</w:t>
      </w:r>
    </w:p>
    <w:p>
      <w:pPr>
        <w:pStyle w:val="Compact"/>
        <w:numPr>
          <w:ilvl w:val="0"/>
          <w:numId w:val="1008"/>
        </w:numPr>
      </w:pPr>
      <w:r>
        <w:rPr>
          <w:b/>
          <w:bCs/>
        </w:rPr>
        <w:t xml:space="preserve">Demand-spike prediction</w:t>
      </w:r>
      <w:r>
        <w:t xml:space="preserve"> </w:t>
      </w:r>
      <w:r>
        <w:t xml:space="preserve">— each system fails at a predictable age</w:t>
      </w:r>
    </w:p>
    <w:p>
      <w:pPr>
        <w:pStyle w:val="Compact"/>
        <w:numPr>
          <w:ilvl w:val="0"/>
          <w:numId w:val="1008"/>
        </w:numPr>
      </w:pPr>
      <w:r>
        <w:rPr>
          <w:b/>
          <w:bCs/>
        </w:rPr>
        <w:t xml:space="preserve">Retrospective testability</w:t>
      </w:r>
      <w:r>
        <w:t xml:space="preserve"> </w:t>
      </w:r>
      <w:r>
        <w:t xml:space="preserve">— epigenetic biomarkers enable testing using existing biobanks</w:t>
      </w:r>
    </w:p>
    <w:p>
      <w:pPr>
        <w:pStyle w:val="FirstParagraph"/>
      </w:pPr>
      <w:r>
        <w:t xml:space="preserve">DOHaD says:</w:t>
      </w:r>
      <w:r>
        <w:t xml:space="preserve"> </w:t>
      </w:r>
      <w:r>
        <w:t xml:space="preserve">“bad gestation → adult disease.”</w:t>
      </w:r>
      <w:r>
        <w:t xml:space="preserve"> </w:t>
      </w:r>
      <w:r>
        <w:t xml:space="preserve">The alignment model says:</w:t>
      </w:r>
      <w:r>
        <w:t xml:space="preserve"> </w:t>
      </w:r>
      <w:r>
        <w:t xml:space="preserve">“this oxygen event at this gestational week → this cell type injured → this system fails at this age when this demand exceeds this reserve.”</w:t>
      </w:r>
    </w:p>
    <w:p>
      <w:r>
        <w:pict>
          <v:rect style="width:0;height:1.5pt" o:hralign="center" o:hrstd="t" o:hr="t"/>
        </w:pict>
      </w:r>
    </w:p>
    <w:bookmarkEnd w:id="57"/>
    <w:bookmarkStart w:id="58" w:name="significance-statement"/>
    <w:p>
      <w:pPr>
        <w:pStyle w:val="Heading2"/>
      </w:pPr>
      <w:r>
        <w:t xml:space="preserve">13. Significance Statement</w:t>
      </w:r>
    </w:p>
    <w:p>
      <w:pPr>
        <w:pStyle w:val="FirstParagraph"/>
      </w:pPr>
      <w:r>
        <w:t xml:space="preserve">This paper presents a unified framework that may explain why so many of the world’s most prevalent chronic diseases are classified as</w:t>
      </w:r>
      <w:r>
        <w:t xml:space="preserve"> </w:t>
      </w:r>
      <w:r>
        <w:t xml:space="preserve">“idiopathic.”</w:t>
      </w:r>
      <w:r>
        <w:t xml:space="preserve"> </w:t>
      </w:r>
      <w:r>
        <w:t xml:space="preserve">If the alignment model is correct, conditions ranging from essential hypertension to lean type 2 diabetes to cryptogenic epilepsy to ADHD are not diseases of unknown cause — they are diseases of unrecognised gestational origin, with identifiable cell-level injuries, predictable demand-spike timelines, and detectable epigenetic signatures. The model is falsifiable, testable with existing biobanks, and — if validated — points toward prevention through gestational oxygen optimisation during a defined developmental super-window.</w:t>
      </w:r>
    </w:p>
    <w:p>
      <w:r>
        <w:pict>
          <v:rect style="width:0;height:1.5pt" o:hralign="center" o:hrstd="t" o:hr="t"/>
        </w:pict>
      </w:r>
    </w:p>
    <w:bookmarkEnd w:id="58"/>
    <w:bookmarkStart w:id="59" w:name="references"/>
    <w:p>
      <w:pPr>
        <w:pStyle w:val="Heading2"/>
      </w:pPr>
      <w:r>
        <w:t xml:space="preserve">References</w:t>
      </w:r>
    </w:p>
    <w:p>
      <w:pPr>
        <w:pStyle w:val="FirstParagraph"/>
      </w:pPr>
      <w:r>
        <w:t xml:space="preserve">Ahmed S et al. (2026). Beta-cell decompensation and low birth weight risk for T2D.</w:t>
      </w:r>
      <w:r>
        <w:t xml:space="preserve"> </w:t>
      </w:r>
      <w:r>
        <w:rPr>
          <w:i/>
          <w:iCs/>
        </w:rPr>
        <w:t xml:space="preserve">Curr Diabetes Rev</w:t>
      </w:r>
      <w:r>
        <w:t xml:space="preserve">. PMID: 41568508.</w:t>
      </w:r>
    </w:p>
    <w:p>
      <w:pPr>
        <w:pStyle w:val="BodyText"/>
      </w:pPr>
      <w:r>
        <w:t xml:space="preserve">Back SA et al. (2001). Late oligodendrocyte progenitors coincide with the developmental window of vulnerability for human perinatal white matter injury.</w:t>
      </w:r>
      <w:r>
        <w:t xml:space="preserve"> </w:t>
      </w:r>
      <w:r>
        <w:rPr>
          <w:i/>
          <w:iCs/>
        </w:rPr>
        <w:t xml:space="preserve">J Neurosci</w:t>
      </w:r>
      <w:r>
        <w:t xml:space="preserve">, 21:1302-12.</w:t>
      </w:r>
    </w:p>
    <w:p>
      <w:pPr>
        <w:pStyle w:val="BodyText"/>
      </w:pPr>
      <w:r>
        <w:t xml:space="preserve">Back SA et al. (2002). Selective vulnerability of preterm white matter to oxidative damage defined by F2-isoprostanes.</w:t>
      </w:r>
      <w:r>
        <w:t xml:space="preserve"> </w:t>
      </w:r>
      <w:r>
        <w:rPr>
          <w:i/>
          <w:iCs/>
        </w:rPr>
        <w:t xml:space="preserve">Ann Neurol</w:t>
      </w:r>
      <w:r>
        <w:t xml:space="preserve">, 52:796-804.</w:t>
      </w:r>
    </w:p>
    <w:p>
      <w:pPr>
        <w:pStyle w:val="BodyText"/>
      </w:pPr>
      <w:r>
        <w:t xml:space="preserve">Bailey A et al. (1998). A clinicopathological study of autism.</w:t>
      </w:r>
      <w:r>
        <w:t xml:space="preserve"> </w:t>
      </w:r>
      <w:r>
        <w:rPr>
          <w:i/>
          <w:iCs/>
        </w:rPr>
        <w:t xml:space="preserve">Brain</w:t>
      </w:r>
      <w:r>
        <w:t xml:space="preserve">, 121:889-905.</w:t>
      </w:r>
    </w:p>
    <w:p>
      <w:pPr>
        <w:pStyle w:val="BodyText"/>
      </w:pPr>
      <w:r>
        <w:t xml:space="preserve">Balistreri CR et al. (2019). Developmental programming of adult haematopoiesis system.</w:t>
      </w:r>
      <w:r>
        <w:t xml:space="preserve"> </w:t>
      </w:r>
      <w:r>
        <w:rPr>
          <w:i/>
          <w:iCs/>
        </w:rPr>
        <w:t xml:space="preserve">Ageing Res Rev</w:t>
      </w:r>
      <w:r>
        <w:t xml:space="preserve">, 54:100918.</w:t>
      </w:r>
    </w:p>
    <w:p>
      <w:pPr>
        <w:pStyle w:val="BodyText"/>
      </w:pPr>
      <w:r>
        <w:t xml:space="preserve">Barker DJ (1990). The fetal and infant origins of adult disease.</w:t>
      </w:r>
      <w:r>
        <w:t xml:space="preserve"> </w:t>
      </w:r>
      <w:r>
        <w:rPr>
          <w:i/>
          <w:iCs/>
        </w:rPr>
        <w:t xml:space="preserve">BMJ</w:t>
      </w:r>
      <w:r>
        <w:t xml:space="preserve">, 301:1111.</w:t>
      </w:r>
    </w:p>
    <w:p>
      <w:pPr>
        <w:pStyle w:val="BodyText"/>
      </w:pPr>
      <w:r>
        <w:t xml:space="preserve">Barker DJ (1995). Fetal origins of coronary heart disease.</w:t>
      </w:r>
      <w:r>
        <w:t xml:space="preserve"> </w:t>
      </w:r>
      <w:r>
        <w:rPr>
          <w:i/>
          <w:iCs/>
        </w:rPr>
        <w:t xml:space="preserve">BMJ</w:t>
      </w:r>
      <w:r>
        <w:t xml:space="preserve">, 311:171-174.</w:t>
      </w:r>
    </w:p>
    <w:p>
      <w:pPr>
        <w:pStyle w:val="BodyText"/>
      </w:pPr>
      <w:r>
        <w:t xml:space="preserve">Barker DJ (2004a). The developmental origins of adult disease.</w:t>
      </w:r>
      <w:r>
        <w:t xml:space="preserve"> </w:t>
      </w:r>
      <w:r>
        <w:rPr>
          <w:i/>
          <w:iCs/>
        </w:rPr>
        <w:t xml:space="preserve">J Am Coll Nutr</w:t>
      </w:r>
      <w:r>
        <w:t xml:space="preserve">, 23(6 Suppl):588S-595S. PMID: 15640511.</w:t>
      </w:r>
    </w:p>
    <w:p>
      <w:pPr>
        <w:pStyle w:val="BodyText"/>
      </w:pPr>
      <w:r>
        <w:t xml:space="preserve">Barker DJ (2004b). Developmental origins of well-being.</w:t>
      </w:r>
      <w:r>
        <w:t xml:space="preserve"> </w:t>
      </w:r>
      <w:r>
        <w:rPr>
          <w:i/>
          <w:iCs/>
        </w:rPr>
        <w:t xml:space="preserve">Philos Trans R Soc Lond B Biol Sci</w:t>
      </w:r>
      <w:r>
        <w:t xml:space="preserve">, 359:1359-66. PMID: 15347527.</w:t>
      </w:r>
    </w:p>
    <w:p>
      <w:pPr>
        <w:pStyle w:val="BodyText"/>
      </w:pPr>
      <w:r>
        <w:t xml:space="preserve">Barker DJ (2007). The origins of the developmental origins theory.</w:t>
      </w:r>
      <w:r>
        <w:t xml:space="preserve"> </w:t>
      </w:r>
      <w:r>
        <w:rPr>
          <w:i/>
          <w:iCs/>
        </w:rPr>
        <w:t xml:space="preserve">J Intern Med</w:t>
      </w:r>
      <w:r>
        <w:t xml:space="preserve">, 261:412-7.</w:t>
      </w:r>
    </w:p>
    <w:p>
      <w:pPr>
        <w:pStyle w:val="BodyText"/>
      </w:pPr>
      <w:r>
        <w:t xml:space="preserve">Bauman ML, Kemper TL (1985). Histoanatomic observations of the brain in early infantile autism.</w:t>
      </w:r>
      <w:r>
        <w:t xml:space="preserve"> </w:t>
      </w:r>
      <w:r>
        <w:rPr>
          <w:i/>
          <w:iCs/>
        </w:rPr>
        <w:t xml:space="preserve">Neurology</w:t>
      </w:r>
      <w:r>
        <w:t xml:space="preserve">, 35:866-74.</w:t>
      </w:r>
    </w:p>
    <w:p>
      <w:pPr>
        <w:pStyle w:val="BodyText"/>
      </w:pPr>
      <w:r>
        <w:t xml:space="preserve">Berends LM, Ozanne SE (2012). Early determinants of type-2 diabetes.</w:t>
      </w:r>
      <w:r>
        <w:t xml:space="preserve"> </w:t>
      </w:r>
      <w:r>
        <w:rPr>
          <w:i/>
          <w:iCs/>
        </w:rPr>
        <w:t xml:space="preserve">Best Pract Res Clin Endocrinol Metab</w:t>
      </w:r>
      <w:r>
        <w:t xml:space="preserve">, 26:569-80. PMID: 22980041.</w:t>
      </w:r>
    </w:p>
    <w:p>
      <w:pPr>
        <w:pStyle w:val="BodyText"/>
      </w:pPr>
      <w:r>
        <w:t xml:space="preserve">Bonadies L et al. (2023). Prematurity-related morbidities and BPD.</w:t>
      </w:r>
      <w:r>
        <w:t xml:space="preserve"> </w:t>
      </w:r>
      <w:r>
        <w:rPr>
          <w:i/>
          <w:iCs/>
        </w:rPr>
        <w:t xml:space="preserve">Eur J Pediatr</w:t>
      </w:r>
      <w:r>
        <w:t xml:space="preserve">, 182:1505-1516. PMID: 36763190.</w:t>
      </w:r>
    </w:p>
    <w:p>
      <w:pPr>
        <w:pStyle w:val="BodyText"/>
      </w:pPr>
      <w:r>
        <w:t xml:space="preserve">Botting KJ et al. (2018). IUGR decreases cardiomyocyte endowment and alters cardiac metabolism.</w:t>
      </w:r>
      <w:r>
        <w:t xml:space="preserve"> </w:t>
      </w:r>
      <w:r>
        <w:rPr>
          <w:i/>
          <w:iCs/>
        </w:rPr>
        <w:t xml:space="preserve">Am J Physiol</w:t>
      </w:r>
      <w:r>
        <w:t xml:space="preserve">, 315:R48-R67.</w:t>
      </w:r>
    </w:p>
    <w:p>
      <w:pPr>
        <w:pStyle w:val="BodyText"/>
      </w:pPr>
      <w:r>
        <w:t xml:space="preserve">Botting KJ et al. (2020). Translatable mitochondria-targeted protection against programmed cardiovascular dysfunction.</w:t>
      </w:r>
      <w:r>
        <w:t xml:space="preserve"> </w:t>
      </w:r>
      <w:r>
        <w:rPr>
          <w:i/>
          <w:iCs/>
        </w:rPr>
        <w:t xml:space="preserve">Sci Adv</w:t>
      </w:r>
      <w:r>
        <w:t xml:space="preserve">, 6:eabb1929.</w:t>
      </w:r>
    </w:p>
    <w:p>
      <w:pPr>
        <w:pStyle w:val="BodyText"/>
      </w:pPr>
      <w:r>
        <w:t xml:space="preserve">Brenner BM, Garcia DL, Anderson S (1988). Glomeruli and blood pressure: less of one, more of the other?</w:t>
      </w:r>
      <w:r>
        <w:t xml:space="preserve"> </w:t>
      </w:r>
      <w:r>
        <w:rPr>
          <w:i/>
          <w:iCs/>
        </w:rPr>
        <w:t xml:space="preserve">Am J Hypertens</w:t>
      </w:r>
      <w:r>
        <w:t xml:space="preserve">, 1:335-47.</w:t>
      </w:r>
    </w:p>
    <w:p>
      <w:pPr>
        <w:pStyle w:val="BodyText"/>
      </w:pPr>
      <w:r>
        <w:t xml:space="preserve">Buser JR et al. (2012). Arrested preoligodendrocyte maturation contributes to myelination failure in premature infants.</w:t>
      </w:r>
      <w:r>
        <w:t xml:space="preserve"> </w:t>
      </w:r>
      <w:r>
        <w:rPr>
          <w:i/>
          <w:iCs/>
        </w:rPr>
        <w:t xml:space="preserve">Ann Neurol</w:t>
      </w:r>
      <w:r>
        <w:t xml:space="preserve">, 71:93-109.</w:t>
      </w:r>
    </w:p>
    <w:p>
      <w:pPr>
        <w:pStyle w:val="BodyText"/>
      </w:pPr>
      <w:r>
        <w:t xml:space="preserve">Chandra RK (1991). Interactions between early nutrition and the immune system.</w:t>
      </w:r>
      <w:r>
        <w:t xml:space="preserve"> </w:t>
      </w:r>
      <w:r>
        <w:rPr>
          <w:i/>
          <w:iCs/>
        </w:rPr>
        <w:t xml:space="preserve">Ciba Found Symp</w:t>
      </w:r>
      <w:r>
        <w:t xml:space="preserve">, 156:77-89.</w:t>
      </w:r>
    </w:p>
    <w:p>
      <w:pPr>
        <w:pStyle w:val="BodyText"/>
      </w:pPr>
      <w:r>
        <w:t xml:space="preserve">Chen H et al. (2024). Pre-eclamptic foetal programming predisposes offspring to hepatic steatosis via DNA methylation.</w:t>
      </w:r>
      <w:r>
        <w:t xml:space="preserve"> </w:t>
      </w:r>
      <w:r>
        <w:rPr>
          <w:i/>
          <w:iCs/>
        </w:rPr>
        <w:t xml:space="preserve">Biochim Biophys Acta Mol Basis Dis</w:t>
      </w:r>
      <w:r>
        <w:t xml:space="preserve">, 1870:167189. PMID: 38648899.</w:t>
      </w:r>
    </w:p>
    <w:p>
      <w:pPr>
        <w:pStyle w:val="BodyText"/>
      </w:pPr>
      <w:r>
        <w:t xml:space="preserve">Chevalier RL (2020). Bioenergetic evolution explains prevalence of low nephron number at birth.</w:t>
      </w:r>
      <w:r>
        <w:t xml:space="preserve"> </w:t>
      </w:r>
      <w:r>
        <w:rPr>
          <w:i/>
          <w:iCs/>
        </w:rPr>
        <w:t xml:space="preserve">Kidney360</w:t>
      </w:r>
      <w:r>
        <w:t xml:space="preserve">, 1:863-879.</w:t>
      </w:r>
    </w:p>
    <w:p>
      <w:pPr>
        <w:pStyle w:val="BodyText"/>
      </w:pPr>
      <w:r>
        <w:t xml:space="preserve">Contreras YM et al. (2011). IUGR alters T-lymphocyte cell number in thymus.</w:t>
      </w:r>
      <w:r>
        <w:t xml:space="preserve"> </w:t>
      </w:r>
      <w:r>
        <w:rPr>
          <w:i/>
          <w:iCs/>
        </w:rPr>
        <w:t xml:space="preserve">Pediatr Res</w:t>
      </w:r>
      <w:r>
        <w:t xml:space="preserve">, 70:123-9.</w:t>
      </w:r>
    </w:p>
    <w:p>
      <w:pPr>
        <w:pStyle w:val="BodyText"/>
      </w:pPr>
      <w:r>
        <w:t xml:space="preserve">Davis EF et al. (2012). Cardiovascular risk factors in children and young adults born to preeclamptic pregnancies.</w:t>
      </w:r>
      <w:r>
        <w:t xml:space="preserve"> </w:t>
      </w:r>
      <w:r>
        <w:rPr>
          <w:i/>
          <w:iCs/>
        </w:rPr>
        <w:t xml:space="preserve">Eur J Prev Cardiol</w:t>
      </w:r>
      <w:r>
        <w:t xml:space="preserve">, 19:1258-64.</w:t>
      </w:r>
    </w:p>
    <w:p>
      <w:pPr>
        <w:pStyle w:val="BodyText"/>
      </w:pPr>
      <w:r>
        <w:t xml:space="preserve">Doyle LW et al. (2019). Reduced airflow in preterm adults at 25 years.</w:t>
      </w:r>
      <w:r>
        <w:t xml:space="preserve"> </w:t>
      </w:r>
      <w:r>
        <w:rPr>
          <w:i/>
          <w:iCs/>
        </w:rPr>
        <w:t xml:space="preserve">Thorax</w:t>
      </w:r>
      <w:r>
        <w:t xml:space="preserve">, 74:1147-1153. PMID: 31558625.</w:t>
      </w:r>
    </w:p>
    <w:p>
      <w:pPr>
        <w:pStyle w:val="BodyText"/>
      </w:pPr>
      <w:r>
        <w:t xml:space="preserve">Dulloo AG (2008). Thrifty energy metabolism in catch-up growth trajectories.</w:t>
      </w:r>
      <w:r>
        <w:t xml:space="preserve"> </w:t>
      </w:r>
      <w:r>
        <w:rPr>
          <w:i/>
          <w:iCs/>
        </w:rPr>
        <w:t xml:space="preserve">Best Pract Res Clin Endocrinol Metab</w:t>
      </w:r>
      <w:r>
        <w:t xml:space="preserve">, 22:155-71. PMID: 18279786.</w:t>
      </w:r>
    </w:p>
    <w:p>
      <w:pPr>
        <w:pStyle w:val="BodyText"/>
      </w:pPr>
      <w:r>
        <w:t xml:space="preserve">Gatford KL et al. (2017). Pre-birth origins of allergy and asthma.</w:t>
      </w:r>
      <w:r>
        <w:t xml:space="preserve"> </w:t>
      </w:r>
      <w:r>
        <w:rPr>
          <w:i/>
          <w:iCs/>
        </w:rPr>
        <w:t xml:space="preserve">J Reprod Immunol</w:t>
      </w:r>
      <w:r>
        <w:t xml:space="preserve">, 123:88-93.</w:t>
      </w:r>
    </w:p>
    <w:p>
      <w:pPr>
        <w:pStyle w:val="BodyText"/>
      </w:pPr>
      <w:r>
        <w:t xml:space="preserve">Gerber A et al. (2025). Placental eGA acceleration and adolescent blood pressure.</w:t>
      </w:r>
      <w:r>
        <w:t xml:space="preserve"> </w:t>
      </w:r>
      <w:r>
        <w:rPr>
          <w:i/>
          <w:iCs/>
        </w:rPr>
        <w:t xml:space="preserve">Pediatr Res</w:t>
      </w:r>
      <w:r>
        <w:t xml:space="preserve">, 98:1780-1788. PMID: 40335643.</w:t>
      </w:r>
    </w:p>
    <w:p>
      <w:pPr>
        <w:pStyle w:val="BodyText"/>
      </w:pPr>
      <w:r>
        <w:t xml:space="preserve">Giussani DA, Davidge ST (2013). Developmental programming of cardiovascular disease by prenatal hypoxia.</w:t>
      </w:r>
      <w:r>
        <w:t xml:space="preserve"> </w:t>
      </w:r>
      <w:r>
        <w:rPr>
          <w:i/>
          <w:iCs/>
        </w:rPr>
        <w:t xml:space="preserve">J Dev Orig Health Dis</w:t>
      </w:r>
      <w:r>
        <w:t xml:space="preserve">, 4:328-37.</w:t>
      </w:r>
    </w:p>
    <w:p>
      <w:pPr>
        <w:pStyle w:val="BodyText"/>
      </w:pPr>
      <w:r>
        <w:t xml:space="preserve">Giussani DA et al. (2012). Developmental programming of cardiovascular dysfunction by prenatal hypoxia and oxidative stress.</w:t>
      </w:r>
      <w:r>
        <w:t xml:space="preserve"> </w:t>
      </w:r>
      <w:r>
        <w:rPr>
          <w:i/>
          <w:iCs/>
        </w:rPr>
        <w:t xml:space="preserve">PLoS One</w:t>
      </w:r>
      <w:r>
        <w:t xml:space="preserve">, 7:e31017.</w:t>
      </w:r>
    </w:p>
    <w:p>
      <w:pPr>
        <w:pStyle w:val="BodyText"/>
      </w:pPr>
      <w:r>
        <w:t xml:space="preserve">Gluckman PD, Hanson MA (2004). Living with the past: evolution, development, and patterns of disease.</w:t>
      </w:r>
      <w:r>
        <w:t xml:space="preserve"> </w:t>
      </w:r>
      <w:r>
        <w:rPr>
          <w:i/>
          <w:iCs/>
        </w:rPr>
        <w:t xml:space="preserve">Science</w:t>
      </w:r>
      <w:r>
        <w:t xml:space="preserve">, 305:1733-6.</w:t>
      </w:r>
    </w:p>
    <w:p>
      <w:pPr>
        <w:pStyle w:val="BodyText"/>
      </w:pPr>
      <w:r>
        <w:t xml:space="preserve">Gluckman PD, Hanson MA (2007). Developmental plasticity and human disease: research directions.</w:t>
      </w:r>
      <w:r>
        <w:t xml:space="preserve"> </w:t>
      </w:r>
      <w:r>
        <w:rPr>
          <w:i/>
          <w:iCs/>
        </w:rPr>
        <w:t xml:space="preserve">J Intern Med</w:t>
      </w:r>
      <w:r>
        <w:t xml:space="preserve">, 261:461-71.</w:t>
      </w:r>
    </w:p>
    <w:p>
      <w:pPr>
        <w:pStyle w:val="BodyText"/>
      </w:pPr>
      <w:r>
        <w:t xml:space="preserve">Godfrey KM, Barker DJ (2000). Fetal nutrition and adult disease.</w:t>
      </w:r>
      <w:r>
        <w:t xml:space="preserve"> </w:t>
      </w:r>
      <w:r>
        <w:rPr>
          <w:i/>
          <w:iCs/>
        </w:rPr>
        <w:t xml:space="preserve">Am J Clin Nutr</w:t>
      </w:r>
      <w:r>
        <w:t xml:space="preserve">, 71(5 Suppl):1344S-52S. PMID: 10799412.</w:t>
      </w:r>
    </w:p>
    <w:p>
      <w:pPr>
        <w:pStyle w:val="BodyText"/>
      </w:pPr>
      <w:r>
        <w:t xml:space="preserve">Green AS, Rozance PJ, Limesand SW (2010). IUGR and beta-cell dysfunction.</w:t>
      </w:r>
      <w:r>
        <w:t xml:space="preserve"> </w:t>
      </w:r>
      <w:r>
        <w:rPr>
          <w:i/>
          <w:iCs/>
        </w:rPr>
        <w:t xml:space="preserve">J Endocrinol</w:t>
      </w:r>
      <w:r>
        <w:t xml:space="preserve">, 205:211-24. PMID: 20223861.</w:t>
      </w:r>
    </w:p>
    <w:p>
      <w:pPr>
        <w:pStyle w:val="BodyText"/>
      </w:pPr>
      <w:r>
        <w:t xml:space="preserve">Gurusinghe S, Tambay A, Sethna CB (2017). Developmental origins and nephron endowment in hypertension.</w:t>
      </w:r>
      <w:r>
        <w:t xml:space="preserve"> </w:t>
      </w:r>
      <w:r>
        <w:rPr>
          <w:i/>
          <w:iCs/>
        </w:rPr>
        <w:t xml:space="preserve">Front Pediatr</w:t>
      </w:r>
      <w:r>
        <w:t xml:space="preserve">, 5:151. PMID: 28706894.</w:t>
      </w:r>
    </w:p>
    <w:p>
      <w:pPr>
        <w:pStyle w:val="BodyText"/>
      </w:pPr>
      <w:r>
        <w:t xml:space="preserve">Hales CN, Barker DJ (1992). Type 2 (non-insulin-dependent) diabetes mellitus: the thrifty phenotype hypothesis.</w:t>
      </w:r>
      <w:r>
        <w:t xml:space="preserve"> </w:t>
      </w:r>
      <w:r>
        <w:rPr>
          <w:i/>
          <w:iCs/>
        </w:rPr>
        <w:t xml:space="preserve">Diabetologia</w:t>
      </w:r>
      <w:r>
        <w:t xml:space="preserve">, 35:595-601.</w:t>
      </w:r>
    </w:p>
    <w:p>
      <w:pPr>
        <w:pStyle w:val="BodyText"/>
      </w:pPr>
      <w:r>
        <w:t xml:space="preserve">Hanson MA, Gluckman PD (2014). Early developmental conditioning of later health and disease.</w:t>
      </w:r>
      <w:r>
        <w:t xml:space="preserve"> </w:t>
      </w:r>
      <w:r>
        <w:rPr>
          <w:i/>
          <w:iCs/>
        </w:rPr>
        <w:t xml:space="preserve">Physiol Rev</w:t>
      </w:r>
      <w:r>
        <w:t xml:space="preserve">, 94:1027-76.</w:t>
      </w:r>
    </w:p>
    <w:p>
      <w:pPr>
        <w:pStyle w:val="BodyText"/>
      </w:pPr>
      <w:r>
        <w:t xml:space="preserve">Herzog EM et al. (2017). Tissue-specific epigenomics of PE placenta.</w:t>
      </w:r>
      <w:r>
        <w:t xml:space="preserve"> </w:t>
      </w:r>
      <w:r>
        <w:rPr>
          <w:i/>
          <w:iCs/>
        </w:rPr>
        <w:t xml:space="preserve">Placenta</w:t>
      </w:r>
      <w:r>
        <w:t xml:space="preserve">, 58:122-132. PMID: 28962690.</w:t>
      </w:r>
    </w:p>
    <w:p>
      <w:pPr>
        <w:pStyle w:val="BodyText"/>
      </w:pPr>
      <w:r>
        <w:t xml:space="preserve">Hill DJ, Duvillié B (2000). Pancreatic development and diabetes.</w:t>
      </w:r>
      <w:r>
        <w:t xml:space="preserve"> </w:t>
      </w:r>
      <w:r>
        <w:rPr>
          <w:i/>
          <w:iCs/>
        </w:rPr>
        <w:t xml:space="preserve">Pediatr Res</w:t>
      </w:r>
      <w:r>
        <w:t xml:space="preserve">, 48:269-74. PMID: 10960489.</w:t>
      </w:r>
    </w:p>
    <w:p>
      <w:pPr>
        <w:pStyle w:val="BodyText"/>
      </w:pPr>
      <w:r>
        <w:t xml:space="preserve">Jackson WM et al. (2022). Placental CpG methylation and chronic lung disease of prematurity.</w:t>
      </w:r>
      <w:r>
        <w:t xml:space="preserve"> </w:t>
      </w:r>
      <w:r>
        <w:rPr>
          <w:i/>
          <w:iCs/>
        </w:rPr>
        <w:t xml:space="preserve">Pediatr Res</w:t>
      </w:r>
      <w:r>
        <w:t xml:space="preserve">, 91:1428-1435. PMID: 34857876.</w:t>
      </w:r>
    </w:p>
    <w:p>
      <w:pPr>
        <w:pStyle w:val="BodyText"/>
      </w:pPr>
      <w:r>
        <w:t xml:space="preserve">Johnston MV (2001). Excitotoxicity in perinatal brain injury.</w:t>
      </w:r>
      <w:r>
        <w:t xml:space="preserve"> </w:t>
      </w:r>
      <w:r>
        <w:rPr>
          <w:i/>
          <w:iCs/>
        </w:rPr>
        <w:t xml:space="preserve">Brain Pathol</w:t>
      </w:r>
      <w:r>
        <w:t xml:space="preserve">, 11:234-49.</w:t>
      </w:r>
    </w:p>
    <w:p>
      <w:pPr>
        <w:pStyle w:val="BodyText"/>
      </w:pPr>
      <w:r>
        <w:t xml:space="preserve">Julian CG et al. (2009a). High-altitude native population resistance to hypoxia.</w:t>
      </w:r>
      <w:r>
        <w:t xml:space="preserve"> </w:t>
      </w:r>
      <w:r>
        <w:rPr>
          <w:i/>
          <w:iCs/>
        </w:rPr>
        <w:t xml:space="preserve">Am J Hum Biol</w:t>
      </w:r>
      <w:r>
        <w:t xml:space="preserve">, 21:454-62. PMID: 19367578.</w:t>
      </w:r>
    </w:p>
    <w:p>
      <w:pPr>
        <w:pStyle w:val="BodyText"/>
      </w:pPr>
      <w:r>
        <w:t xml:space="preserve">Julian CG et al. (2009b). Augmented uterine artery blood flow in Andeans.</w:t>
      </w:r>
      <w:r>
        <w:t xml:space="preserve"> </w:t>
      </w:r>
      <w:r>
        <w:rPr>
          <w:i/>
          <w:iCs/>
        </w:rPr>
        <w:t xml:space="preserve">Am J Physiol</w:t>
      </w:r>
      <w:r>
        <w:t xml:space="preserve">, 296:R1564-75. PMID: 19244584.</w:t>
      </w:r>
    </w:p>
    <w:p>
      <w:pPr>
        <w:pStyle w:val="BodyText"/>
      </w:pPr>
      <w:r>
        <w:t xml:space="preserve">Julian CG et al. (2014). Chronic hypoxia inhibits PPARγ.</w:t>
      </w:r>
      <w:r>
        <w:t xml:space="preserve"> </w:t>
      </w:r>
      <w:r>
        <w:rPr>
          <w:i/>
          <w:iCs/>
        </w:rPr>
        <w:t xml:space="preserve">FASEB J</w:t>
      </w:r>
      <w:r>
        <w:t xml:space="preserve">, 28:1268-79. PMID: 24307415.</w:t>
      </w:r>
    </w:p>
    <w:p>
      <w:pPr>
        <w:pStyle w:val="BodyText"/>
      </w:pPr>
      <w:r>
        <w:t xml:space="preserve">Jussinniemi L et al. (2026). VLBW lung function in young adults.</w:t>
      </w:r>
      <w:r>
        <w:t xml:space="preserve"> </w:t>
      </w:r>
      <w:r>
        <w:rPr>
          <w:i/>
          <w:iCs/>
        </w:rPr>
        <w:t xml:space="preserve">Pediatr Res</w:t>
      </w:r>
      <w:r>
        <w:t xml:space="preserve">, 99:215-223. PMID: 40581701.</w:t>
      </w:r>
    </w:p>
    <w:p>
      <w:pPr>
        <w:pStyle w:val="BodyText"/>
      </w:pPr>
      <w:r>
        <w:t xml:space="preserve">Katsetos CD et al. (2001). Hypoxia-induced calbindin-D28k alterations in cerebellar Purkinje cells.</w:t>
      </w:r>
      <w:r>
        <w:t xml:space="preserve"> </w:t>
      </w:r>
      <w:r>
        <w:rPr>
          <w:i/>
          <w:iCs/>
        </w:rPr>
        <w:t xml:space="preserve">J Neuropathol Exp Neurol</w:t>
      </w:r>
      <w:r>
        <w:t xml:space="preserve">, 60:470-82.</w:t>
      </w:r>
    </w:p>
    <w:p>
      <w:pPr>
        <w:pStyle w:val="BodyText"/>
      </w:pPr>
      <w:r>
        <w:t xml:space="preserve">Knihtilä HM et al. (2023). Cord blood DNA methylation and preeclampsia — cardiovascular pathways.</w:t>
      </w:r>
      <w:r>
        <w:t xml:space="preserve"> </w:t>
      </w:r>
      <w:r>
        <w:rPr>
          <w:i/>
          <w:iCs/>
        </w:rPr>
        <w:t xml:space="preserve">EBioMedicine</w:t>
      </w:r>
      <w:r>
        <w:t xml:space="preserve">, 98:104890. PMID: 37995466.</w:t>
      </w:r>
    </w:p>
    <w:p>
      <w:pPr>
        <w:pStyle w:val="BodyText"/>
      </w:pPr>
      <w:r>
        <w:t xml:space="preserve">Kobayashi H et al. (2017). HIF-prolyl hydroxylation in FOXD1 cells essential for kidney development.</w:t>
      </w:r>
      <w:r>
        <w:t xml:space="preserve"> </w:t>
      </w:r>
      <w:r>
        <w:rPr>
          <w:i/>
          <w:iCs/>
        </w:rPr>
        <w:t xml:space="preserve">Kidney Int</w:t>
      </w:r>
      <w:r>
        <w:t xml:space="preserve">, 92:1370-1383.</w:t>
      </w:r>
    </w:p>
    <w:p>
      <w:pPr>
        <w:pStyle w:val="BodyText"/>
      </w:pPr>
      <w:r>
        <w:t xml:space="preserve">Kuchukhidze G et al. (2008). Ulegyria and hippocampal sclerosis.</w:t>
      </w:r>
      <w:r>
        <w:t xml:space="preserve"> </w:t>
      </w:r>
      <w:r>
        <w:rPr>
          <w:i/>
          <w:iCs/>
        </w:rPr>
        <w:t xml:space="preserve">J Neurol Neurosurg Psychiatry</w:t>
      </w:r>
      <w:r>
        <w:t xml:space="preserve">, 79:547-52. PMID: 17682014.</w:t>
      </w:r>
    </w:p>
    <w:p>
      <w:pPr>
        <w:pStyle w:val="BodyText"/>
      </w:pPr>
      <w:r>
        <w:t xml:space="preserve">Limperopoulos C et al. (2007). Cerebellar injury in premature infants and long-term disability.</w:t>
      </w:r>
      <w:r>
        <w:t xml:space="preserve"> </w:t>
      </w:r>
      <w:r>
        <w:rPr>
          <w:i/>
          <w:iCs/>
        </w:rPr>
        <w:t xml:space="preserve">Pediatrics</w:t>
      </w:r>
      <w:r>
        <w:t xml:space="preserve">, 120:584-93.</w:t>
      </w:r>
    </w:p>
    <w:p>
      <w:pPr>
        <w:pStyle w:val="BodyText"/>
      </w:pPr>
      <w:r>
        <w:t xml:space="preserve">Llurba Olive E et al. (2018). Oxygen and fetal development and congenital heart defects.</w:t>
      </w:r>
      <w:r>
        <w:t xml:space="preserve"> </w:t>
      </w:r>
      <w:r>
        <w:rPr>
          <w:i/>
          <w:iCs/>
        </w:rPr>
        <w:t xml:space="preserve">Birth Defects Res</w:t>
      </w:r>
      <w:r>
        <w:t xml:space="preserve">, 110:1517-1530.</w:t>
      </w:r>
    </w:p>
    <w:p>
      <w:pPr>
        <w:pStyle w:val="BodyText"/>
      </w:pPr>
      <w:r>
        <w:t xml:space="preserve">Luyckx VA, Brenner BM (2005). Low birth weight, nephron number, and kidney disease.</w:t>
      </w:r>
      <w:r>
        <w:t xml:space="preserve"> </w:t>
      </w:r>
      <w:r>
        <w:rPr>
          <w:i/>
          <w:iCs/>
        </w:rPr>
        <w:t xml:space="preserve">Kidney Int Suppl</w:t>
      </w:r>
      <w:r>
        <w:t xml:space="preserve">, 68:S68-77.</w:t>
      </w:r>
    </w:p>
    <w:p>
      <w:pPr>
        <w:pStyle w:val="BodyText"/>
      </w:pPr>
      <w:r>
        <w:t xml:space="preserve">Luyckx VA, Brenner BM (2015). Birth weight, malnutrition and kidney-associated outcomes.</w:t>
      </w:r>
      <w:r>
        <w:t xml:space="preserve"> </w:t>
      </w:r>
      <w:r>
        <w:rPr>
          <w:i/>
          <w:iCs/>
        </w:rPr>
        <w:t xml:space="preserve">Nat Rev Nephrol</w:t>
      </w:r>
      <w:r>
        <w:t xml:space="preserve">, 11:135-49.</w:t>
      </w:r>
    </w:p>
    <w:p>
      <w:pPr>
        <w:pStyle w:val="BodyText"/>
      </w:pPr>
      <w:r>
        <w:t xml:space="preserve">Luyckx VA, Brenner BM (2020). Clinical consequences of low nephron number.</w:t>
      </w:r>
      <w:r>
        <w:t xml:space="preserve"> </w:t>
      </w:r>
      <w:r>
        <w:rPr>
          <w:i/>
          <w:iCs/>
        </w:rPr>
        <w:t xml:space="preserve">Anat Rec</w:t>
      </w:r>
      <w:r>
        <w:t xml:space="preserve">, 303:2613-2631.</w:t>
      </w:r>
    </w:p>
    <w:p>
      <w:pPr>
        <w:pStyle w:val="BodyText"/>
      </w:pPr>
      <w:r>
        <w:t xml:space="preserve">Luyckx VA et al. (2013). Effect of fetal and child health on kidney development.</w:t>
      </w:r>
      <w:r>
        <w:t xml:space="preserve"> </w:t>
      </w:r>
      <w:r>
        <w:rPr>
          <w:i/>
          <w:iCs/>
        </w:rPr>
        <w:t xml:space="preserve">Lancet</w:t>
      </w:r>
      <w:r>
        <w:t xml:space="preserve">, 382:273-83.</w:t>
      </w:r>
    </w:p>
    <w:p>
      <w:pPr>
        <w:pStyle w:val="BodyText"/>
      </w:pPr>
      <w:r>
        <w:t xml:space="preserve">McClendon E et al. (2017). Subplate neuron maturation disrupted by transient hypoxemia.</w:t>
      </w:r>
      <w:r>
        <w:t xml:space="preserve"> </w:t>
      </w:r>
      <w:r>
        <w:rPr>
          <w:i/>
          <w:iCs/>
        </w:rPr>
        <w:t xml:space="preserve">J Neurosci</w:t>
      </w:r>
      <w:r>
        <w:t xml:space="preserve">, 37:11912-29.</w:t>
      </w:r>
    </w:p>
    <w:p>
      <w:pPr>
        <w:pStyle w:val="BodyText"/>
      </w:pPr>
      <w:r>
        <w:t xml:space="preserve">McDade TW (2012). Early environments and the ecology of inflammation.</w:t>
      </w:r>
      <w:r>
        <w:t xml:space="preserve"> </w:t>
      </w:r>
      <w:r>
        <w:rPr>
          <w:i/>
          <w:iCs/>
        </w:rPr>
        <w:t xml:space="preserve">Proc Natl Acad Sci</w:t>
      </w:r>
      <w:r>
        <w:t xml:space="preserve">, 109 Suppl 2:17281-8.</w:t>
      </w:r>
    </w:p>
    <w:p>
      <w:pPr>
        <w:pStyle w:val="BodyText"/>
      </w:pPr>
      <w:r>
        <w:t xml:space="preserve">McQuillen PS et al. (2003). Selective vulnerability of subplate neurons to early postnatal hypoxia-ischemia.</w:t>
      </w:r>
      <w:r>
        <w:t xml:space="preserve"> </w:t>
      </w:r>
      <w:r>
        <w:rPr>
          <w:i/>
          <w:iCs/>
        </w:rPr>
        <w:t xml:space="preserve">J Neurosci</w:t>
      </w:r>
      <w:r>
        <w:t xml:space="preserve">, 23:3308-15.</w:t>
      </w:r>
    </w:p>
    <w:p>
      <w:pPr>
        <w:pStyle w:val="BodyText"/>
      </w:pPr>
      <w:r>
        <w:t xml:space="preserve">Meyer K, Zhang L (2007). Fetal programming of cardiac function and disease.</w:t>
      </w:r>
      <w:r>
        <w:t xml:space="preserve"> </w:t>
      </w:r>
      <w:r>
        <w:rPr>
          <w:i/>
          <w:iCs/>
        </w:rPr>
        <w:t xml:space="preserve">Reprod Sci</w:t>
      </w:r>
      <w:r>
        <w:t xml:space="preserve">, 14:209-16.</w:t>
      </w:r>
    </w:p>
    <w:p>
      <w:pPr>
        <w:pStyle w:val="BodyText"/>
      </w:pPr>
      <w:r>
        <w:t xml:space="preserve">Nagano N, Morioka I (2025). Prenatal undernutrition and permanent metabolic changes.</w:t>
      </w:r>
      <w:r>
        <w:t xml:space="preserve"> </w:t>
      </w:r>
      <w:r>
        <w:rPr>
          <w:i/>
          <w:iCs/>
        </w:rPr>
        <w:t xml:space="preserve">Pediatr Int</w:t>
      </w:r>
      <w:r>
        <w:t xml:space="preserve">, 67:e70003. PMID: 40121559.</w:t>
      </w:r>
    </w:p>
    <w:p>
      <w:pPr>
        <w:pStyle w:val="BodyText"/>
      </w:pPr>
      <w:r>
        <w:t xml:space="preserve">Ohyu J, Takashima S (1998). MAP5 expression in preterm olivocerebellar degeneration.</w:t>
      </w:r>
      <w:r>
        <w:t xml:space="preserve"> </w:t>
      </w:r>
      <w:r>
        <w:rPr>
          <w:i/>
          <w:iCs/>
        </w:rPr>
        <w:t xml:space="preserve">Brain Dev</w:t>
      </w:r>
      <w:r>
        <w:t xml:space="preserve">, 20:22-6.</w:t>
      </w:r>
    </w:p>
    <w:p>
      <w:pPr>
        <w:pStyle w:val="BodyText"/>
      </w:pPr>
      <w:r>
        <w:t xml:space="preserve">Österman H et al. (2015). Chronic hypoxia reduces cardiomyocyte number.</w:t>
      </w:r>
      <w:r>
        <w:t xml:space="preserve"> </w:t>
      </w:r>
      <w:r>
        <w:rPr>
          <w:i/>
          <w:iCs/>
        </w:rPr>
        <w:t xml:space="preserve">Am J Physiol</w:t>
      </w:r>
      <w:r>
        <w:t xml:space="preserve">, 309:R1204-14.</w:t>
      </w:r>
    </w:p>
    <w:p>
      <w:pPr>
        <w:pStyle w:val="BodyText"/>
      </w:pPr>
      <w:r>
        <w:t xml:space="preserve">Ramond F et al. (2013). Intermittent hypoxia and oxidative stress in white matter.</w:t>
      </w:r>
      <w:r>
        <w:t xml:space="preserve"> </w:t>
      </w:r>
      <w:r>
        <w:rPr>
          <w:i/>
          <w:iCs/>
        </w:rPr>
        <w:t xml:space="preserve">J Cereb Blood Flow Metab</w:t>
      </w:r>
      <w:r>
        <w:t xml:space="preserve">, 33:1-9.</w:t>
      </w:r>
    </w:p>
    <w:p>
      <w:pPr>
        <w:pStyle w:val="BodyText"/>
      </w:pPr>
      <w:r>
        <w:t xml:space="preserve">Saarenpää HK et al. (2015). Lung function in very low birth weight adults.</w:t>
      </w:r>
      <w:r>
        <w:t xml:space="preserve"> </w:t>
      </w:r>
      <w:r>
        <w:rPr>
          <w:i/>
          <w:iCs/>
        </w:rPr>
        <w:t xml:space="preserve">Pediatrics</w:t>
      </w:r>
      <w:r>
        <w:t xml:space="preserve">, 136:642-50. PMID: 26347433.</w:t>
      </w:r>
    </w:p>
    <w:p>
      <w:pPr>
        <w:pStyle w:val="BodyText"/>
      </w:pPr>
      <w:r>
        <w:t xml:space="preserve">Saini Y et al. (2008). HIF-1α regulates alveolar epithelial differentiation.</w:t>
      </w:r>
      <w:r>
        <w:t xml:space="preserve"> </w:t>
      </w:r>
      <w:r>
        <w:rPr>
          <w:i/>
          <w:iCs/>
        </w:rPr>
        <w:t xml:space="preserve">Am J Physiol Lung Cell Mol Physiol</w:t>
      </w:r>
      <w:r>
        <w:t xml:space="preserve">, 295:L653-60.</w:t>
      </w:r>
    </w:p>
    <w:p>
      <w:pPr>
        <w:pStyle w:val="BodyText"/>
      </w:pPr>
      <w:r>
        <w:t xml:space="preserve">Schmidt-Kastner R, Freund TF (1991). Selective vulnerability of the hippocampus in brain ischemia.</w:t>
      </w:r>
      <w:r>
        <w:t xml:space="preserve"> </w:t>
      </w:r>
      <w:r>
        <w:rPr>
          <w:i/>
          <w:iCs/>
        </w:rPr>
        <w:t xml:space="preserve">Neuroscience</w:t>
      </w:r>
      <w:r>
        <w:t xml:space="preserve">, 40:599-636.</w:t>
      </w:r>
    </w:p>
    <w:p>
      <w:pPr>
        <w:pStyle w:val="BodyText"/>
      </w:pPr>
      <w:r>
        <w:t xml:space="preserve">Schwartz PH et al. (1992). A rat model of severe neonatal hypoxic-ischemic brain injury.</w:t>
      </w:r>
      <w:r>
        <w:t xml:space="preserve"> </w:t>
      </w:r>
      <w:r>
        <w:rPr>
          <w:i/>
          <w:iCs/>
        </w:rPr>
        <w:t xml:space="preserve">J Neuropathol Exp Neurol</w:t>
      </w:r>
      <w:r>
        <w:t xml:space="preserve">, 51:552-62.</w:t>
      </w:r>
    </w:p>
    <w:p>
      <w:pPr>
        <w:pStyle w:val="BodyText"/>
      </w:pPr>
      <w:r>
        <w:t xml:space="preserve">Stadler JT et al. (2023). EOPE vs LOPE lipid profiles.</w:t>
      </w:r>
      <w:r>
        <w:t xml:space="preserve"> </w:t>
      </w:r>
      <w:r>
        <w:rPr>
          <w:i/>
          <w:iCs/>
        </w:rPr>
        <w:t xml:space="preserve">Antioxidants</w:t>
      </w:r>
      <w:r>
        <w:t xml:space="preserve">, 12:795.</w:t>
      </w:r>
    </w:p>
    <w:p>
      <w:pPr>
        <w:pStyle w:val="BodyText"/>
      </w:pPr>
      <w:r>
        <w:t xml:space="preserve">Stone J et al. (1995). Development of retinal vasculature is mediated by hypoxia-induced VEGF expression.</w:t>
      </w:r>
      <w:r>
        <w:t xml:space="preserve"> </w:t>
      </w:r>
      <w:r>
        <w:rPr>
          <w:i/>
          <w:iCs/>
        </w:rPr>
        <w:t xml:space="preserve">J Neurosci</w:t>
      </w:r>
      <w:r>
        <w:t xml:space="preserve">, 15:4738-47.</w:t>
      </w:r>
    </w:p>
    <w:p>
      <w:pPr>
        <w:pStyle w:val="BodyText"/>
      </w:pPr>
      <w:r>
        <w:t xml:space="preserve">Thompson LP et al. (2018). Prenatal hypoxia impairs cardiac mitochondrial and ventricular function.</w:t>
      </w:r>
      <w:r>
        <w:t xml:space="preserve"> </w:t>
      </w:r>
      <w:r>
        <w:rPr>
          <w:i/>
          <w:iCs/>
        </w:rPr>
        <w:t xml:space="preserve">Am J Physiol</w:t>
      </w:r>
      <w:r>
        <w:t xml:space="preserve">, 315:R1232-R1241.</w:t>
      </w:r>
    </w:p>
    <w:p>
      <w:pPr>
        <w:pStyle w:val="BodyText"/>
      </w:pPr>
      <w:r>
        <w:t xml:space="preserve">van Hoorn JF et al. (2021). Early life risk factors and DCD.</w:t>
      </w:r>
      <w:r>
        <w:t xml:space="preserve"> </w:t>
      </w:r>
      <w:r>
        <w:rPr>
          <w:i/>
          <w:iCs/>
        </w:rPr>
        <w:t xml:space="preserve">Dev Med Child Neurol</w:t>
      </w:r>
      <w:r>
        <w:t xml:space="preserve">, 63:511-519. PMID: 33345317.</w:t>
      </w:r>
    </w:p>
    <w:p>
      <w:pPr>
        <w:pStyle w:val="BodyText"/>
      </w:pPr>
      <w:r>
        <w:t xml:space="preserve">Volpe JJ (2009a). Brain injury in premature infants.</w:t>
      </w:r>
      <w:r>
        <w:t xml:space="preserve"> </w:t>
      </w:r>
      <w:r>
        <w:rPr>
          <w:i/>
          <w:iCs/>
        </w:rPr>
        <w:t xml:space="preserve">Lancet Neurol</w:t>
      </w:r>
      <w:r>
        <w:t xml:space="preserve">, 8:110-24.</w:t>
      </w:r>
    </w:p>
    <w:p>
      <w:pPr>
        <w:pStyle w:val="BodyText"/>
      </w:pPr>
      <w:r>
        <w:t xml:space="preserve">Volpe JJ (2009b). Cerebellum of the premature infant.</w:t>
      </w:r>
      <w:r>
        <w:t xml:space="preserve"> </w:t>
      </w:r>
      <w:r>
        <w:rPr>
          <w:i/>
          <w:iCs/>
        </w:rPr>
        <w:t xml:space="preserve">J Child Neurol</w:t>
      </w:r>
      <w:r>
        <w:t xml:space="preserve">, 24:1085-1104.</w:t>
      </w:r>
    </w:p>
    <w:p>
      <w:pPr>
        <w:pStyle w:val="BodyText"/>
      </w:pPr>
      <w:r>
        <w:t xml:space="preserve">Watson CJ et al. (2014). Hypoxia-induced epigenetic modifications and cardiac fibrosis.</w:t>
      </w:r>
      <w:r>
        <w:t xml:space="preserve"> </w:t>
      </w:r>
      <w:r>
        <w:rPr>
          <w:i/>
          <w:iCs/>
        </w:rPr>
        <w:t xml:space="preserve">Hum Mol Genet</w:t>
      </w:r>
      <w:r>
        <w:t xml:space="preserve">, 23:2176-88. PMID: 24301681.</w:t>
      </w:r>
    </w:p>
    <w:p>
      <w:pPr>
        <w:pStyle w:val="BodyText"/>
      </w:pPr>
      <w:r>
        <w:t xml:space="preserve">Wellmann S et al. (2015). Simulated hypoxia and hyperoxia damage white matter.</w:t>
      </w:r>
      <w:r>
        <w:t xml:space="preserve"> </w:t>
      </w:r>
      <w:r>
        <w:rPr>
          <w:i/>
          <w:iCs/>
        </w:rPr>
        <w:t xml:space="preserve">Pediatr Res</w:t>
      </w:r>
      <w:r>
        <w:t xml:space="preserve">, 77:770-6.</w:t>
      </w:r>
    </w:p>
    <w:p>
      <w:pPr>
        <w:pStyle w:val="BodyText"/>
      </w:pPr>
      <w:r>
        <w:t xml:space="preserve">Wilson MJ et al. (2007). Greater uterine artery blood flow in multigenerational Andeans.</w:t>
      </w:r>
      <w:r>
        <w:t xml:space="preserve"> </w:t>
      </w:r>
      <w:r>
        <w:rPr>
          <w:i/>
          <w:iCs/>
        </w:rPr>
        <w:t xml:space="preserve">Am J Physiol</w:t>
      </w:r>
      <w:r>
        <w:t xml:space="preserve">, 293:R1313-24. PMID: 17581833.</w:t>
      </w:r>
    </w:p>
    <w:p>
      <w:pPr>
        <w:pStyle w:val="BodyText"/>
      </w:pPr>
      <w:r>
        <w:t xml:space="preserve">Zar Kyaw T et al. (2019). HIF3A methylation and birth weight-for-gestational age.</w:t>
      </w:r>
      <w:r>
        <w:t xml:space="preserve"> </w:t>
      </w:r>
      <w:r>
        <w:rPr>
          <w:i/>
          <w:iCs/>
        </w:rPr>
        <w:t xml:space="preserve">J Hum Genet</w:t>
      </w:r>
      <w:r>
        <w:t xml:space="preserve">, 64:795-801. PMID: 31138846.</w:t>
      </w:r>
    </w:p>
    <w:p>
      <w:pPr>
        <w:pStyle w:val="BodyText"/>
      </w:pPr>
      <w:r>
        <w:t xml:space="preserve">Zhang L (2005). Prenatal hypoxia and cardiac programming.</w:t>
      </w:r>
      <w:r>
        <w:t xml:space="preserve"> </w:t>
      </w:r>
      <w:r>
        <w:rPr>
          <w:i/>
          <w:iCs/>
        </w:rPr>
        <w:t xml:space="preserve">J Soc Gynecol Investig</w:t>
      </w:r>
      <w:r>
        <w:t xml:space="preserve">, 12:2-13.</w:t>
      </w:r>
    </w:p>
    <w:p>
      <w:r>
        <w:pict>
          <v:rect style="width:0;height:1.5pt" o:hralign="center" o:hrstd="t" o:hr="t"/>
        </w:pict>
      </w:r>
    </w:p>
    <w:p>
      <w:pPr>
        <w:pStyle w:val="FirstParagraph"/>
      </w:pPr>
      <w:r>
        <w:rPr>
          <w:i/>
          <w:iCs/>
        </w:rPr>
        <w:t xml:space="preserve">Correspondence: Jay Andrew Carpenter, jay.andrew.carpenter@gmail.com</w:t>
      </w:r>
    </w:p>
    <w:p>
      <w:pPr>
        <w:pStyle w:val="BodyText"/>
      </w:pPr>
      <w:r>
        <w:rPr>
          <w:i/>
          <w:iCs/>
        </w:rPr>
        <w:t xml:space="preserve">This paper extends the author’s gestational oxygen-timing alignment framework in white matter (Carpenter, 2026) to a general framework encompassing ten organ systems. All source data are curated at https://github.com/JustNothingJay/SECS_Research.</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2026-03-05T02:09:16Z</dcterms:created>
  <dcterms:modified xsi:type="dcterms:W3CDTF">2026-03-05T02:09:16Z</dcterms:modified>
</cp:coreProperties>
</file>

<file path=docProps/custom.xml><?xml version="1.0" encoding="utf-8"?>
<Properties xmlns="http://schemas.openxmlformats.org/officeDocument/2006/custom-properties" xmlns:vt="http://schemas.openxmlformats.org/officeDocument/2006/docPropsVTypes"/>
</file>