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Desarrollador (modo administrador)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Cada instrumento debe tener una ficha con: nombre, descripción, imagen, categoría y datos 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desarrollador crear un nuevo registro de instrumento, completando todos los campos obligatorios de la ficha y almacenándolos en la base de datos.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está autenticado en modo administrador.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gestión de instrumentos está disponible.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desarrollador ingresa al módulo de Gestión de instrumentos.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Registrar instrumento con los campos: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Nombre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Descripción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Categoría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Datos técnicos (p. ej., año, material)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Imagen (subida de archivo)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desarrollador completa todos los campos obligatorios y selecciona un archivo de imagen válido.</w:t>
              <w:br w:type="textWrapping"/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valida que:</w:t>
              <w:br w:type="textWrapping"/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Ningún campo obligatorio esté vacío.</w:t>
              <w:br w:type="textWrapping"/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imagen cumple el formato y tamaño permitidos.</w:t>
              <w:br w:type="textWrapping"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inserta un nuevo registro en la tabla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instrumento</w:t>
            </w:r>
            <w:r w:rsidDel="00000000" w:rsidR="00000000" w:rsidRPr="00000000">
              <w:rPr>
                <w:rtl w:val="0"/>
              </w:rPr>
              <w:t xml:space="preserve"> con los valores proporcionados.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confirma con el mensaje:  “Instrumento registrado con éxito.”</w:t>
              <w:br w:type="textWrapping"/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caso de uso finaliza.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crea un nuevo registro en 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instrumento</w:t>
            </w:r>
            <w:r w:rsidDel="00000000" w:rsidR="00000000" w:rsidRPr="00000000">
              <w:rPr>
                <w:rtl w:val="0"/>
              </w:rPr>
              <w:t xml:space="preserve"> con todos los campos completos.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ficha queda disponible para su consulta en los casos de uso de visualización.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registra la operación en el log de auditoría.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tabla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instrumento</w:t>
            </w:r>
            <w:r w:rsidDel="00000000" w:rsidR="00000000" w:rsidRPr="00000000">
              <w:rPr>
                <w:rtl w:val="0"/>
              </w:rPr>
              <w:t xml:space="preserve"> debe asegurar unicidad por nombre o mediante un identificador generado.</w:t>
              <w:br w:type="textWrapping"/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Punto de extensión: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{Asignar etiquetas}</w:t>
            </w:r>
            <w:r w:rsidDel="00000000" w:rsidR="00000000" w:rsidRPr="00000000">
              <w:rPr>
                <w:rtl w:val="0"/>
              </w:rPr>
              <w:t xml:space="preserve"> para categorizar aún más el instrumento.</w:t>
              <w:br w:type="textWrapping"/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 evitar duplicados, validar también en la capa de datos antes de la inserción.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