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3B1F6E"/>
          <w:sz w:val="64"/>
          <w:szCs w:val="64"/>
        </w:rPr>
        <w:t xml:space="preserve">RetailCast AI</w:t>
      </w:r>
    </w:p>
    <w:p>
      <w:pPr>
        <w:spacing w:after="120" w:before="0"/>
        <w:jc w:val="center"/>
      </w:pPr>
      <w:r>
        <w:rPr>
          <w:rFonts w:ascii="Arial" w:cs="Arial" w:eastAsia="Arial" w:hAnsi="Arial"/>
          <w:color w:val="6D3FC0"/>
          <w:sz w:val="36"/>
          <w:szCs w:val="36"/>
        </w:rPr>
        <w:t xml:space="preserve">AI/ML Models Implementation Plan</w:t>
      </w:r>
    </w:p>
    <w:p>
      <w:pPr>
        <w:spacing w:after="80" w:before="0"/>
        <w:jc w:val="center"/>
      </w:pPr>
      <w:r>
        <w:rPr>
          <w:rFonts w:ascii="Arial" w:cs="Arial" w:eastAsia="Arial" w:hAnsi="Arial"/>
          <w:i/>
          <w:iCs/>
          <w:color w:val="888888"/>
          <w:sz w:val="24"/>
          <w:szCs w:val="24"/>
        </w:rPr>
        <w:t xml:space="preserve">Document 2 of 2</w:t>
      </w:r>
    </w:p>
    <w:p>
      <w:pPr>
        <w:pBdr>
          <w:bottom w:val="single" w:color="CCCCCC" w:sz="6" w:space="1"/>
        </w:pBdr>
        <w:spacing w:after="120" w:before="120"/>
      </w:pPr>
      <w:r>
        <w:t xml:space="preserve"/>
      </w:r>
    </w:p>
    <w:p>
      <w:pPr>
        <w:spacing w:after="80" w:before="120"/>
        <w:jc w:val="center"/>
      </w:pPr>
      <w:r>
        <w:rPr>
          <w:rFonts w:ascii="Arial" w:cs="Arial" w:eastAsia="Arial" w:hAnsi="Arial"/>
          <w:color w:val="666666"/>
          <w:sz w:val="20"/>
          <w:szCs w:val="20"/>
        </w:rPr>
        <w:t xml:space="preserve">Version 1.0  |  March 11, 2026  |  Internal ML Engineering Use</w:t>
      </w:r>
    </w:p>
    <w:p>
      <w:r>
        <w:br w:type="page"/>
      </w:r>
    </w:p>
    <w:p>
      <w:pPr>
        <w:pStyle w:val="Heading1"/>
        <w:spacing w:after="120" w:before="360"/>
      </w:pPr>
      <w:r>
        <w:rPr>
          <w:rFonts w:ascii="Arial" w:cs="Arial" w:eastAsia="Arial" w:hAnsi="Arial"/>
          <w:b/>
          <w:bCs/>
          <w:color w:val="3B1F6E"/>
          <w:sz w:val="32"/>
          <w:szCs w:val="32"/>
        </w:rPr>
        <w:t xml:space="preserve">1. ML System Overview</w:t>
      </w:r>
    </w:p>
    <w:p>
      <w:pPr>
        <w:spacing w:after="80" w:before="80"/>
      </w:pPr>
      <w:r>
        <w:rPr>
          <w:rFonts w:ascii="Arial" w:cs="Arial" w:eastAsia="Arial" w:hAnsi="Arial"/>
          <w:sz w:val="22"/>
          <w:szCs w:val="22"/>
        </w:rPr>
        <w:t xml:space="preserve">This document specifies the design, training procedures, evaluation criteria, and integration contracts for every AI/ML model used in RetailCast AI. It is a companion to Document 1 (Backend &amp; Infrastructure). All models are registered in MLflow, served via the backend API server, and consumed by the React frontend through live API calls.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F0ED" w:val="clear"/>
            <w:tcMar>
              <w:top w:type="dxa" w:w="100"/>
              <w:left w:type="dxa" w:w="160"/>
              <w:bottom w:type="dxa" w:w="100"/>
              <w:right w:type="dxa" w:w="160"/>
            </w:tcMar>
          </w:tcPr>
          <w:p>
            <w:r>
              <w:rPr>
                <w:rFonts w:ascii="Arial" w:cs="Arial" w:eastAsia="Arial" w:hAnsi="Arial"/>
                <w:b/>
                <w:bCs/>
                <w:color w:val="3B1F6E"/>
                <w:sz w:val="20"/>
                <w:szCs w:val="20"/>
              </w:rPr>
              <w:t xml:space="preserve">Five Core AI Modules</w:t>
            </w:r>
          </w:p>
          <w:p>
            <w:r>
              <w:rPr>
                <w:rFonts w:ascii="Arial" w:cs="Arial" w:eastAsia="Arial" w:hAnsi="Arial"/>
                <w:sz w:val="20"/>
                <w:szCs w:val="20"/>
              </w:rPr>
              <w:t xml:space="preserve">Module 1: Baseline Demand Forecaster (CatBoost)  |  Module 2: Cross-Product GNN  |  Module 3: Causal Inference Engine  |  Module 4: RL Inventory Ordering Agent  |  Module 5: Federated Collaborative Forecasting</w:t>
            </w:r>
          </w:p>
        </w:tc>
      </w:tr>
    </w:tbl>
    <w:p>
      <w:pPr>
        <w:spacing w:after="60" w:before="60"/>
      </w:pPr>
      <w:r>
        <w:t xml:space="preserve"/>
      </w:r>
    </w:p>
    <w:p>
      <w:pPr>
        <w:pStyle w:val="Heading2"/>
        <w:spacing w:after="100" w:before="280"/>
      </w:pPr>
      <w:r>
        <w:rPr>
          <w:rFonts w:ascii="Arial" w:cs="Arial" w:eastAsia="Arial" w:hAnsi="Arial"/>
          <w:b/>
          <w:bCs/>
          <w:color w:val="6D3FC0"/>
          <w:sz w:val="26"/>
          <w:szCs w:val="26"/>
        </w:rPr>
        <w:t xml:space="preserve">1.1 Model Dependency Graph</w:t>
      </w:r>
    </w:p>
    <w:p>
      <w:pPr>
        <w:spacing w:after="80" w:before="80"/>
      </w:pPr>
      <w:r>
        <w:rPr>
          <w:rFonts w:ascii="Arial" w:cs="Arial" w:eastAsia="Arial" w:hAnsi="Arial"/>
          <w:sz w:val="22"/>
          <w:szCs w:val="22"/>
        </w:rPr>
        <w:t xml:space="preserve">The five modules are not independent — outputs from upstream models feed into downstream ones. Understanding this dependency is critical for correct pipeline ordering.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Module</w:t>
            </w:r>
          </w:p>
        </w:tc>
        <w:tc>
          <w:tcPr>
            <w:tcW w:type="dxa" w:w="24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Inputs From</w:t>
            </w:r>
          </w:p>
        </w:tc>
        <w:tc>
          <w:tcPr>
            <w:tcW w:type="dxa" w:w="24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Outputs To</w:t>
            </w:r>
          </w:p>
        </w:tc>
        <w:tc>
          <w:tcPr>
            <w:tcW w:type="dxa" w:w="256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Trigger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CatBoost Forecaster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engineering pipeline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2 (GNN), Module 4 (RL)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Post-upload + weekly retrain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Cross-Product GNN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Module 1 predictions, product graph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Adjusted forecasts to API</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Module 1 completes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Causal Inference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Promotion history, sales actuals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Causal effects to API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On-demand per promotion query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RL Ordering Agent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Module 2 forecasts, inventory levels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Order recommendations to API</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Daily + on forecast update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Federated Learning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Multi-stakeholder local models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model weights to Module 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 federated round</w:t>
            </w:r>
          </w:p>
        </w:tc>
      </w:tr>
    </w:tbl>
    <w:p>
      <w:pPr>
        <w:spacing w:after="60" w:before="60"/>
      </w:pPr>
      <w:r>
        <w:t xml:space="preserve"/>
      </w:r>
    </w:p>
    <w:p>
      <w:pPr>
        <w:pStyle w:val="Heading1"/>
        <w:spacing w:after="120" w:before="360"/>
      </w:pPr>
      <w:r>
        <w:rPr>
          <w:rFonts w:ascii="Arial" w:cs="Arial" w:eastAsia="Arial" w:hAnsi="Arial"/>
          <w:b/>
          <w:bCs/>
          <w:color w:val="3B1F6E"/>
          <w:sz w:val="32"/>
          <w:szCs w:val="32"/>
        </w:rPr>
        <w:t xml:space="preserve">2. Module 1 — Baseline Demand Forecaster</w:t>
      </w:r>
    </w:p>
    <w:p>
      <w:pPr>
        <w:pStyle w:val="Heading2"/>
        <w:spacing w:after="100" w:before="280"/>
      </w:pPr>
      <w:r>
        <w:rPr>
          <w:rFonts w:ascii="Arial" w:cs="Arial" w:eastAsia="Arial" w:hAnsi="Arial"/>
          <w:b/>
          <w:bCs/>
          <w:color w:val="6D3FC0"/>
          <w:sz w:val="26"/>
          <w:szCs w:val="26"/>
        </w:rPr>
        <w:t xml:space="preserve">2.1 Architecture &amp; Algorithm Choice</w:t>
      </w:r>
    </w:p>
    <w:p>
      <w:pPr>
        <w:spacing w:after="80" w:before="80"/>
      </w:pPr>
      <w:r>
        <w:rPr>
          <w:rFonts w:ascii="Arial" w:cs="Arial" w:eastAsia="Arial" w:hAnsi="Arial"/>
          <w:sz w:val="22"/>
          <w:szCs w:val="22"/>
        </w:rPr>
        <w:t xml:space="preserve">The primary forecasting engine uses CatBoost as the base learner, with an ensemble layer combining CatBoost, LightGBM, and an LSTM sequence model. CatBoost handles tabular features natively (categorical encoding, missing values), while LSTM captures long-range temporal dependencies that tree models miss.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60"/>
        <w:gridCol w:w="2000"/>
      </w:tblGrid>
      <w:tr>
        <w:tc>
          <w:tcPr>
            <w:tcW w:type="dxa" w:w="20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Component</w:t>
            </w:r>
          </w:p>
        </w:tc>
        <w:tc>
          <w:tcPr>
            <w:tcW w:type="dxa" w:w="28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Algorithm</w:t>
            </w:r>
          </w:p>
        </w:tc>
        <w:tc>
          <w:tcPr>
            <w:tcW w:type="dxa" w:w="256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Handles</w:t>
            </w:r>
          </w:p>
        </w:tc>
        <w:tc>
          <w:tcPr>
            <w:tcW w:type="dxa" w:w="20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Weight in Ensemble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Learner 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CatBoost (depth=8, lr=0.05)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Tabular features, categoricals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Base Learner B</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LightGBM (num_leaves=63)</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High-cardinality SKU features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0.30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Sequence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LSTM (2 layers, hidden=128)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Long-range seasonal patterns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Meta-Learner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Ridge Regression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Stacks A+B+LSTM outputs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Final layer</w:t>
            </w:r>
          </w:p>
        </w:tc>
      </w:tr>
    </w:tbl>
    <w:p>
      <w:pPr>
        <w:spacing w:after="60" w:before="60"/>
      </w:pPr>
      <w:r>
        <w:t xml:space="preserve"/>
      </w:r>
    </w:p>
    <w:p>
      <w:pPr>
        <w:pStyle w:val="Heading2"/>
        <w:spacing w:after="100" w:before="280"/>
      </w:pPr>
      <w:r>
        <w:rPr>
          <w:rFonts w:ascii="Arial" w:cs="Arial" w:eastAsia="Arial" w:hAnsi="Arial"/>
          <w:b/>
          <w:bCs/>
          <w:color w:val="6D3FC0"/>
          <w:sz w:val="26"/>
          <w:szCs w:val="26"/>
        </w:rPr>
        <w:t xml:space="preserve">2.2 Training Specification</w:t>
      </w:r>
    </w:p>
    <w:p>
      <w:pPr>
        <w:pStyle w:val="Heading3"/>
        <w:spacing w:after="80" w:before="200"/>
      </w:pPr>
      <w:r>
        <w:rPr>
          <w:rFonts w:ascii="Arial" w:cs="Arial" w:eastAsia="Arial" w:hAnsi="Arial"/>
          <w:b/>
          <w:bCs/>
          <w:color w:val="3B1F6E"/>
          <w:sz w:val="22"/>
          <w:szCs w:val="22"/>
        </w:rPr>
        <w:t xml:space="preserve">2.2.1 Training Data Requirements</w:t>
      </w:r>
    </w:p>
    <w:p>
      <w:pPr>
        <w:pStyle w:val="ListParagraph"/>
        <w:numPr>
          <w:ilvl w:val="0"/>
          <w:numId w:val="2"/>
        </w:numPr>
        <w:spacing w:after="60" w:before="60"/>
      </w:pPr>
      <w:r>
        <w:rPr>
          <w:rFonts w:ascii="Arial" w:cs="Arial" w:eastAsia="Arial" w:hAnsi="Arial"/>
          <w:sz w:val="22"/>
          <w:szCs w:val="22"/>
        </w:rPr>
        <w:t xml:space="preserve">Minimum 52 weeks of historical sales data per (store_id, product_id) pair</w:t>
      </w:r>
    </w:p>
    <w:p>
      <w:pPr>
        <w:pStyle w:val="ListParagraph"/>
        <w:numPr>
          <w:ilvl w:val="0"/>
          <w:numId w:val="2"/>
        </w:numPr>
        <w:spacing w:after="60" w:before="60"/>
      </w:pPr>
      <w:r>
        <w:rPr>
          <w:rFonts w:ascii="Arial" w:cs="Arial" w:eastAsia="Arial" w:hAnsi="Arial"/>
          <w:sz w:val="22"/>
          <w:szCs w:val="22"/>
        </w:rPr>
        <w:t xml:space="preserve">At minimum 80% of days must have non-zero sales (filter intermittent demand separately)</w:t>
      </w:r>
    </w:p>
    <w:p>
      <w:pPr>
        <w:pStyle w:val="ListParagraph"/>
        <w:numPr>
          <w:ilvl w:val="0"/>
          <w:numId w:val="2"/>
        </w:numPr>
        <w:spacing w:after="60" w:before="60"/>
      </w:pPr>
      <w:r>
        <w:rPr>
          <w:rFonts w:ascii="Arial" w:cs="Arial" w:eastAsia="Arial" w:hAnsi="Arial"/>
          <w:sz w:val="22"/>
          <w:szCs w:val="22"/>
        </w:rPr>
        <w:t xml:space="preserve">Censored demand imputation: when stock = 0 and sales = 0, impute demand using adjacent days</w:t>
      </w:r>
    </w:p>
    <w:p>
      <w:pPr>
        <w:pStyle w:val="ListParagraph"/>
        <w:numPr>
          <w:ilvl w:val="0"/>
          <w:numId w:val="2"/>
        </w:numPr>
        <w:spacing w:after="60" w:before="60"/>
      </w:pPr>
      <w:r>
        <w:rPr>
          <w:rFonts w:ascii="Arial" w:cs="Arial" w:eastAsia="Arial" w:hAnsi="Arial"/>
          <w:sz w:val="22"/>
          <w:szCs w:val="22"/>
        </w:rPr>
        <w:t xml:space="preserve">Train/validation/test split: 70% / 15% / 15% by time (never random split — data leakage risk)</w:t>
      </w:r>
    </w:p>
    <w:p>
      <w:pPr>
        <w:spacing w:after="60" w:before="60"/>
      </w:pPr>
      <w:r>
        <w:t xml:space="preserve"/>
      </w:r>
    </w:p>
    <w:p>
      <w:pPr>
        <w:pStyle w:val="Heading3"/>
        <w:spacing w:after="80" w:before="200"/>
      </w:pPr>
      <w:r>
        <w:rPr>
          <w:rFonts w:ascii="Arial" w:cs="Arial" w:eastAsia="Arial" w:hAnsi="Arial"/>
          <w:b/>
          <w:bCs/>
          <w:color w:val="3B1F6E"/>
          <w:sz w:val="22"/>
          <w:szCs w:val="22"/>
        </w:rPr>
        <w:t xml:space="preserve">2.2.2 Hyperparameter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960"/>
        <w:gridCol w:w="3000"/>
      </w:tblGrid>
      <w:tr>
        <w:tc>
          <w:tcPr>
            <w:tcW w:type="dxa" w:w="24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Parameter</w:t>
            </w:r>
          </w:p>
        </w:tc>
        <w:tc>
          <w:tcPr>
            <w:tcW w:type="dxa" w:w="20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Search Space</w:t>
            </w:r>
          </w:p>
        </w:tc>
        <w:tc>
          <w:tcPr>
            <w:tcW w:type="dxa" w:w="196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Method</w:t>
            </w:r>
          </w:p>
        </w:tc>
        <w:tc>
          <w:tcPr>
            <w:tcW w:type="dxa" w:w="30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Metric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CatBoost depth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6, 8, 10]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 search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MAPE on validation set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CatBoost learning_rate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[0.01, 0.05, 0.1]</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Grid search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LightGBM num_leaves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 63, 127]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 search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LSTM hidden_size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[64, 128, 256]</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Random search (10 trials)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Ensemble weights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Constrained to sum=1.0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Scipy minimize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WMAPE (weighted by volume)</w:t>
            </w:r>
          </w:p>
        </w:tc>
      </w:tr>
    </w:tbl>
    <w:p>
      <w:pPr>
        <w:spacing w:after="60" w:before="60"/>
      </w:pPr>
      <w:r>
        <w:t xml:space="preserve"/>
      </w:r>
    </w:p>
    <w:p>
      <w:pPr>
        <w:pStyle w:val="Heading2"/>
        <w:spacing w:after="100" w:before="280"/>
      </w:pPr>
      <w:r>
        <w:rPr>
          <w:rFonts w:ascii="Arial" w:cs="Arial" w:eastAsia="Arial" w:hAnsi="Arial"/>
          <w:b/>
          <w:bCs/>
          <w:color w:val="6D3FC0"/>
          <w:sz w:val="26"/>
          <w:szCs w:val="26"/>
        </w:rPr>
        <w:t xml:space="preserve">2.3 Multi-Horizon Prediction</w:t>
      </w:r>
    </w:p>
    <w:p>
      <w:pPr>
        <w:spacing w:after="80" w:before="80"/>
      </w:pPr>
      <w:r>
        <w:rPr>
          <w:rFonts w:ascii="Arial" w:cs="Arial" w:eastAsia="Arial" w:hAnsi="Arial"/>
          <w:sz w:val="22"/>
          <w:szCs w:val="22"/>
        </w:rPr>
        <w:t xml:space="preserve">The forecaster must produce predictions for three horizons simultaneously: t+7 (short), t+14 (medium), and t+30 (long). Each horizon uses a separate CatBoost model trained on the appropriate lag features. The LSTM is shared across horizons with a multi-output head.</w:t>
      </w:r>
    </w:p>
    <w:p>
      <w:pPr>
        <w:spacing w:after="60" w:before="60"/>
      </w:pPr>
      <w:r>
        <w:t xml:space="preserve"/>
      </w:r>
    </w:p>
    <w:p>
      <w:pPr>
        <w:pStyle w:val="Heading2"/>
        <w:spacing w:after="100" w:before="280"/>
      </w:pPr>
      <w:r>
        <w:rPr>
          <w:rFonts w:ascii="Arial" w:cs="Arial" w:eastAsia="Arial" w:hAnsi="Arial"/>
          <w:b/>
          <w:bCs/>
          <w:color w:val="6D3FC0"/>
          <w:sz w:val="26"/>
          <w:szCs w:val="26"/>
        </w:rPr>
        <w:t xml:space="preserve">2.4 Uncertainty Quantification (Conformal Prediction)</w:t>
      </w:r>
    </w:p>
    <w:p>
      <w:pPr>
        <w:spacing w:after="80" w:before="80"/>
      </w:pPr>
      <w:r>
        <w:rPr>
          <w:rFonts w:ascii="Arial" w:cs="Arial" w:eastAsia="Arial" w:hAnsi="Arial"/>
          <w:sz w:val="22"/>
          <w:szCs w:val="22"/>
        </w:rPr>
        <w:t xml:space="preserve">Prediction intervals are produced using MAPIE (Model Agnostic Prediction Interval Estimator), implementing split conformal prediction. This provides statistically valid coverage guarantees without distributional assumptions.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F0ED" w:val="clear"/>
            <w:tcMar>
              <w:top w:type="dxa" w:w="100"/>
              <w:left w:type="dxa" w:w="160"/>
              <w:bottom w:type="dxa" w:w="100"/>
              <w:right w:type="dxa" w:w="160"/>
            </w:tcMar>
          </w:tcPr>
          <w:p>
            <w:r>
              <w:rPr>
                <w:rFonts w:ascii="Arial" w:cs="Arial" w:eastAsia="Arial" w:hAnsi="Arial"/>
                <w:b/>
                <w:bCs/>
                <w:color w:val="3B1F6E"/>
                <w:sz w:val="20"/>
                <w:szCs w:val="20"/>
              </w:rPr>
              <w:t xml:space="preserve">Conformal Prediction Coverage Target</w:t>
            </w:r>
          </w:p>
          <w:p>
            <w:r>
              <w:rPr>
                <w:rFonts w:ascii="Arial" w:cs="Arial" w:eastAsia="Arial" w:hAnsi="Arial"/>
                <w:sz w:val="20"/>
                <w:szCs w:val="20"/>
              </w:rPr>
              <w:t xml:space="preserve">90% nominal coverage (alpha=0.10). The lower_bound and upper_bound fields in the API response are MAPIE conformal intervals, not simple standard deviation bands. Validated by checking empirical coverage on held-out test set.</w:t>
            </w:r>
          </w:p>
        </w:tc>
      </w:tr>
    </w:tbl>
    <w:p>
      <w:pPr>
        <w:spacing w:after="60" w:before="60"/>
      </w:pPr>
      <w:r>
        <w:t xml:space="preserve"/>
      </w:r>
    </w:p>
    <w:p>
      <w:pPr>
        <w:pStyle w:val="Heading2"/>
        <w:spacing w:after="100" w:before="280"/>
      </w:pPr>
      <w:r>
        <w:rPr>
          <w:rFonts w:ascii="Arial" w:cs="Arial" w:eastAsia="Arial" w:hAnsi="Arial"/>
          <w:b/>
          <w:bCs/>
          <w:color w:val="6D3FC0"/>
          <w:sz w:val="26"/>
          <w:szCs w:val="26"/>
        </w:rPr>
        <w:t xml:space="preserve">2.5 Evaluation Metrics &amp; Acceptance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60"/>
        <w:gridCol w:w="2600"/>
      </w:tblGrid>
      <w:tr>
        <w:tc>
          <w:tcPr>
            <w:tcW w:type="dxa" w:w="16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Metric</w:t>
            </w:r>
          </w:p>
        </w:tc>
        <w:tc>
          <w:tcPr>
            <w:tcW w:type="dxa" w:w="28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Formula</w:t>
            </w:r>
          </w:p>
        </w:tc>
        <w:tc>
          <w:tcPr>
            <w:tcW w:type="dxa" w:w="236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Acceptance Threshold</w:t>
            </w:r>
          </w:p>
        </w:tc>
        <w:tc>
          <w:tcPr>
            <w:tcW w:type="dxa" w:w="26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mean(|actual - pred| / actual)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8% on test set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Exclude zero-sales days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WMAPE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sum(|actual - pred|) / sum(actual)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6%</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Volume-weighted; primary KPI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RMSE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sqrt(mean((actual-pred)^2))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Context-dependent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for model comparison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Coverage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of actuals in PI</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88% (target 90%)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 conformal intervals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mean(pred - actual) / mean(actual)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 absolute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for systematic over/underforecast</w:t>
            </w:r>
          </w:p>
        </w:tc>
      </w:tr>
    </w:tbl>
    <w:p>
      <w:pPr>
        <w:spacing w:after="60" w:before="60"/>
      </w:pPr>
      <w:r>
        <w:t xml:space="preserve"/>
      </w:r>
    </w:p>
    <w:p>
      <w:pPr>
        <w:pStyle w:val="Heading1"/>
        <w:spacing w:after="120" w:before="360"/>
      </w:pPr>
      <w:r>
        <w:rPr>
          <w:rFonts w:ascii="Arial" w:cs="Arial" w:eastAsia="Arial" w:hAnsi="Arial"/>
          <w:b/>
          <w:bCs/>
          <w:color w:val="3B1F6E"/>
          <w:sz w:val="32"/>
          <w:szCs w:val="32"/>
        </w:rPr>
        <w:t xml:space="preserve">3. Module 2 — Cross-Product GNN</w:t>
      </w:r>
    </w:p>
    <w:p>
      <w:pPr>
        <w:pStyle w:val="Heading2"/>
        <w:spacing w:after="100" w:before="280"/>
      </w:pPr>
      <w:r>
        <w:rPr>
          <w:rFonts w:ascii="Arial" w:cs="Arial" w:eastAsia="Arial" w:hAnsi="Arial"/>
          <w:b/>
          <w:bCs/>
          <w:color w:val="6D3FC0"/>
          <w:sz w:val="26"/>
          <w:szCs w:val="26"/>
        </w:rPr>
        <w:t xml:space="preserve">3.1 Graph Construction</w:t>
      </w:r>
    </w:p>
    <w:p>
      <w:pPr>
        <w:spacing w:after="80" w:before="80"/>
      </w:pPr>
      <w:r>
        <w:rPr>
          <w:rFonts w:ascii="Arial" w:cs="Arial" w:eastAsia="Arial" w:hAnsi="Arial"/>
          <w:sz w:val="22"/>
          <w:szCs w:val="22"/>
        </w:rPr>
        <w:t xml:space="preserve">The product relationship graph has products as nodes and demand interactions as edges. The graph is constructed from three data sources: co-purchase transaction logs, expert-defined complement/substitute pairs, and learned correlations from sales history.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360"/>
        <w:gridCol w:w="2400"/>
      </w:tblGrid>
      <w:tr>
        <w:tc>
          <w:tcPr>
            <w:tcW w:type="dxa" w:w="18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Edge Type</w:t>
            </w:r>
          </w:p>
        </w:tc>
        <w:tc>
          <w:tcPr>
            <w:tcW w:type="dxa" w:w="28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Construction Method</w:t>
            </w:r>
          </w:p>
        </w:tc>
        <w:tc>
          <w:tcPr>
            <w:tcW w:type="dxa" w:w="236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Edge Weight</w:t>
            </w:r>
          </w:p>
        </w:tc>
        <w:tc>
          <w:tcPr>
            <w:tcW w:type="dxa" w:w="24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Direction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Co-purchase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basket analysis (Apriori, min_support=0.01)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Lift score normalized [0,1]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Undirected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Complement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Expert taxonomy + correlation &gt; 0.6</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 0.4–0.9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Undirected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Substitute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cross-elasticity estimation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Elasticity magnitude [0,1]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Bidirectional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Stockout cascade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Granger causality test (p &lt; 0.05)</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Causality coefficient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Directed</w:t>
            </w:r>
          </w:p>
        </w:tc>
      </w:tr>
    </w:tbl>
    <w:p>
      <w:pPr>
        <w:spacing w:after="60" w:before="60"/>
      </w:pPr>
      <w:r>
        <w:t xml:space="preserve"/>
      </w:r>
    </w:p>
    <w:p>
      <w:pPr>
        <w:pStyle w:val="Heading2"/>
        <w:spacing w:after="100" w:before="280"/>
      </w:pPr>
      <w:r>
        <w:rPr>
          <w:rFonts w:ascii="Arial" w:cs="Arial" w:eastAsia="Arial" w:hAnsi="Arial"/>
          <w:b/>
          <w:bCs/>
          <w:color w:val="6D3FC0"/>
          <w:sz w:val="26"/>
          <w:szCs w:val="26"/>
        </w:rPr>
        <w:t xml:space="preserve">3.2 GNN Architecture</w:t>
      </w:r>
    </w:p>
    <w:p>
      <w:pPr>
        <w:spacing w:after="80" w:before="80"/>
      </w:pPr>
      <w:r>
        <w:rPr>
          <w:rFonts w:ascii="Arial" w:cs="Arial" w:eastAsia="Arial" w:hAnsi="Arial"/>
          <w:sz w:val="22"/>
          <w:szCs w:val="22"/>
        </w:rPr>
        <w:t xml:space="preserve">The GNN uses a three-layer architecture combining Graph Attention Networks (GAT) for interpretable edge weighting, GraphSAGE for scalable neighborhood aggregation, and a temporal component via Gated Recurrent Units (GRU) to handle evolving product relationships.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F0ED" w:val="clear"/>
            <w:tcMar>
              <w:top w:type="dxa" w:w="100"/>
              <w:left w:type="dxa" w:w="160"/>
              <w:bottom w:type="dxa" w:w="100"/>
              <w:right w:type="dxa" w:w="160"/>
            </w:tcMar>
          </w:tcPr>
          <w:p>
            <w:r>
              <w:rPr>
                <w:rFonts w:ascii="Arial" w:cs="Arial" w:eastAsia="Arial" w:hAnsi="Arial"/>
                <w:b/>
                <w:bCs/>
                <w:color w:val="3B1F6E"/>
                <w:sz w:val="20"/>
                <w:szCs w:val="20"/>
              </w:rPr>
              <w:t xml:space="preserve">Architecture Summary</w:t>
            </w:r>
          </w:p>
          <w:p>
            <w:r>
              <w:rPr>
                <w:rFonts w:ascii="Arial" w:cs="Arial" w:eastAsia="Arial" w:hAnsi="Arial"/>
                <w:sz w:val="20"/>
                <w:szCs w:val="20"/>
              </w:rPr>
              <w:t xml:space="preserve">Input: Node features (CatBoost demand forecast + product metadata, dim=64)  |  Layer 1: GAT (8 attention heads, out_dim=32)  |  Layer 2: GraphSAGE (aggregator=mean, out_dim=32)  |  Layer 3: GRU over 4-week rolling window (hidden=64)  |  Output: Adjusted demand scalar per node</w:t>
            </w:r>
          </w:p>
        </w:tc>
      </w:tr>
    </w:tbl>
    <w:p>
      <w:pPr>
        <w:spacing w:after="60" w:before="60"/>
      </w:pPr>
      <w:r>
        <w:t xml:space="preserve"/>
      </w:r>
    </w:p>
    <w:p>
      <w:pPr>
        <w:pStyle w:val="Heading2"/>
        <w:spacing w:after="100" w:before="280"/>
      </w:pPr>
      <w:r>
        <w:rPr>
          <w:rFonts w:ascii="Arial" w:cs="Arial" w:eastAsia="Arial" w:hAnsi="Arial"/>
          <w:b/>
          <w:bCs/>
          <w:color w:val="6D3FC0"/>
          <w:sz w:val="26"/>
          <w:szCs w:val="26"/>
        </w:rPr>
        <w:t xml:space="preserve">3.3 Training Objective</w:t>
      </w:r>
    </w:p>
    <w:p>
      <w:pPr>
        <w:spacing w:after="80" w:before="80"/>
      </w:pPr>
      <w:r>
        <w:rPr>
          <w:rFonts w:ascii="Arial" w:cs="Arial" w:eastAsia="Arial" w:hAnsi="Arial"/>
          <w:sz w:val="22"/>
          <w:szCs w:val="22"/>
        </w:rPr>
        <w:t xml:space="preserve">The GNN is trained to minimize the weighted sum of two losses: the primary demand prediction loss (Huber loss) and a graph consistency regularization term that penalizes predictions violating known substitute/complement constraints.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1000"/>
        <w:gridCol w:w="2800"/>
      </w:tblGrid>
      <w:tr>
        <w:tc>
          <w:tcPr>
            <w:tcW w:type="dxa" w:w="22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Loss Component</w:t>
            </w:r>
          </w:p>
        </w:tc>
        <w:tc>
          <w:tcPr>
            <w:tcW w:type="dxa" w:w="336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Formula</w:t>
            </w:r>
          </w:p>
        </w:tc>
        <w:tc>
          <w:tcPr>
            <w:tcW w:type="dxa" w:w="10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Weight</w:t>
            </w:r>
          </w:p>
        </w:tc>
        <w:tc>
          <w:tcPr>
            <w:tcW w:type="dxa" w:w="28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Demand prediction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Huber(y_pred, y_actual, delta=1.35)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Robust to outliers in sales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Complement constraint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ReLU(pred_A - pred_B) when A,B complement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Complementary items should co-move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Substitute constraint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ReLU(pred_A + pred_B - sum_baseline) when substitute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Substitutes share demand pool</w:t>
            </w:r>
          </w:p>
        </w:tc>
      </w:tr>
    </w:tbl>
    <w:p>
      <w:pPr>
        <w:spacing w:after="60" w:before="60"/>
      </w:pPr>
      <w:r>
        <w:t xml:space="preserve"/>
      </w:r>
    </w:p>
    <w:p>
      <w:pPr>
        <w:pStyle w:val="Heading2"/>
        <w:spacing w:after="100" w:before="280"/>
      </w:pPr>
      <w:r>
        <w:rPr>
          <w:rFonts w:ascii="Arial" w:cs="Arial" w:eastAsia="Arial" w:hAnsi="Arial"/>
          <w:b/>
          <w:bCs/>
          <w:color w:val="6D3FC0"/>
          <w:sz w:val="26"/>
          <w:szCs w:val="26"/>
        </w:rPr>
        <w:t xml:space="preserve">3.4 Stockout Scenario Handling</w:t>
      </w:r>
    </w:p>
    <w:p>
      <w:pPr>
        <w:spacing w:after="80" w:before="80"/>
      </w:pPr>
      <w:r>
        <w:rPr>
          <w:rFonts w:ascii="Arial" w:cs="Arial" w:eastAsia="Arial" w:hAnsi="Arial"/>
          <w:sz w:val="22"/>
          <w:szCs w:val="22"/>
        </w:rPr>
        <w:t xml:space="preserve">When a product is out of stock, the GNN re-routes its expected demand to substitutes. The rerouting magnitude is proportional to the substitute edge weight and a learned rerouting coefficient trained on historical stockout events.</w:t>
      </w:r>
    </w:p>
    <w:p>
      <w:pPr>
        <w:spacing w:after="60" w:before="60"/>
      </w:pPr>
      <w:r>
        <w:t xml:space="preserve"/>
      </w:r>
    </w:p>
    <w:p>
      <w:pPr>
        <w:pStyle w:val="Heading2"/>
        <w:spacing w:after="100" w:before="280"/>
      </w:pPr>
      <w:r>
        <w:rPr>
          <w:rFonts w:ascii="Arial" w:cs="Arial" w:eastAsia="Arial" w:hAnsi="Arial"/>
          <w:b/>
          <w:bCs/>
          <w:color w:val="6D3FC0"/>
          <w:sz w:val="26"/>
          <w:szCs w:val="26"/>
        </w:rPr>
        <w:t xml:space="preserve">3.5 Frontend Integration</w:t>
      </w:r>
    </w:p>
    <w:p>
      <w:pPr>
        <w:spacing w:after="80" w:before="80"/>
      </w:pPr>
      <w:r>
        <w:rPr>
          <w:rFonts w:ascii="Arial" w:cs="Arial" w:eastAsia="Arial" w:hAnsi="Arial"/>
          <w:sz w:val="22"/>
          <w:szCs w:val="22"/>
        </w:rPr>
        <w:t xml:space="preserve">The product graph API endpoint (GET /api/v1/graph/products) returns the live node positions, edge types, and weights that the ProductGraph.tsx SVG visualization renders. Node x/y positions are computed using a force-directed layout algorithm (NetworkX spring_layout) run once after graph construction.</w:t>
      </w:r>
    </w:p>
    <w:p>
      <w:pPr>
        <w:spacing w:after="60" w:before="60"/>
      </w:pPr>
      <w:r>
        <w:t xml:space="preserve"/>
      </w:r>
    </w:p>
    <w:p>
      <w:pPr>
        <w:pStyle w:val="Heading1"/>
        <w:spacing w:after="120" w:before="360"/>
      </w:pPr>
      <w:r>
        <w:rPr>
          <w:rFonts w:ascii="Arial" w:cs="Arial" w:eastAsia="Arial" w:hAnsi="Arial"/>
          <w:b/>
          <w:bCs/>
          <w:color w:val="3B1F6E"/>
          <w:sz w:val="32"/>
          <w:szCs w:val="32"/>
        </w:rPr>
        <w:t xml:space="preserve">4. Module 3 — Causal Inference Engine</w:t>
      </w:r>
    </w:p>
    <w:p>
      <w:pPr>
        <w:pStyle w:val="Heading2"/>
        <w:spacing w:after="100" w:before="280"/>
      </w:pPr>
      <w:r>
        <w:rPr>
          <w:rFonts w:ascii="Arial" w:cs="Arial" w:eastAsia="Arial" w:hAnsi="Arial"/>
          <w:b/>
          <w:bCs/>
          <w:color w:val="6D3FC0"/>
          <w:sz w:val="26"/>
          <w:szCs w:val="26"/>
        </w:rPr>
        <w:t xml:space="preserve">4.1 Purpose &amp; Problem Framing</w:t>
      </w:r>
    </w:p>
    <w:p>
      <w:pPr>
        <w:spacing w:after="80" w:before="80"/>
      </w:pPr>
      <w:r>
        <w:rPr>
          <w:rFonts w:ascii="Arial" w:cs="Arial" w:eastAsia="Arial" w:hAnsi="Arial"/>
          <w:sz w:val="22"/>
          <w:szCs w:val="22"/>
        </w:rPr>
        <w:t xml:space="preserve">The causal inference module answers the counterfactual question: 'What would sales have been without this promotion?' Standard correlation-based analysis cannot answer this; we require causal identification strategies to estimate the Average Treatment Effect (ATE) of each promotional intervention.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F0ED" w:val="clear"/>
            <w:tcMar>
              <w:top w:type="dxa" w:w="100"/>
              <w:left w:type="dxa" w:w="160"/>
              <w:bottom w:type="dxa" w:w="100"/>
              <w:right w:type="dxa" w:w="160"/>
            </w:tcMar>
          </w:tcPr>
          <w:p>
            <w:r>
              <w:rPr>
                <w:rFonts w:ascii="Arial" w:cs="Arial" w:eastAsia="Arial" w:hAnsi="Arial"/>
                <w:b/>
                <w:bCs/>
                <w:color w:val="3B1F6E"/>
                <w:sz w:val="20"/>
                <w:szCs w:val="20"/>
              </w:rPr>
              <w:t xml:space="preserve">Causal Estimand</w:t>
            </w:r>
          </w:p>
          <w:p>
            <w:r>
              <w:rPr>
                <w:rFonts w:ascii="Arial" w:cs="Arial" w:eastAsia="Arial" w:hAnsi="Arial"/>
                <w:sz w:val="20"/>
                <w:szCs w:val="20"/>
              </w:rPr>
              <w:t xml:space="preserve">ATE = E[Y(1) - Y(0)]  where Y(1) = sales with promotion, Y(0) = counterfactual sales without. This is identified using the backdoor adjustment criterion on the learned causal graph.</w:t>
            </w:r>
          </w:p>
        </w:tc>
      </w:tr>
    </w:tbl>
    <w:p>
      <w:pPr>
        <w:spacing w:after="60" w:before="60"/>
      </w:pPr>
      <w:r>
        <w:t xml:space="preserve"/>
      </w:r>
    </w:p>
    <w:p>
      <w:pPr>
        <w:pStyle w:val="Heading2"/>
        <w:spacing w:after="100" w:before="280"/>
      </w:pPr>
      <w:r>
        <w:rPr>
          <w:rFonts w:ascii="Arial" w:cs="Arial" w:eastAsia="Arial" w:hAnsi="Arial"/>
          <w:b/>
          <w:bCs/>
          <w:color w:val="6D3FC0"/>
          <w:sz w:val="26"/>
          <w:szCs w:val="26"/>
        </w:rPr>
        <w:t xml:space="preserve">4.2 Causal Graph Learning</w:t>
      </w:r>
    </w:p>
    <w:p>
      <w:pPr>
        <w:spacing w:after="80" w:before="80"/>
      </w:pPr>
      <w:r>
        <w:rPr>
          <w:rFonts w:ascii="Arial" w:cs="Arial" w:eastAsia="Arial" w:hAnsi="Arial"/>
          <w:sz w:val="22"/>
          <w:szCs w:val="22"/>
        </w:rPr>
        <w:t xml:space="preserve">The causal graph structure is learned from observational data using the PC algorithm (constraint-based) and validated against domain knowledge. NOTEARS (differentiable DAG learning) is used as a secondary method; results are intersected for high-confidence edges only.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c>
          <w:tcPr>
            <w:tcW w:type="dxa" w:w="24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Variable</w:t>
            </w:r>
          </w:p>
        </w:tc>
        <w:tc>
          <w:tcPr>
            <w:tcW w:type="dxa" w:w="18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Type</w:t>
            </w:r>
          </w:p>
        </w:tc>
        <w:tc>
          <w:tcPr>
            <w:tcW w:type="dxa" w:w="20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Role in Graph</w:t>
            </w:r>
          </w:p>
        </w:tc>
        <w:tc>
          <w:tcPr>
            <w:tcW w:type="dxa" w:w="316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promotion_active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treatment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Exposure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Randomization not guaranteed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sales_qty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Continuous outcome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outcome variable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 confounder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Confounder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Correlated with both promo and sales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season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Categorical confounder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Confounder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Must adjust for seasonality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competitor_promo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confounder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Confounder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factor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store_baseline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Continuous covariate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Effect modifier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Per-store average demand</w:t>
            </w:r>
          </w:p>
        </w:tc>
      </w:tr>
    </w:tbl>
    <w:p>
      <w:pPr>
        <w:spacing w:after="60" w:before="60"/>
      </w:pPr>
      <w:r>
        <w:t xml:space="preserve"/>
      </w:r>
    </w:p>
    <w:p>
      <w:pPr>
        <w:pStyle w:val="Heading2"/>
        <w:spacing w:after="100" w:before="280"/>
      </w:pPr>
      <w:r>
        <w:rPr>
          <w:rFonts w:ascii="Arial" w:cs="Arial" w:eastAsia="Arial" w:hAnsi="Arial"/>
          <w:b/>
          <w:bCs/>
          <w:color w:val="6D3FC0"/>
          <w:sz w:val="26"/>
          <w:szCs w:val="26"/>
        </w:rPr>
        <w:t xml:space="preserve">4.3 Estimation Methods (Ensemble of Three)</w:t>
      </w:r>
    </w:p>
    <w:p>
      <w:pPr>
        <w:pStyle w:val="ListParagraph"/>
        <w:numPr>
          <w:ilvl w:val="0"/>
          <w:numId w:val="3"/>
        </w:numPr>
        <w:spacing w:after="60" w:before="60"/>
      </w:pPr>
      <w:r>
        <w:rPr>
          <w:rFonts w:ascii="Arial" w:cs="Arial" w:eastAsia="Arial" w:hAnsi="Arial"/>
          <w:sz w:val="22"/>
          <w:szCs w:val="22"/>
        </w:rPr>
        <w:t xml:space="preserve">Propensity Score Matching (DoWhy + sklearn): Match promoted periods to similar non-promoted periods by store, season, and baseline demand. Estimate ATE as mean outcome difference in matched pairs.</w:t>
      </w:r>
    </w:p>
    <w:p>
      <w:pPr>
        <w:pStyle w:val="ListParagraph"/>
        <w:numPr>
          <w:ilvl w:val="0"/>
          <w:numId w:val="3"/>
        </w:numPr>
        <w:spacing w:after="60" w:before="60"/>
      </w:pPr>
      <w:r>
        <w:rPr>
          <w:rFonts w:ascii="Arial" w:cs="Arial" w:eastAsia="Arial" w:hAnsi="Arial"/>
          <w:sz w:val="22"/>
          <w:szCs w:val="22"/>
        </w:rPr>
        <w:t xml:space="preserve">Double Machine Learning (EconML DML): Use CatBoost to partial out confounders from both treatment and outcome, then estimate causal effect from residuals. Provides confidence intervals.</w:t>
      </w:r>
    </w:p>
    <w:p>
      <w:pPr>
        <w:pStyle w:val="ListParagraph"/>
        <w:numPr>
          <w:ilvl w:val="0"/>
          <w:numId w:val="3"/>
        </w:numPr>
        <w:spacing w:after="60" w:before="60"/>
      </w:pPr>
      <w:r>
        <w:rPr>
          <w:rFonts w:ascii="Arial" w:cs="Arial" w:eastAsia="Arial" w:hAnsi="Arial"/>
          <w:sz w:val="22"/>
          <w:szCs w:val="22"/>
        </w:rPr>
        <w:t xml:space="preserve">Difference-in-Differences (DiD): Compare stores running promotion vs. control stores before/after promotion. Requires parallel trends assumption; tested via pre-period placebo test.</w:t>
      </w:r>
    </w:p>
    <w:p>
      <w:pPr>
        <w:spacing w:after="60" w:before="60"/>
      </w:pPr>
      <w:r>
        <w:t xml:space="preserve"/>
      </w:r>
    </w:p>
    <w:p>
      <w:pPr>
        <w:spacing w:after="80" w:before="80"/>
      </w:pPr>
      <w:r>
        <w:rPr>
          <w:rFonts w:ascii="Arial" w:cs="Arial" w:eastAsia="Arial" w:hAnsi="Arial"/>
          <w:sz w:val="22"/>
          <w:szCs w:val="22"/>
        </w:rPr>
        <w:t xml:space="preserve">Final causal effect estimate is the inverse-variance weighted average of the three methods. If estimates diverge by &gt; 10 percentage points, a warning flag is set in the API response.</w:t>
      </w:r>
    </w:p>
    <w:p>
      <w:pPr>
        <w:spacing w:after="60" w:before="60"/>
      </w:pPr>
      <w:r>
        <w:t xml:space="preserve"/>
      </w:r>
    </w:p>
    <w:p>
      <w:pPr>
        <w:pStyle w:val="Heading2"/>
        <w:spacing w:after="100" w:before="280"/>
      </w:pPr>
      <w:r>
        <w:rPr>
          <w:rFonts w:ascii="Arial" w:cs="Arial" w:eastAsia="Arial" w:hAnsi="Arial"/>
          <w:b/>
          <w:bCs/>
          <w:color w:val="6D3FC0"/>
          <w:sz w:val="26"/>
          <w:szCs w:val="26"/>
        </w:rPr>
        <w:t xml:space="preserve">4.4 API Response Schema (Promotion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160"/>
        <w:gridCol w:w="2200"/>
      </w:tblGrid>
      <w:tr>
        <w:tc>
          <w:tcPr>
            <w:tcW w:type="dxa" w:w="24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Field</w:t>
            </w:r>
          </w:p>
        </w:tc>
        <w:tc>
          <w:tcPr>
            <w:tcW w:type="dxa" w:w="16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Type</w:t>
            </w:r>
          </w:p>
        </w:tc>
        <w:tc>
          <w:tcPr>
            <w:tcW w:type="dxa" w:w="316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Description</w:t>
            </w:r>
          </w:p>
        </w:tc>
        <w:tc>
          <w:tcPr>
            <w:tcW w:type="dxa" w:w="22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lift_pct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Estimated % sales increase due to promo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confidence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float (0–1)</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Statistical confidence (1 - p-value)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0.91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causal_effect_units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Absolute incremental units sold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342.0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baseline_sales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float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Counterfactual (no-promo) estimate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1860.0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with_promo_sales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Predicted sales with promo active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2202.0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method_agreement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bool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True if all 3 methods agree within 10%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confounders_adjusted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list[str]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Variables partialled 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["price","season","store_baseline"]</w:t>
            </w:r>
          </w:p>
        </w:tc>
      </w:tr>
    </w:tbl>
    <w:p>
      <w:pPr>
        <w:spacing w:after="60" w:before="60"/>
      </w:pPr>
      <w:r>
        <w:t xml:space="preserve"/>
      </w:r>
    </w:p>
    <w:p>
      <w:pPr>
        <w:pStyle w:val="Heading1"/>
        <w:spacing w:after="120" w:before="360"/>
      </w:pPr>
      <w:r>
        <w:rPr>
          <w:rFonts w:ascii="Arial" w:cs="Arial" w:eastAsia="Arial" w:hAnsi="Arial"/>
          <w:b/>
          <w:bCs/>
          <w:color w:val="3B1F6E"/>
          <w:sz w:val="32"/>
          <w:szCs w:val="32"/>
        </w:rPr>
        <w:t xml:space="preserve">5. Module 4 — Reinforcement Learning Ordering Agent</w:t>
      </w:r>
    </w:p>
    <w:p>
      <w:pPr>
        <w:pStyle w:val="Heading2"/>
        <w:spacing w:after="100" w:before="280"/>
      </w:pPr>
      <w:r>
        <w:rPr>
          <w:rFonts w:ascii="Arial" w:cs="Arial" w:eastAsia="Arial" w:hAnsi="Arial"/>
          <w:b/>
          <w:bCs/>
          <w:color w:val="6D3FC0"/>
          <w:sz w:val="26"/>
          <w:szCs w:val="26"/>
        </w:rPr>
        <w:t xml:space="preserve">5.1 MDP Formulation</w:t>
      </w:r>
    </w:p>
    <w:p>
      <w:pPr>
        <w:spacing w:after="80" w:before="80"/>
      </w:pPr>
      <w:r>
        <w:rPr>
          <w:rFonts w:ascii="Arial" w:cs="Arial" w:eastAsia="Arial" w:hAnsi="Arial"/>
          <w:sz w:val="22"/>
          <w:szCs w:val="22"/>
        </w:rPr>
        <w:t xml:space="preserve">The inventory ordering problem is formulated as a Markov Decision Process (MDP). The RL agent learns a policy mapping from observed state to optimal order quantity, trained to minimize total supply chain cost (stockout penalty + holding cost) over a planning horizon.</w:t>
      </w:r>
    </w:p>
    <w:p>
      <w:pPr>
        <w:spacing w:after="60" w:before="60"/>
      </w:pPr>
      <w:r>
        <w:t xml:space="preserve"/>
      </w:r>
    </w:p>
    <w:p>
      <w:pPr>
        <w:pStyle w:val="Heading3"/>
        <w:spacing w:after="80" w:before="200"/>
      </w:pPr>
      <w:r>
        <w:rPr>
          <w:rFonts w:ascii="Arial" w:cs="Arial" w:eastAsia="Arial" w:hAnsi="Arial"/>
          <w:b/>
          <w:bCs/>
          <w:color w:val="3B1F6E"/>
          <w:sz w:val="22"/>
          <w:szCs w:val="22"/>
        </w:rPr>
        <w:t xml:space="preserve">5.1.1 State Space (18-dimensional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760"/>
        <w:gridCol w:w="3600"/>
      </w:tblGrid>
      <w:tr>
        <w:tc>
          <w:tcPr>
            <w:tcW w:type="dxa" w:w="28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State Feature</w:t>
            </w:r>
          </w:p>
        </w:tc>
        <w:tc>
          <w:tcPr>
            <w:tcW w:type="dxa" w:w="12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Dimension</w:t>
            </w:r>
          </w:p>
        </w:tc>
        <w:tc>
          <w:tcPr>
            <w:tcW w:type="dxa" w:w="176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Range</w:t>
            </w:r>
          </w:p>
        </w:tc>
        <w:tc>
          <w:tcPr>
            <w:tcW w:type="dxa" w:w="36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current_inventory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max_capacity]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Normalized units on hand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demand_forecast_t1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 max_demand]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Next-day demand (Module 2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demand_forecast_t7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max_demand]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7-day cumulative demand forecast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demand_forecast_t14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 max_demand]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14-day cumulative demand forecast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days_until_stockout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30]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current inventory / avg demand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stockout_history_7d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 7]</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stockout days in past week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lead_time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14]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Supplier lead time in days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holding_cost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$/unit/day (from user settings)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stockout_cost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shortage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week_of_year_sin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1]</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Sine encoding of seasonality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week_of_year_cos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Cosine encoding of seasonality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is_pre_holiday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 1]</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if within 7 days of holiday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recent_sales_velocity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max_demand] x6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7/14/21/28/35/42-day avg sales</w:t>
            </w:r>
          </w:p>
        </w:tc>
      </w:tr>
    </w:tbl>
    <w:p>
      <w:pPr>
        <w:spacing w:after="60" w:before="60"/>
      </w:pPr>
      <w:r>
        <w:t xml:space="preserve"/>
      </w:r>
    </w:p>
    <w:p>
      <w:pPr>
        <w:pStyle w:val="Heading3"/>
        <w:spacing w:after="80" w:before="200"/>
      </w:pPr>
      <w:r>
        <w:rPr>
          <w:rFonts w:ascii="Arial" w:cs="Arial" w:eastAsia="Arial" w:hAnsi="Arial"/>
          <w:b/>
          <w:bCs/>
          <w:color w:val="3B1F6E"/>
          <w:sz w:val="22"/>
          <w:szCs w:val="22"/>
        </w:rPr>
        <w:t xml:space="preserve">5.1.2 Action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F0ED" w:val="clear"/>
            <w:tcMar>
              <w:top w:type="dxa" w:w="100"/>
              <w:left w:type="dxa" w:w="160"/>
              <w:bottom w:type="dxa" w:w="100"/>
              <w:right w:type="dxa" w:w="160"/>
            </w:tcMar>
          </w:tcPr>
          <w:p>
            <w:r>
              <w:rPr>
                <w:rFonts w:ascii="Arial" w:cs="Arial" w:eastAsia="Arial" w:hAnsi="Arial"/>
                <w:b/>
                <w:bCs/>
                <w:color w:val="3B1F6E"/>
                <w:sz w:val="20"/>
                <w:szCs w:val="20"/>
              </w:rPr>
              <w:t xml:space="preserve">Action Design</w:t>
            </w:r>
          </w:p>
          <w:p>
            <w:r>
              <w:rPr>
                <w:rFonts w:ascii="Arial" w:cs="Arial" w:eastAsia="Arial" w:hAnsi="Arial"/>
                <w:sz w:val="20"/>
                <w:szCs w:val="20"/>
              </w:rPr>
              <w:t xml:space="preserve">Continuous: order_quantity in [0, 3 x mean_weekly_demand]. Discretized into 20 bins for DQN experiments; continuous for PPO/SAC. The agent outputs a normalized action in [-1, 1] which is linearly scaled to order quantity.</w:t>
            </w:r>
          </w:p>
        </w:tc>
      </w:tr>
    </w:tbl>
    <w:p>
      <w:pPr>
        <w:spacing w:after="60" w:before="60"/>
      </w:pPr>
      <w:r>
        <w:t xml:space="preserve"/>
      </w:r>
    </w:p>
    <w:p>
      <w:pPr>
        <w:pStyle w:val="Heading3"/>
        <w:spacing w:after="80" w:before="200"/>
      </w:pPr>
      <w:r>
        <w:rPr>
          <w:rFonts w:ascii="Arial" w:cs="Arial" w:eastAsia="Arial" w:hAnsi="Arial"/>
          <w:b/>
          <w:bCs/>
          <w:color w:val="3B1F6E"/>
          <w:sz w:val="22"/>
          <w:szCs w:val="22"/>
        </w:rPr>
        <w:t xml:space="preserve">5.1.3 Reward Function</w:t>
      </w:r>
    </w:p>
    <w:p>
      <w:pPr>
        <w:spacing w:after="80" w:before="80"/>
      </w:pPr>
      <w:r>
        <w:rPr>
          <w:rFonts w:ascii="Arial" w:cs="Arial" w:eastAsia="Arial" w:hAnsi="Arial"/>
          <w:sz w:val="22"/>
          <w:szCs w:val="22"/>
        </w:rPr>
        <w:t xml:space="preserve">The reward at each timestep penalizes both stockouts (lost sales revenue) and over-ordering (holding cost). A small order cost penalty discourages excessive ordering frequency.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F0ED" w:val="clear"/>
            <w:tcMar>
              <w:top w:type="dxa" w:w="100"/>
              <w:left w:type="dxa" w:w="160"/>
              <w:bottom w:type="dxa" w:w="100"/>
              <w:right w:type="dxa" w:w="160"/>
            </w:tcMar>
          </w:tcPr>
          <w:p>
            <w:r>
              <w:rPr>
                <w:rFonts w:ascii="Arial" w:cs="Arial" w:eastAsia="Arial" w:hAnsi="Arial"/>
                <w:b/>
                <w:bCs/>
                <w:color w:val="3B1F6E"/>
                <w:sz w:val="20"/>
                <w:szCs w:val="20"/>
              </w:rPr>
              <w:t xml:space="preserve">Reward Formula</w:t>
            </w:r>
          </w:p>
          <w:p>
            <w:r>
              <w:rPr>
                <w:rFonts w:ascii="Arial" w:cs="Arial" w:eastAsia="Arial" w:hAnsi="Arial"/>
                <w:sz w:val="20"/>
                <w:szCs w:val="20"/>
              </w:rPr>
              <w:t xml:space="preserve">R(t) = - [ stockout_cost x max(0, demand(t) - inventory(t)) + holding_cost x max(0, inventory(t) - demand(t)) + order_cost x 1(order_qty &gt; 0) ]</w:t>
            </w:r>
          </w:p>
        </w:tc>
      </w:tr>
    </w:tbl>
    <w:p>
      <w:pPr>
        <w:spacing w:after="60" w:before="60"/>
      </w:pPr>
      <w:r>
        <w:t xml:space="preserve"/>
      </w:r>
    </w:p>
    <w:p>
      <w:pPr>
        <w:pStyle w:val="Heading2"/>
        <w:spacing w:after="100" w:before="280"/>
      </w:pPr>
      <w:r>
        <w:rPr>
          <w:rFonts w:ascii="Arial" w:cs="Arial" w:eastAsia="Arial" w:hAnsi="Arial"/>
          <w:b/>
          <w:bCs/>
          <w:color w:val="6D3FC0"/>
          <w:sz w:val="26"/>
          <w:szCs w:val="26"/>
        </w:rPr>
        <w:t xml:space="preserve">5.2 Algorithm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1960"/>
        <w:gridCol w:w="1200"/>
      </w:tblGrid>
      <w:tr>
        <w:tc>
          <w:tcPr>
            <w:tcW w:type="dxa" w:w="22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Algorithm</w:t>
            </w:r>
          </w:p>
        </w:tc>
        <w:tc>
          <w:tcPr>
            <w:tcW w:type="dxa" w:w="18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Type</w:t>
            </w:r>
          </w:p>
        </w:tc>
        <w:tc>
          <w:tcPr>
            <w:tcW w:type="dxa" w:w="22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Pros</w:t>
            </w:r>
          </w:p>
        </w:tc>
        <w:tc>
          <w:tcPr>
            <w:tcW w:type="dxa" w:w="196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Cons</w:t>
            </w:r>
          </w:p>
        </w:tc>
        <w:tc>
          <w:tcPr>
            <w:tcW w:type="dxa" w:w="12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Use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PPO (Proximal Policy Optimization)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On-policy Actor-Critic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Stable, sample-efficient, well-tuned defaults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Slower wall-clock than off-policy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production algorithm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SAC (Soft Actor-Critic)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Off-policy, entropy-maximizing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Best sample efficiency, good exploration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Hyperparameter-sensitive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High-frequency reorder SKUs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TD3 (Twin Delayed DDPG)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Off-policy, deterministic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variance, handles continuous actions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Slower convergence than SAC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Stability-critical items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Offline RL (IQL)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Offline from historical data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environment interaction needed</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Distribution shift risk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Cold start before live deployment</w:t>
            </w:r>
          </w:p>
        </w:tc>
      </w:tr>
    </w:tbl>
    <w:p>
      <w:pPr>
        <w:spacing w:after="60" w:before="60"/>
      </w:pPr>
      <w:r>
        <w:t xml:space="preserve"/>
      </w:r>
    </w:p>
    <w:p>
      <w:pPr>
        <w:pStyle w:val="Heading2"/>
        <w:spacing w:after="100" w:before="280"/>
      </w:pPr>
      <w:r>
        <w:rPr>
          <w:rFonts w:ascii="Arial" w:cs="Arial" w:eastAsia="Arial" w:hAnsi="Arial"/>
          <w:b/>
          <w:bCs/>
          <w:color w:val="6D3FC0"/>
          <w:sz w:val="26"/>
          <w:szCs w:val="26"/>
        </w:rPr>
        <w:t xml:space="preserve">5.3 Training Pipeline</w:t>
      </w:r>
    </w:p>
    <w:p>
      <w:pPr>
        <w:pStyle w:val="ListParagraph"/>
        <w:numPr>
          <w:ilvl w:val="0"/>
          <w:numId w:val="3"/>
        </w:numPr>
        <w:spacing w:after="60" w:before="60"/>
      </w:pPr>
      <w:r>
        <w:rPr>
          <w:rFonts w:ascii="Arial" w:cs="Arial" w:eastAsia="Arial" w:hAnsi="Arial"/>
          <w:sz w:val="22"/>
          <w:szCs w:val="22"/>
        </w:rPr>
        <w:t xml:space="preserve">Offline pre-training: Train Implicit Q-Learning (IQL) on 2 years of historical (state, action, reward, next_state) tuples derived from actual order history</w:t>
      </w:r>
    </w:p>
    <w:p>
      <w:pPr>
        <w:pStyle w:val="ListParagraph"/>
        <w:numPr>
          <w:ilvl w:val="0"/>
          <w:numId w:val="3"/>
        </w:numPr>
        <w:spacing w:after="60" w:before="60"/>
      </w:pPr>
      <w:r>
        <w:rPr>
          <w:rFonts w:ascii="Arial" w:cs="Arial" w:eastAsia="Arial" w:hAnsi="Arial"/>
          <w:sz w:val="22"/>
          <w:szCs w:val="22"/>
        </w:rPr>
        <w:t xml:space="preserve">Simulation environment: Build a discrete-event simulator (SimPy) that replays historical demand with stochastic noise (sigma=10% of mean). This is the RL training environment.</w:t>
      </w:r>
    </w:p>
    <w:p>
      <w:pPr>
        <w:pStyle w:val="ListParagraph"/>
        <w:numPr>
          <w:ilvl w:val="0"/>
          <w:numId w:val="3"/>
        </w:numPr>
        <w:spacing w:after="60" w:before="60"/>
      </w:pPr>
      <w:r>
        <w:rPr>
          <w:rFonts w:ascii="Arial" w:cs="Arial" w:eastAsia="Arial" w:hAnsi="Arial"/>
          <w:sz w:val="22"/>
          <w:szCs w:val="22"/>
        </w:rPr>
        <w:t xml:space="preserve">Online fine-tuning: After offline pre-training, PPO fine-tunes on the simulator for 500,000 steps per SKU cluster (group SKUs by demand pattern to reduce compute)</w:t>
      </w:r>
    </w:p>
    <w:p>
      <w:pPr>
        <w:pStyle w:val="ListParagraph"/>
        <w:numPr>
          <w:ilvl w:val="0"/>
          <w:numId w:val="3"/>
        </w:numPr>
        <w:spacing w:after="60" w:before="60"/>
      </w:pPr>
      <w:r>
        <w:rPr>
          <w:rFonts w:ascii="Arial" w:cs="Arial" w:eastAsia="Arial" w:hAnsi="Arial"/>
          <w:sz w:val="22"/>
          <w:szCs w:val="22"/>
        </w:rPr>
        <w:t xml:space="preserve">Safety constraints: Clip order quantities to [min_order, max_warehouse_capacity]. Penalize the agent heavily if inventory exceeds capacity (infeasible action masking)</w:t>
      </w:r>
    </w:p>
    <w:p>
      <w:pPr>
        <w:pStyle w:val="ListParagraph"/>
        <w:numPr>
          <w:ilvl w:val="0"/>
          <w:numId w:val="3"/>
        </w:numPr>
        <w:spacing w:after="60" w:before="60"/>
      </w:pPr>
      <w:r>
        <w:rPr>
          <w:rFonts w:ascii="Arial" w:cs="Arial" w:eastAsia="Arial" w:hAnsi="Arial"/>
          <w:sz w:val="22"/>
          <w:szCs w:val="22"/>
        </w:rPr>
        <w:t xml:space="preserve">Policy evaluation: Run 1,000 simulator episodes; report mean cumulative reward, stockout rate, average holding cost</w:t>
      </w:r>
    </w:p>
    <w:p>
      <w:pPr>
        <w:spacing w:after="60" w:before="60"/>
      </w:pPr>
      <w:r>
        <w:t xml:space="preserve"/>
      </w:r>
    </w:p>
    <w:p>
      <w:pPr>
        <w:pStyle w:val="Heading2"/>
        <w:spacing w:after="100" w:before="280"/>
      </w:pPr>
      <w:r>
        <w:rPr>
          <w:rFonts w:ascii="Arial" w:cs="Arial" w:eastAsia="Arial" w:hAnsi="Arial"/>
          <w:b/>
          <w:bCs/>
          <w:color w:val="6D3FC0"/>
          <w:sz w:val="26"/>
          <w:szCs w:val="26"/>
        </w:rPr>
        <w:t xml:space="preserve">5.4 Integration with Frontend</w:t>
      </w:r>
    </w:p>
    <w:p>
      <w:pPr>
        <w:spacing w:after="80" w:before="80"/>
      </w:pPr>
      <w:r>
        <w:rPr>
          <w:rFonts w:ascii="Arial" w:cs="Arial" w:eastAsia="Arial" w:hAnsi="Arial"/>
          <w:sz w:val="22"/>
          <w:szCs w:val="22"/>
        </w:rPr>
        <w:t xml:space="preserve">The RL policy output maps directly to the InventoryRecommendations page. Each row in the 'Recommended Orders' table corresponds to one RL agent decision. The urgency badge (critical/high/medium/low) is derived from days_until_stockout from the state vector.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API Field</w:t>
            </w:r>
          </w:p>
        </w:tc>
        <w:tc>
          <w:tcPr>
            <w:tcW w:type="dxa" w:w="396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RL Source</w:t>
            </w:r>
          </w:p>
        </w:tc>
        <w:tc>
          <w:tcPr>
            <w:tcW w:type="dxa" w:w="30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Frontend Display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sku</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feature: sku_id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SKU column in table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action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Mapped from order_qty &gt; 0 ? 'Order Now' : 'Hold'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Action column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 entropy normalized: 1 - H(pi) / log(|A|)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 % column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expected_saving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Baseline cost - RL policy cost (simulated)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Expected Saving column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urgency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Derived: days_until_stockout &lt; 3 = critical, &lt;7 = high, &lt;14 = medium, else 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Urgency badge</w:t>
            </w:r>
          </w:p>
        </w:tc>
      </w:tr>
    </w:tbl>
    <w:p>
      <w:pPr>
        <w:spacing w:after="60" w:before="60"/>
      </w:pPr>
      <w:r>
        <w:t xml:space="preserve"/>
      </w:r>
    </w:p>
    <w:p>
      <w:pPr>
        <w:pStyle w:val="Heading1"/>
        <w:spacing w:after="120" w:before="360"/>
      </w:pPr>
      <w:r>
        <w:rPr>
          <w:rFonts w:ascii="Arial" w:cs="Arial" w:eastAsia="Arial" w:hAnsi="Arial"/>
          <w:b/>
          <w:bCs/>
          <w:color w:val="3B1F6E"/>
          <w:sz w:val="32"/>
          <w:szCs w:val="32"/>
        </w:rPr>
        <w:t xml:space="preserve">6. Module 5 — Federated Collaborative Forecasting</w:t>
      </w:r>
    </w:p>
    <w:p>
      <w:pPr>
        <w:pStyle w:val="Heading2"/>
        <w:spacing w:after="100" w:before="280"/>
      </w:pPr>
      <w:r>
        <w:rPr>
          <w:rFonts w:ascii="Arial" w:cs="Arial" w:eastAsia="Arial" w:hAnsi="Arial"/>
          <w:b/>
          <w:bCs/>
          <w:color w:val="6D3FC0"/>
          <w:sz w:val="26"/>
          <w:szCs w:val="26"/>
        </w:rPr>
        <w:t xml:space="preserve">6.1 Architecture Overview</w:t>
      </w:r>
    </w:p>
    <w:p>
      <w:pPr>
        <w:spacing w:after="80" w:before="80"/>
      </w:pPr>
      <w:r>
        <w:rPr>
          <w:rFonts w:ascii="Arial" w:cs="Arial" w:eastAsia="Arial" w:hAnsi="Arial"/>
          <w:sz w:val="22"/>
          <w:szCs w:val="22"/>
        </w:rPr>
        <w:t xml:space="preserve">The federated learning module enables multiple supply chain stakeholders (retailers, suppliers, logistics providers) to collaboratively improve the CatBoost forecasting model without sharing raw sales data. Each party trains locally; only model gradient updates are shared with a central aggregation server.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FL Component</w:t>
            </w:r>
          </w:p>
        </w:tc>
        <w:tc>
          <w:tcPr>
            <w:tcW w:type="dxa" w:w="336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Technology</w:t>
            </w:r>
          </w:p>
        </w:tc>
        <w:tc>
          <w:tcPr>
            <w:tcW w:type="dxa" w:w="40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 Framework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PySyft 0.8 + TensorFlow Federated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Orchestration and aggregation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Local Training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CatBoost on party-private data</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Train model locally per round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FedAvg (weighted by dataset size)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Combine gradient updates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Privacy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DP-SGD (epsilon=1.0, delta=1e-5)</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calibrated noise to gradients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gRPC over mTLS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Secure gradient transmission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Personalization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Local fine-tuning after global aggregation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Party-specific demand patterns</w:t>
            </w:r>
          </w:p>
        </w:tc>
      </w:tr>
    </w:tbl>
    <w:p>
      <w:pPr>
        <w:spacing w:after="60" w:before="60"/>
      </w:pPr>
      <w:r>
        <w:t xml:space="preserve"/>
      </w:r>
    </w:p>
    <w:p>
      <w:pPr>
        <w:pStyle w:val="Heading2"/>
        <w:spacing w:after="100" w:before="280"/>
      </w:pPr>
      <w:r>
        <w:rPr>
          <w:rFonts w:ascii="Arial" w:cs="Arial" w:eastAsia="Arial" w:hAnsi="Arial"/>
          <w:b/>
          <w:bCs/>
          <w:color w:val="6D3FC0"/>
          <w:sz w:val="26"/>
          <w:szCs w:val="26"/>
        </w:rPr>
        <w:t xml:space="preserve">6.2 Federated Round Protocol</w:t>
      </w:r>
    </w:p>
    <w:p>
      <w:pPr>
        <w:pStyle w:val="ListParagraph"/>
        <w:numPr>
          <w:ilvl w:val="0"/>
          <w:numId w:val="3"/>
        </w:numPr>
        <w:spacing w:after="60" w:before="60"/>
      </w:pPr>
      <w:r>
        <w:rPr>
          <w:rFonts w:ascii="Arial" w:cs="Arial" w:eastAsia="Arial" w:hAnsi="Arial"/>
          <w:sz w:val="22"/>
          <w:szCs w:val="22"/>
        </w:rPr>
        <w:t xml:space="preserve">Global model (CatBoost weights) distributed to all registered parties</w:t>
      </w:r>
    </w:p>
    <w:p>
      <w:pPr>
        <w:pStyle w:val="ListParagraph"/>
        <w:numPr>
          <w:ilvl w:val="0"/>
          <w:numId w:val="3"/>
        </w:numPr>
        <w:spacing w:after="60" w:before="60"/>
      </w:pPr>
      <w:r>
        <w:rPr>
          <w:rFonts w:ascii="Arial" w:cs="Arial" w:eastAsia="Arial" w:hAnsi="Arial"/>
          <w:sz w:val="22"/>
          <w:szCs w:val="22"/>
        </w:rPr>
        <w:t xml:space="preserve">Each party runs local_epochs=3 of gradient descent on private data</w:t>
      </w:r>
    </w:p>
    <w:p>
      <w:pPr>
        <w:pStyle w:val="ListParagraph"/>
        <w:numPr>
          <w:ilvl w:val="0"/>
          <w:numId w:val="3"/>
        </w:numPr>
        <w:spacing w:after="60" w:before="60"/>
      </w:pPr>
      <w:r>
        <w:rPr>
          <w:rFonts w:ascii="Arial" w:cs="Arial" w:eastAsia="Arial" w:hAnsi="Arial"/>
          <w:sz w:val="22"/>
          <w:szCs w:val="22"/>
        </w:rPr>
        <w:t xml:space="preserve">DP-SGD clips gradients to L2 norm &lt;= 1.0, adds Gaussian noise</w:t>
      </w:r>
    </w:p>
    <w:p>
      <w:pPr>
        <w:pStyle w:val="ListParagraph"/>
        <w:numPr>
          <w:ilvl w:val="0"/>
          <w:numId w:val="3"/>
        </w:numPr>
        <w:spacing w:after="60" w:before="60"/>
      </w:pPr>
      <w:r>
        <w:rPr>
          <w:rFonts w:ascii="Arial" w:cs="Arial" w:eastAsia="Arial" w:hAnsi="Arial"/>
          <w:sz w:val="22"/>
          <w:szCs w:val="22"/>
        </w:rPr>
        <w:t xml:space="preserve">Parties send encrypted gradient updates to central aggregation server</w:t>
      </w:r>
    </w:p>
    <w:p>
      <w:pPr>
        <w:pStyle w:val="ListParagraph"/>
        <w:numPr>
          <w:ilvl w:val="0"/>
          <w:numId w:val="3"/>
        </w:numPr>
        <w:spacing w:after="60" w:before="60"/>
      </w:pPr>
      <w:r>
        <w:rPr>
          <w:rFonts w:ascii="Arial" w:cs="Arial" w:eastAsia="Arial" w:hAnsi="Arial"/>
          <w:sz w:val="22"/>
          <w:szCs w:val="22"/>
        </w:rPr>
        <w:t xml:space="preserve">Server applies FedAvg: global_grad = sum(n_i / N * grad_i)</w:t>
      </w:r>
    </w:p>
    <w:p>
      <w:pPr>
        <w:pStyle w:val="ListParagraph"/>
        <w:numPr>
          <w:ilvl w:val="0"/>
          <w:numId w:val="3"/>
        </w:numPr>
        <w:spacing w:after="60" w:before="60"/>
      </w:pPr>
      <w:r>
        <w:rPr>
          <w:rFonts w:ascii="Arial" w:cs="Arial" w:eastAsia="Arial" w:hAnsi="Arial"/>
          <w:sz w:val="22"/>
          <w:szCs w:val="22"/>
        </w:rPr>
        <w:t xml:space="preserve">Updated global model sent back to all parties</w:t>
      </w:r>
    </w:p>
    <w:p>
      <w:pPr>
        <w:pStyle w:val="ListParagraph"/>
        <w:numPr>
          <w:ilvl w:val="0"/>
          <w:numId w:val="3"/>
        </w:numPr>
        <w:spacing w:after="60" w:before="60"/>
      </w:pPr>
      <w:r>
        <w:rPr>
          <w:rFonts w:ascii="Arial" w:cs="Arial" w:eastAsia="Arial" w:hAnsi="Arial"/>
          <w:sz w:val="22"/>
          <w:szCs w:val="22"/>
        </w:rPr>
        <w:t xml:space="preserve">Each party fine-tunes for 1 additional epoch on local data (personalization step)</w:t>
      </w:r>
    </w:p>
    <w:p>
      <w:pPr>
        <w:pStyle w:val="ListParagraph"/>
        <w:numPr>
          <w:ilvl w:val="0"/>
          <w:numId w:val="3"/>
        </w:numPr>
        <w:spacing w:after="60" w:before="60"/>
      </w:pPr>
      <w:r>
        <w:rPr>
          <w:rFonts w:ascii="Arial" w:cs="Arial" w:eastAsia="Arial" w:hAnsi="Arial"/>
          <w:sz w:val="22"/>
          <w:szCs w:val="22"/>
        </w:rPr>
        <w:t xml:space="preserve">Global model published to MLflow under experiment 'federated-global'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F0ED" w:val="clear"/>
            <w:tcMar>
              <w:top w:type="dxa" w:w="100"/>
              <w:left w:type="dxa" w:w="160"/>
              <w:bottom w:type="dxa" w:w="100"/>
              <w:right w:type="dxa" w:w="160"/>
            </w:tcMar>
          </w:tcPr>
          <w:p>
            <w:r>
              <w:rPr>
                <w:rFonts w:ascii="Arial" w:cs="Arial" w:eastAsia="Arial" w:hAnsi="Arial"/>
                <w:b/>
                <w:bCs/>
                <w:color w:val="3B1F6E"/>
                <w:sz w:val="20"/>
                <w:szCs w:val="20"/>
              </w:rPr>
              <w:t xml:space="preserve">Privacy Guarantee</w:t>
            </w:r>
          </w:p>
          <w:p>
            <w:r>
              <w:rPr>
                <w:rFonts w:ascii="Arial" w:cs="Arial" w:eastAsia="Arial" w:hAnsi="Arial"/>
                <w:sz w:val="20"/>
                <w:szCs w:val="20"/>
              </w:rPr>
              <w:t xml:space="preserve">(epsilon=1.0, delta=1e-5)-differential privacy per federated round. This means the probability of inferring any individual transaction from the shared gradient is bounded by exp(1.0) = 2.72, regardless of the adversary's auxiliary information.</w:t>
            </w:r>
          </w:p>
        </w:tc>
      </w:tr>
    </w:tbl>
    <w:p>
      <w:pPr>
        <w:spacing w:after="60" w:before="60"/>
      </w:pPr>
      <w:r>
        <w:t xml:space="preserve"/>
      </w:r>
    </w:p>
    <w:p>
      <w:pPr>
        <w:pStyle w:val="Heading2"/>
        <w:spacing w:after="100" w:before="280"/>
      </w:pPr>
      <w:r>
        <w:rPr>
          <w:rFonts w:ascii="Arial" w:cs="Arial" w:eastAsia="Arial" w:hAnsi="Arial"/>
          <w:b/>
          <w:bCs/>
          <w:color w:val="6D3FC0"/>
          <w:sz w:val="26"/>
          <w:szCs w:val="26"/>
        </w:rPr>
        <w:t xml:space="preserve">6.3 Dashboard Integration</w:t>
      </w:r>
    </w:p>
    <w:p>
      <w:pPr>
        <w:spacing w:after="80" w:before="80"/>
      </w:pPr>
      <w:r>
        <w:rPr>
          <w:rFonts w:ascii="Arial" w:cs="Arial" w:eastAsia="Arial" w:hAnsi="Arial"/>
          <w:sz w:val="22"/>
          <w:szCs w:val="22"/>
        </w:rPr>
        <w:t xml:space="preserve">The Settings page can toggle federated learning participation on/off per organization. The Dashboard home page's Forecast Accuracy KPI automatically reflects whether the global federated model (typically 1–3% more accurate than single-party) is active.</w:t>
      </w:r>
    </w:p>
    <w:p>
      <w:pPr>
        <w:spacing w:after="60" w:before="60"/>
      </w:pPr>
      <w:r>
        <w:t xml:space="preserve"/>
      </w:r>
    </w:p>
    <w:p>
      <w:pPr>
        <w:pStyle w:val="Heading1"/>
        <w:spacing w:after="120" w:before="360"/>
      </w:pPr>
      <w:r>
        <w:rPr>
          <w:rFonts w:ascii="Arial" w:cs="Arial" w:eastAsia="Arial" w:hAnsi="Arial"/>
          <w:b/>
          <w:bCs/>
          <w:color w:val="3B1F6E"/>
          <w:sz w:val="32"/>
          <w:szCs w:val="32"/>
        </w:rPr>
        <w:t xml:space="preserve">7. Store-Level Personalization (Cross-Cutting)</w:t>
      </w:r>
    </w:p>
    <w:p>
      <w:pPr>
        <w:pStyle w:val="Heading2"/>
        <w:spacing w:after="100" w:before="280"/>
      </w:pPr>
      <w:r>
        <w:rPr>
          <w:rFonts w:ascii="Arial" w:cs="Arial" w:eastAsia="Arial" w:hAnsi="Arial"/>
          <w:b/>
          <w:bCs/>
          <w:color w:val="6D3FC0"/>
          <w:sz w:val="26"/>
          <w:szCs w:val="26"/>
        </w:rPr>
        <w:t xml:space="preserve">7.1 Hierarchical Forecasting</w:t>
      </w:r>
    </w:p>
    <w:p>
      <w:pPr>
        <w:spacing w:after="80" w:before="80"/>
      </w:pPr>
      <w:r>
        <w:rPr>
          <w:rFonts w:ascii="Arial" w:cs="Arial" w:eastAsia="Arial" w:hAnsi="Arial"/>
          <w:sz w:val="22"/>
          <w:szCs w:val="22"/>
        </w:rPr>
        <w:t xml:space="preserve">Forecasts are generated at three levels of granularity and reconciled using bottom-up aggregation. This ensures national-level totals are consistent with store-level predictions.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960"/>
        <w:gridCol w:w="2600"/>
      </w:tblGrid>
      <w:tr>
        <w:tc>
          <w:tcPr>
            <w:tcW w:type="dxa" w:w="14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Level</w:t>
            </w:r>
          </w:p>
        </w:tc>
        <w:tc>
          <w:tcPr>
            <w:tcW w:type="dxa" w:w="24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Granularity</w:t>
            </w:r>
          </w:p>
        </w:tc>
        <w:tc>
          <w:tcPr>
            <w:tcW w:type="dxa" w:w="296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Model</w:t>
            </w:r>
          </w:p>
        </w:tc>
        <w:tc>
          <w:tcPr>
            <w:tcW w:type="dxa" w:w="26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Feeds Into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stores, all SKUs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CatBoost (global features)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 executive KPIs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Regional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Store cluster (k-means by demographics)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CatBoost (regional features)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Store allocation planning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store + SKU</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CatBoost + GNN (local features)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Ordering decisions, API responses</w:t>
            </w:r>
          </w:p>
        </w:tc>
      </w:tr>
    </w:tbl>
    <w:p>
      <w:pPr>
        <w:spacing w:after="60" w:before="60"/>
      </w:pPr>
      <w:r>
        <w:t xml:space="preserve"/>
      </w:r>
    </w:p>
    <w:p>
      <w:pPr>
        <w:pStyle w:val="Heading2"/>
        <w:spacing w:after="100" w:before="280"/>
      </w:pPr>
      <w:r>
        <w:rPr>
          <w:rFonts w:ascii="Arial" w:cs="Arial" w:eastAsia="Arial" w:hAnsi="Arial"/>
          <w:b/>
          <w:bCs/>
          <w:color w:val="6D3FC0"/>
          <w:sz w:val="26"/>
          <w:szCs w:val="26"/>
        </w:rPr>
        <w:t xml:space="preserve">7.2 Local Contextual Features</w:t>
      </w:r>
    </w:p>
    <w:p>
      <w:pPr>
        <w:pStyle w:val="ListParagraph"/>
        <w:numPr>
          <w:ilvl w:val="0"/>
          <w:numId w:val="2"/>
        </w:numPr>
        <w:spacing w:after="60" w:before="60"/>
      </w:pPr>
      <w:r>
        <w:rPr>
          <w:rFonts w:ascii="Arial" w:cs="Arial" w:eastAsia="Arial" w:hAnsi="Arial"/>
          <w:sz w:val="22"/>
          <w:szCs w:val="22"/>
        </w:rPr>
        <w:t xml:space="preserve">Demographics: neighborhood income index, age distribution index, population density (sourced from census data at store ZIP code)</w:t>
      </w:r>
    </w:p>
    <w:p>
      <w:pPr>
        <w:pStyle w:val="ListParagraph"/>
        <w:numPr>
          <w:ilvl w:val="0"/>
          <w:numId w:val="2"/>
        </w:numPr>
        <w:spacing w:after="60" w:before="60"/>
      </w:pPr>
      <w:r>
        <w:rPr>
          <w:rFonts w:ascii="Arial" w:cs="Arial" w:eastAsia="Arial" w:hAnsi="Arial"/>
          <w:sz w:val="22"/>
          <w:szCs w:val="22"/>
        </w:rPr>
        <w:t xml:space="preserve">Local events: event calendar API integration (concerts, sports, festivals within 5km radius); encoded as event_count_7d feature</w:t>
      </w:r>
    </w:p>
    <w:p>
      <w:pPr>
        <w:pStyle w:val="ListParagraph"/>
        <w:numPr>
          <w:ilvl w:val="0"/>
          <w:numId w:val="2"/>
        </w:numPr>
        <w:spacing w:after="60" w:before="60"/>
      </w:pPr>
      <w:r>
        <w:rPr>
          <w:rFonts w:ascii="Arial" w:cs="Arial" w:eastAsia="Arial" w:hAnsi="Arial"/>
          <w:sz w:val="22"/>
          <w:szCs w:val="22"/>
        </w:rPr>
        <w:t xml:space="preserve">Weather: OpenWeatherMap API; features: temp_avg, precipitation_mm, extreme_weather_flag</w:t>
      </w:r>
    </w:p>
    <w:p>
      <w:pPr>
        <w:pStyle w:val="ListParagraph"/>
        <w:numPr>
          <w:ilvl w:val="0"/>
          <w:numId w:val="2"/>
        </w:numPr>
        <w:spacing w:after="60" w:before="60"/>
      </w:pPr>
      <w:r>
        <w:rPr>
          <w:rFonts w:ascii="Arial" w:cs="Arial" w:eastAsia="Arial" w:hAnsi="Arial"/>
          <w:sz w:val="22"/>
          <w:szCs w:val="22"/>
        </w:rPr>
        <w:t xml:space="preserve">Foot traffic: Optional IoT integration via Kafka stream; feature: relative_foot_traffic_index</w:t>
      </w:r>
    </w:p>
    <w:p>
      <w:pPr>
        <w:pStyle w:val="ListParagraph"/>
        <w:numPr>
          <w:ilvl w:val="0"/>
          <w:numId w:val="2"/>
        </w:numPr>
        <w:spacing w:after="60" w:before="60"/>
      </w:pPr>
      <w:r>
        <w:rPr>
          <w:rFonts w:ascii="Arial" w:cs="Arial" w:eastAsia="Arial" w:hAnsi="Arial"/>
          <w:sz w:val="22"/>
          <w:szCs w:val="22"/>
        </w:rPr>
        <w:t xml:space="preserve">Competition: Nearest competitor distance + count within 1km radius (Google Places API)</w:t>
      </w:r>
    </w:p>
    <w:p>
      <w:pPr>
        <w:spacing w:after="60" w:before="60"/>
      </w:pPr>
      <w:r>
        <w:t xml:space="preserve"/>
      </w:r>
    </w:p>
    <w:p>
      <w:pPr>
        <w:pStyle w:val="Heading2"/>
        <w:spacing w:after="100" w:before="280"/>
      </w:pPr>
      <w:r>
        <w:rPr>
          <w:rFonts w:ascii="Arial" w:cs="Arial" w:eastAsia="Arial" w:hAnsi="Arial"/>
          <w:b/>
          <w:bCs/>
          <w:color w:val="6D3FC0"/>
          <w:sz w:val="26"/>
          <w:szCs w:val="26"/>
        </w:rPr>
        <w:t xml:space="preserve">7.3 Transfer Learning for New Stores</w:t>
      </w:r>
    </w:p>
    <w:p>
      <w:pPr>
        <w:spacing w:after="80" w:before="80"/>
      </w:pPr>
      <w:r>
        <w:rPr>
          <w:rFonts w:ascii="Arial" w:cs="Arial" w:eastAsia="Arial" w:hAnsi="Arial"/>
          <w:sz w:val="22"/>
          <w:szCs w:val="22"/>
        </w:rPr>
        <w:t xml:space="preserve">When a new store is onboarded with insufficient sales history (&lt; 12 weeks), the model uses a k-nearest-neighbor store matching algorithm to find the 3 most similar stores by demographics and format. The new store's model is initialized with the weighted average of those stores' trained CatBoost model weights (warm start), then fine-tuned as data accumulates.</w:t>
      </w:r>
    </w:p>
    <w:p>
      <w:pPr>
        <w:spacing w:after="60" w:before="60"/>
      </w:pPr>
      <w:r>
        <w:t xml:space="preserve"/>
      </w:r>
    </w:p>
    <w:p>
      <w:pPr>
        <w:pStyle w:val="Heading1"/>
        <w:spacing w:after="120" w:before="360"/>
      </w:pPr>
      <w:r>
        <w:rPr>
          <w:rFonts w:ascii="Arial" w:cs="Arial" w:eastAsia="Arial" w:hAnsi="Arial"/>
          <w:b/>
          <w:bCs/>
          <w:color w:val="3B1F6E"/>
          <w:sz w:val="32"/>
          <w:szCs w:val="32"/>
        </w:rPr>
        <w:t xml:space="preserve">8. Model Evaluation Framework</w:t>
      </w:r>
    </w:p>
    <w:p>
      <w:pPr>
        <w:pStyle w:val="Heading2"/>
        <w:spacing w:after="100" w:before="280"/>
      </w:pPr>
      <w:r>
        <w:rPr>
          <w:rFonts w:ascii="Arial" w:cs="Arial" w:eastAsia="Arial" w:hAnsi="Arial"/>
          <w:b/>
          <w:bCs/>
          <w:color w:val="6D3FC0"/>
          <w:sz w:val="26"/>
          <w:szCs w:val="26"/>
        </w:rPr>
        <w:t xml:space="preserve">8.1 Offline Evaluation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760"/>
        <w:gridCol w:w="2600"/>
      </w:tblGrid>
      <w:tr>
        <w:tc>
          <w:tcPr>
            <w:tcW w:type="dxa" w:w="20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Module</w:t>
            </w:r>
          </w:p>
        </w:tc>
        <w:tc>
          <w:tcPr>
            <w:tcW w:type="dxa" w:w="20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Primary Metric</w:t>
            </w:r>
          </w:p>
        </w:tc>
        <w:tc>
          <w:tcPr>
            <w:tcW w:type="dxa" w:w="276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Secondary Metrics</w:t>
            </w:r>
          </w:p>
        </w:tc>
        <w:tc>
          <w:tcPr>
            <w:tcW w:type="dxa" w:w="26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Baseline to Beat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CatBoost Forecaster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WMAPE &lt; 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Coverage &gt;= 88%, Bias &lt;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Naive seasonal (MAPE ~15%)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GNN Adjustment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WMAPE delta improvement &gt;= 0.5%</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Stockout scenario MAPE &lt; 12%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CatBoost alone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Causal Inference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ATE estimation error &lt; 5% on A/B holdout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Coverage of CI &gt;= 90%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Naive difference-in-means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RL Ordering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 cost reduction &gt;= 8% vs. (s,S) policy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Stockout rate &lt; 2%, Fill rate &gt; 97%</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Fixed reorder point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Federated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WMAPE within 0.5% of centralized model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Privacy budget not exceeded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Single-party model</w:t>
            </w:r>
          </w:p>
        </w:tc>
      </w:tr>
    </w:tbl>
    <w:p>
      <w:pPr>
        <w:spacing w:after="60" w:before="60"/>
      </w:pPr>
      <w:r>
        <w:t xml:space="preserve"/>
      </w:r>
    </w:p>
    <w:p>
      <w:pPr>
        <w:pStyle w:val="Heading2"/>
        <w:spacing w:after="100" w:before="280"/>
      </w:pPr>
      <w:r>
        <w:rPr>
          <w:rFonts w:ascii="Arial" w:cs="Arial" w:eastAsia="Arial" w:hAnsi="Arial"/>
          <w:b/>
          <w:bCs/>
          <w:color w:val="6D3FC0"/>
          <w:sz w:val="26"/>
          <w:szCs w:val="26"/>
        </w:rPr>
        <w:t xml:space="preserve">8.2 Online A/B Testing Framework</w:t>
      </w:r>
    </w:p>
    <w:p>
      <w:pPr>
        <w:spacing w:after="80" w:before="80"/>
      </w:pPr>
      <w:r>
        <w:rPr>
          <w:rFonts w:ascii="Arial" w:cs="Arial" w:eastAsia="Arial" w:hAnsi="Arial"/>
          <w:sz w:val="22"/>
          <w:szCs w:val="22"/>
        </w:rPr>
        <w:t xml:space="preserve">For production validation, a shadow deployment strategy is used: the new model runs in parallel with the current production model for 4 weeks, accumulating predictions without affecting live recommendations. Statistical significance testing (Welch t-test, alpha=0.05) determines whether to promote the new model.</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Traffic split: 80% production model / 20% challenger model</w:t>
      </w:r>
    </w:p>
    <w:p>
      <w:pPr>
        <w:pStyle w:val="ListParagraph"/>
        <w:numPr>
          <w:ilvl w:val="0"/>
          <w:numId w:val="2"/>
        </w:numPr>
        <w:spacing w:after="60" w:before="60"/>
      </w:pPr>
      <w:r>
        <w:rPr>
          <w:rFonts w:ascii="Arial" w:cs="Arial" w:eastAsia="Arial" w:hAnsi="Arial"/>
          <w:sz w:val="22"/>
          <w:szCs w:val="22"/>
        </w:rPr>
        <w:t xml:space="preserve">Minimum experiment duration: 28 days (captures weekly seasonality patterns)</w:t>
      </w:r>
    </w:p>
    <w:p>
      <w:pPr>
        <w:pStyle w:val="ListParagraph"/>
        <w:numPr>
          <w:ilvl w:val="0"/>
          <w:numId w:val="2"/>
        </w:numPr>
        <w:spacing w:after="60" w:before="60"/>
      </w:pPr>
      <w:r>
        <w:rPr>
          <w:rFonts w:ascii="Arial" w:cs="Arial" w:eastAsia="Arial" w:hAnsi="Arial"/>
          <w:sz w:val="22"/>
          <w:szCs w:val="22"/>
        </w:rPr>
        <w:t xml:space="preserve">Minimum sample size: 1,000 SKU-days per condition (power=0.80, effect size=0.5% WMAPE)</w:t>
      </w:r>
    </w:p>
    <w:p>
      <w:pPr>
        <w:pStyle w:val="ListParagraph"/>
        <w:numPr>
          <w:ilvl w:val="0"/>
          <w:numId w:val="2"/>
        </w:numPr>
        <w:spacing w:after="60" w:before="60"/>
      </w:pPr>
      <w:r>
        <w:rPr>
          <w:rFonts w:ascii="Arial" w:cs="Arial" w:eastAsia="Arial" w:hAnsi="Arial"/>
          <w:sz w:val="22"/>
          <w:szCs w:val="22"/>
        </w:rPr>
        <w:t xml:space="preserve">Guardrail metrics: API latency p99 must not increase &gt; 20%; error rate must stay &lt; 0.1%</w:t>
      </w:r>
    </w:p>
    <w:p>
      <w:pPr>
        <w:spacing w:after="60" w:before="60"/>
      </w:pPr>
      <w:r>
        <w:t xml:space="preserve"/>
      </w:r>
    </w:p>
    <w:p>
      <w:pPr>
        <w:pStyle w:val="Heading1"/>
        <w:spacing w:after="120" w:before="360"/>
      </w:pPr>
      <w:r>
        <w:rPr>
          <w:rFonts w:ascii="Arial" w:cs="Arial" w:eastAsia="Arial" w:hAnsi="Arial"/>
          <w:b/>
          <w:bCs/>
          <w:color w:val="3B1F6E"/>
          <w:sz w:val="32"/>
          <w:szCs w:val="32"/>
        </w:rPr>
        <w:t xml:space="preserve">9. Explainability &amp; Trust</w:t>
      </w:r>
    </w:p>
    <w:p>
      <w:pPr>
        <w:pStyle w:val="Heading2"/>
        <w:spacing w:after="100" w:before="280"/>
      </w:pPr>
      <w:r>
        <w:rPr>
          <w:rFonts w:ascii="Arial" w:cs="Arial" w:eastAsia="Arial" w:hAnsi="Arial"/>
          <w:b/>
          <w:bCs/>
          <w:color w:val="6D3FC0"/>
          <w:sz w:val="26"/>
          <w:szCs w:val="26"/>
        </w:rPr>
        <w:t xml:space="preserve">9.1 SHAP Feature Importance</w:t>
      </w:r>
    </w:p>
    <w:p>
      <w:pPr>
        <w:spacing w:after="80" w:before="80"/>
      </w:pPr>
      <w:r>
        <w:rPr>
          <w:rFonts w:ascii="Arial" w:cs="Arial" w:eastAsia="Arial" w:hAnsi="Arial"/>
          <w:sz w:val="22"/>
          <w:szCs w:val="22"/>
        </w:rPr>
        <w:t xml:space="preserve">All CatBoost models produce SHAP values for each prediction. The top 8 features by mean absolute SHAP value are stored in InfluxDB and surfaced via the API. These values power the Explainability panel (currently unused in the frontend mockdata but data is available via GET /api/v1/explainability/{sku}).</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Feature Category</w:t>
            </w:r>
          </w:p>
        </w:tc>
        <w:tc>
          <w:tcPr>
            <w:tcW w:type="dxa" w:w="20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Typical SHAP Rank</w:t>
            </w:r>
          </w:p>
        </w:tc>
        <w:tc>
          <w:tcPr>
            <w:tcW w:type="dxa" w:w="456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Business Interpretation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lag_7 (sales 7 days ago)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weekly seasonality driver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rolling_mean_14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Baseline demand trend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is_promo_active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Promotion lift effect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week_of_year_sin/cos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#4–6</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Annual seasonal pattern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price_normalized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elasticity effect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GNN adjustment score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#6–8</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Cross-product demand spillover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is_pre_holiday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Pre-holiday demand surge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foot_traffic_index</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#8–10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Local store traffic driver</w:t>
            </w:r>
          </w:p>
        </w:tc>
      </w:tr>
    </w:tbl>
    <w:p>
      <w:pPr>
        <w:spacing w:after="60" w:before="60"/>
      </w:pPr>
      <w:r>
        <w:t xml:space="preserve"/>
      </w:r>
    </w:p>
    <w:p>
      <w:pPr>
        <w:pStyle w:val="Heading2"/>
        <w:spacing w:after="100" w:before="280"/>
      </w:pPr>
      <w:r>
        <w:rPr>
          <w:rFonts w:ascii="Arial" w:cs="Arial" w:eastAsia="Arial" w:hAnsi="Arial"/>
          <w:b/>
          <w:bCs/>
          <w:color w:val="6D3FC0"/>
          <w:sz w:val="26"/>
          <w:szCs w:val="26"/>
        </w:rPr>
        <w:t xml:space="preserve">9.2 Causal Explanation Cards</w:t>
      </w:r>
    </w:p>
    <w:p>
      <w:pPr>
        <w:spacing w:after="80" w:before="80"/>
      </w:pPr>
      <w:r>
        <w:rPr>
          <w:rFonts w:ascii="Arial" w:cs="Arial" w:eastAsia="Arial" w:hAnsi="Arial"/>
          <w:sz w:val="22"/>
          <w:szCs w:val="22"/>
        </w:rPr>
        <w:t xml:space="preserve">The Promotion Analysis page shows the causal_factors array (currently in mockData.ts, unused). When the backend is live, this will contain human-readable explanation cards generated by the causal inference engine, e.g. 'The Festival Discount increased sales by 18.4% primarily through customer volume increase (+22%) partially offset by basket size reduction (-3.6%).</w:t>
      </w:r>
    </w:p>
    <w:p>
      <w:pPr>
        <w:spacing w:after="60" w:before="60"/>
      </w:pPr>
      <w:r>
        <w:t xml:space="preserve"/>
      </w:r>
    </w:p>
    <w:p>
      <w:pPr>
        <w:pStyle w:val="Heading1"/>
        <w:spacing w:after="120" w:before="360"/>
      </w:pPr>
      <w:r>
        <w:rPr>
          <w:rFonts w:ascii="Arial" w:cs="Arial" w:eastAsia="Arial" w:hAnsi="Arial"/>
          <w:b/>
          <w:bCs/>
          <w:color w:val="3B1F6E"/>
          <w:sz w:val="32"/>
          <w:szCs w:val="32"/>
        </w:rPr>
        <w:t xml:space="preserve">10. ML Implementation Roadmap</w:t>
      </w:r>
    </w:p>
    <w:p>
      <w:pPr>
        <w:pStyle w:val="Heading2"/>
        <w:spacing w:after="100" w:before="280"/>
      </w:pPr>
      <w:r>
        <w:rPr>
          <w:rFonts w:ascii="Arial" w:cs="Arial" w:eastAsia="Arial" w:hAnsi="Arial"/>
          <w:b/>
          <w:bCs/>
          <w:color w:val="6D3FC0"/>
          <w:sz w:val="26"/>
          <w:szCs w:val="26"/>
        </w:rPr>
        <w:t xml:space="preserve">Phase 1 — CatBoost Baseline (Weeks 1–4)</w:t>
      </w:r>
    </w:p>
    <w:p>
      <w:pPr>
        <w:pStyle w:val="ListParagraph"/>
        <w:numPr>
          <w:ilvl w:val="0"/>
          <w:numId w:val="2"/>
        </w:numPr>
        <w:spacing w:after="60" w:before="60"/>
      </w:pPr>
      <w:r>
        <w:rPr>
          <w:rFonts w:ascii="Arial" w:cs="Arial" w:eastAsia="Arial" w:hAnsi="Arial"/>
          <w:sz w:val="22"/>
          <w:szCs w:val="22"/>
        </w:rPr>
        <w:t xml:space="preserve">Implement feature engineering pipeline (all 7 feature groups from Section 2.2)</w:t>
      </w:r>
    </w:p>
    <w:p>
      <w:pPr>
        <w:pStyle w:val="ListParagraph"/>
        <w:numPr>
          <w:ilvl w:val="0"/>
          <w:numId w:val="2"/>
        </w:numPr>
        <w:spacing w:after="60" w:before="60"/>
      </w:pPr>
      <w:r>
        <w:rPr>
          <w:rFonts w:ascii="Arial" w:cs="Arial" w:eastAsia="Arial" w:hAnsi="Arial"/>
          <w:sz w:val="22"/>
          <w:szCs w:val="22"/>
        </w:rPr>
        <w:t xml:space="preserve">Train CatBoost + LightGBM models on synthetic dataset (10 stores, 100 SKUs, 2 years)</w:t>
      </w:r>
    </w:p>
    <w:p>
      <w:pPr>
        <w:pStyle w:val="ListParagraph"/>
        <w:numPr>
          <w:ilvl w:val="0"/>
          <w:numId w:val="2"/>
        </w:numPr>
        <w:spacing w:after="60" w:before="60"/>
      </w:pPr>
      <w:r>
        <w:rPr>
          <w:rFonts w:ascii="Arial" w:cs="Arial" w:eastAsia="Arial" w:hAnsi="Arial"/>
          <w:sz w:val="22"/>
          <w:szCs w:val="22"/>
        </w:rPr>
        <w:t xml:space="preserve">Implement conformal prediction intervals using MAPIE</w:t>
      </w:r>
    </w:p>
    <w:p>
      <w:pPr>
        <w:pStyle w:val="ListParagraph"/>
        <w:numPr>
          <w:ilvl w:val="0"/>
          <w:numId w:val="2"/>
        </w:numPr>
        <w:spacing w:after="60" w:before="60"/>
      </w:pPr>
      <w:r>
        <w:rPr>
          <w:rFonts w:ascii="Arial" w:cs="Arial" w:eastAsia="Arial" w:hAnsi="Arial"/>
          <w:sz w:val="22"/>
          <w:szCs w:val="22"/>
        </w:rPr>
        <w:t xml:space="preserve">Evaluate against naive baselines; target WMAPE &lt; 8%</w:t>
      </w:r>
    </w:p>
    <w:p>
      <w:pPr>
        <w:pStyle w:val="ListParagraph"/>
        <w:numPr>
          <w:ilvl w:val="0"/>
          <w:numId w:val="2"/>
        </w:numPr>
        <w:spacing w:after="60" w:before="60"/>
      </w:pPr>
      <w:r>
        <w:rPr>
          <w:rFonts w:ascii="Arial" w:cs="Arial" w:eastAsia="Arial" w:hAnsi="Arial"/>
          <w:sz w:val="22"/>
          <w:szCs w:val="22"/>
        </w:rPr>
        <w:t xml:space="preserve">Wire to GET /api/v1/forecasts/{store_id} replacing frontend mock</w:t>
      </w:r>
    </w:p>
    <w:p>
      <w:pPr>
        <w:pStyle w:val="Heading2"/>
        <w:spacing w:after="100" w:before="280"/>
      </w:pPr>
      <w:r>
        <w:rPr>
          <w:rFonts w:ascii="Arial" w:cs="Arial" w:eastAsia="Arial" w:hAnsi="Arial"/>
          <w:b/>
          <w:bCs/>
          <w:color w:val="6D3FC0"/>
          <w:sz w:val="26"/>
          <w:szCs w:val="26"/>
        </w:rPr>
        <w:t xml:space="preserve">Phase 2 — GNN &amp; RL (Weeks 5–9)</w:t>
      </w:r>
    </w:p>
    <w:p>
      <w:pPr>
        <w:pStyle w:val="ListParagraph"/>
        <w:numPr>
          <w:ilvl w:val="0"/>
          <w:numId w:val="2"/>
        </w:numPr>
        <w:spacing w:after="60" w:before="60"/>
      </w:pPr>
      <w:r>
        <w:rPr>
          <w:rFonts w:ascii="Arial" w:cs="Arial" w:eastAsia="Arial" w:hAnsi="Arial"/>
          <w:sz w:val="22"/>
          <w:szCs w:val="22"/>
        </w:rPr>
        <w:t xml:space="preserve">Build product graph from co-purchase + expert rules</w:t>
      </w:r>
    </w:p>
    <w:p>
      <w:pPr>
        <w:pStyle w:val="ListParagraph"/>
        <w:numPr>
          <w:ilvl w:val="0"/>
          <w:numId w:val="2"/>
        </w:numPr>
        <w:spacing w:after="60" w:before="60"/>
      </w:pPr>
      <w:r>
        <w:rPr>
          <w:rFonts w:ascii="Arial" w:cs="Arial" w:eastAsia="Arial" w:hAnsi="Arial"/>
          <w:sz w:val="22"/>
          <w:szCs w:val="22"/>
        </w:rPr>
        <w:t xml:space="preserve">Implement GAT + GraphSAGE GNN using PyTorch Geometric</w:t>
      </w:r>
    </w:p>
    <w:p>
      <w:pPr>
        <w:pStyle w:val="ListParagraph"/>
        <w:numPr>
          <w:ilvl w:val="0"/>
          <w:numId w:val="2"/>
        </w:numPr>
        <w:spacing w:after="60" w:before="60"/>
      </w:pPr>
      <w:r>
        <w:rPr>
          <w:rFonts w:ascii="Arial" w:cs="Arial" w:eastAsia="Arial" w:hAnsi="Arial"/>
          <w:sz w:val="22"/>
          <w:szCs w:val="22"/>
        </w:rPr>
        <w:t xml:space="preserve">Train GNN; validate improvement over CatBoost baseline</w:t>
      </w:r>
    </w:p>
    <w:p>
      <w:pPr>
        <w:pStyle w:val="ListParagraph"/>
        <w:numPr>
          <w:ilvl w:val="0"/>
          <w:numId w:val="2"/>
        </w:numPr>
        <w:spacing w:after="60" w:before="60"/>
      </w:pPr>
      <w:r>
        <w:rPr>
          <w:rFonts w:ascii="Arial" w:cs="Arial" w:eastAsia="Arial" w:hAnsi="Arial"/>
          <w:sz w:val="22"/>
          <w:szCs w:val="22"/>
        </w:rPr>
        <w:t xml:space="preserve">Implement SimPy inventory simulator for RL training</w:t>
      </w:r>
    </w:p>
    <w:p>
      <w:pPr>
        <w:pStyle w:val="ListParagraph"/>
        <w:numPr>
          <w:ilvl w:val="0"/>
          <w:numId w:val="2"/>
        </w:numPr>
        <w:spacing w:after="60" w:before="60"/>
      </w:pPr>
      <w:r>
        <w:rPr>
          <w:rFonts w:ascii="Arial" w:cs="Arial" w:eastAsia="Arial" w:hAnsi="Arial"/>
          <w:sz w:val="22"/>
          <w:szCs w:val="22"/>
        </w:rPr>
        <w:t xml:space="preserve">Train PPO agent using Stable-Baselines3; target 8%+ cost reduction</w:t>
      </w:r>
    </w:p>
    <w:p>
      <w:pPr>
        <w:pStyle w:val="ListParagraph"/>
        <w:numPr>
          <w:ilvl w:val="0"/>
          <w:numId w:val="2"/>
        </w:numPr>
        <w:spacing w:after="60" w:before="60"/>
      </w:pPr>
      <w:r>
        <w:rPr>
          <w:rFonts w:ascii="Arial" w:cs="Arial" w:eastAsia="Arial" w:hAnsi="Arial"/>
          <w:sz w:val="22"/>
          <w:szCs w:val="22"/>
        </w:rPr>
        <w:t xml:space="preserve">Wire GNN to GET /api/v1/graph/products; RL to GET /api/v1/orders/recommend</w:t>
      </w:r>
    </w:p>
    <w:p>
      <w:pPr>
        <w:pStyle w:val="Heading2"/>
        <w:spacing w:after="100" w:before="280"/>
      </w:pPr>
      <w:r>
        <w:rPr>
          <w:rFonts w:ascii="Arial" w:cs="Arial" w:eastAsia="Arial" w:hAnsi="Arial"/>
          <w:b/>
          <w:bCs/>
          <w:color w:val="6D3FC0"/>
          <w:sz w:val="26"/>
          <w:szCs w:val="26"/>
        </w:rPr>
        <w:t xml:space="preserve">Phase 3 — Causal &amp; Federated (Weeks 10–14)</w:t>
      </w:r>
    </w:p>
    <w:p>
      <w:pPr>
        <w:pStyle w:val="ListParagraph"/>
        <w:numPr>
          <w:ilvl w:val="0"/>
          <w:numId w:val="2"/>
        </w:numPr>
        <w:spacing w:after="60" w:before="60"/>
      </w:pPr>
      <w:r>
        <w:rPr>
          <w:rFonts w:ascii="Arial" w:cs="Arial" w:eastAsia="Arial" w:hAnsi="Arial"/>
          <w:sz w:val="22"/>
          <w:szCs w:val="22"/>
        </w:rPr>
        <w:t xml:space="preserve">Implement causal graph learning (PC algorithm via pgmpy)</w:t>
      </w:r>
    </w:p>
    <w:p>
      <w:pPr>
        <w:pStyle w:val="ListParagraph"/>
        <w:numPr>
          <w:ilvl w:val="0"/>
          <w:numId w:val="2"/>
        </w:numPr>
        <w:spacing w:after="60" w:before="60"/>
      </w:pPr>
      <w:r>
        <w:rPr>
          <w:rFonts w:ascii="Arial" w:cs="Arial" w:eastAsia="Arial" w:hAnsi="Arial"/>
          <w:sz w:val="22"/>
          <w:szCs w:val="22"/>
        </w:rPr>
        <w:t xml:space="preserve">Implement DML + PSM + DiD causal estimators using DoWhy/EconML</w:t>
      </w:r>
    </w:p>
    <w:p>
      <w:pPr>
        <w:pStyle w:val="ListParagraph"/>
        <w:numPr>
          <w:ilvl w:val="0"/>
          <w:numId w:val="2"/>
        </w:numPr>
        <w:spacing w:after="60" w:before="60"/>
      </w:pPr>
      <w:r>
        <w:rPr>
          <w:rFonts w:ascii="Arial" w:cs="Arial" w:eastAsia="Arial" w:hAnsi="Arial"/>
          <w:sz w:val="22"/>
          <w:szCs w:val="22"/>
        </w:rPr>
        <w:t xml:space="preserve">Validate on synthetic A/B test data (known ground truth)</w:t>
      </w:r>
    </w:p>
    <w:p>
      <w:pPr>
        <w:pStyle w:val="ListParagraph"/>
        <w:numPr>
          <w:ilvl w:val="0"/>
          <w:numId w:val="2"/>
        </w:numPr>
        <w:spacing w:after="60" w:before="60"/>
      </w:pPr>
      <w:r>
        <w:rPr>
          <w:rFonts w:ascii="Arial" w:cs="Arial" w:eastAsia="Arial" w:hAnsi="Arial"/>
          <w:sz w:val="22"/>
          <w:szCs w:val="22"/>
        </w:rPr>
        <w:t xml:space="preserve">Implement federated learning round protocol using PySyft</w:t>
      </w:r>
    </w:p>
    <w:p>
      <w:pPr>
        <w:pStyle w:val="ListParagraph"/>
        <w:numPr>
          <w:ilvl w:val="0"/>
          <w:numId w:val="2"/>
        </w:numPr>
        <w:spacing w:after="60" w:before="60"/>
      </w:pPr>
      <w:r>
        <w:rPr>
          <w:rFonts w:ascii="Arial" w:cs="Arial" w:eastAsia="Arial" w:hAnsi="Arial"/>
          <w:sz w:val="22"/>
          <w:szCs w:val="22"/>
        </w:rPr>
        <w:t xml:space="preserve">Wire causal engine to GET /api/v1/promotions/impact</w:t>
      </w:r>
    </w:p>
    <w:p>
      <w:pPr>
        <w:pStyle w:val="ListParagraph"/>
        <w:numPr>
          <w:ilvl w:val="0"/>
          <w:numId w:val="2"/>
        </w:numPr>
        <w:spacing w:after="60" w:before="60"/>
      </w:pPr>
      <w:r>
        <w:rPr>
          <w:rFonts w:ascii="Arial" w:cs="Arial" w:eastAsia="Arial" w:hAnsi="Arial"/>
          <w:sz w:val="22"/>
          <w:szCs w:val="22"/>
        </w:rPr>
        <w:t xml:space="preserve">Integration test all 5 modules end-to-end</w:t>
      </w:r>
    </w:p>
    <w:p>
      <w:pPr>
        <w:pStyle w:val="Heading2"/>
        <w:spacing w:after="100" w:before="280"/>
      </w:pPr>
      <w:r>
        <w:rPr>
          <w:rFonts w:ascii="Arial" w:cs="Arial" w:eastAsia="Arial" w:hAnsi="Arial"/>
          <w:b/>
          <w:bCs/>
          <w:color w:val="6D3FC0"/>
          <w:sz w:val="26"/>
          <w:szCs w:val="26"/>
        </w:rPr>
        <w:t xml:space="preserve">Phase 4 — Production Hardening (Weeks 15–16)</w:t>
      </w:r>
    </w:p>
    <w:p>
      <w:pPr>
        <w:pStyle w:val="ListParagraph"/>
        <w:numPr>
          <w:ilvl w:val="0"/>
          <w:numId w:val="2"/>
        </w:numPr>
        <w:spacing w:after="60" w:before="60"/>
      </w:pPr>
      <w:r>
        <w:rPr>
          <w:rFonts w:ascii="Arial" w:cs="Arial" w:eastAsia="Arial" w:hAnsi="Arial"/>
          <w:sz w:val="22"/>
          <w:szCs w:val="22"/>
        </w:rPr>
        <w:t xml:space="preserve">Load test: 500 concurrent forecast requests; p99 &lt; 500ms</w:t>
      </w:r>
    </w:p>
    <w:p>
      <w:pPr>
        <w:pStyle w:val="ListParagraph"/>
        <w:numPr>
          <w:ilvl w:val="0"/>
          <w:numId w:val="2"/>
        </w:numPr>
        <w:spacing w:after="60" w:before="60"/>
      </w:pPr>
      <w:r>
        <w:rPr>
          <w:rFonts w:ascii="Arial" w:cs="Arial" w:eastAsia="Arial" w:hAnsi="Arial"/>
          <w:sz w:val="22"/>
          <w:szCs w:val="22"/>
        </w:rPr>
        <w:t xml:space="preserve">Model drift monitoring: Evidently AI dashboard for all 5 modules</w:t>
      </w:r>
    </w:p>
    <w:p>
      <w:pPr>
        <w:pStyle w:val="ListParagraph"/>
        <w:numPr>
          <w:ilvl w:val="0"/>
          <w:numId w:val="2"/>
        </w:numPr>
        <w:spacing w:after="60" w:before="60"/>
      </w:pPr>
      <w:r>
        <w:rPr>
          <w:rFonts w:ascii="Arial" w:cs="Arial" w:eastAsia="Arial" w:hAnsi="Arial"/>
          <w:sz w:val="22"/>
          <w:szCs w:val="22"/>
        </w:rPr>
        <w:t xml:space="preserve">SHAP explainability endpoint: GET /api/v1/explainability/{sku}</w:t>
      </w:r>
    </w:p>
    <w:p>
      <w:pPr>
        <w:pStyle w:val="ListParagraph"/>
        <w:numPr>
          <w:ilvl w:val="0"/>
          <w:numId w:val="2"/>
        </w:numPr>
        <w:spacing w:after="60" w:before="60"/>
      </w:pPr>
      <w:r>
        <w:rPr>
          <w:rFonts w:ascii="Arial" w:cs="Arial" w:eastAsia="Arial" w:hAnsi="Arial"/>
          <w:sz w:val="22"/>
          <w:szCs w:val="22"/>
        </w:rPr>
        <w:t xml:space="preserve">Online A/B testing framework for model promotion</w:t>
      </w:r>
    </w:p>
    <w:p>
      <w:pPr>
        <w:pStyle w:val="ListParagraph"/>
        <w:numPr>
          <w:ilvl w:val="0"/>
          <w:numId w:val="2"/>
        </w:numPr>
        <w:spacing w:after="60" w:before="60"/>
      </w:pPr>
      <w:r>
        <w:rPr>
          <w:rFonts w:ascii="Arial" w:cs="Arial" w:eastAsia="Arial" w:hAnsi="Arial"/>
          <w:sz w:val="22"/>
          <w:szCs w:val="22"/>
        </w:rPr>
        <w:t xml:space="preserve">Documentation: model cards, data sheets, bias audit per module</w:t>
      </w:r>
    </w:p>
    <w:p>
      <w:pPr>
        <w:spacing w:after="60" w:before="60"/>
      </w:pPr>
      <w:r>
        <w:t xml:space="preserve"/>
      </w:r>
    </w:p>
    <w:p>
      <w:pPr>
        <w:pStyle w:val="Heading1"/>
        <w:spacing w:after="120" w:before="360"/>
      </w:pPr>
      <w:r>
        <w:rPr>
          <w:rFonts w:ascii="Arial" w:cs="Arial" w:eastAsia="Arial" w:hAnsi="Arial"/>
          <w:b/>
          <w:bCs/>
          <w:color w:val="3B1F6E"/>
          <w:sz w:val="32"/>
          <w:szCs w:val="32"/>
        </w:rPr>
        <w:t xml:space="preserve">11. Appendix — ML Package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Package</w:t>
            </w:r>
          </w:p>
        </w:tc>
        <w:tc>
          <w:tcPr>
            <w:tcW w:type="dxa" w:w="180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Version</w:t>
            </w:r>
          </w:p>
        </w:tc>
        <w:tc>
          <w:tcPr>
            <w:tcW w:type="dxa" w:w="4760"/>
            <w:tcBorders>
              <w:top w:val="single" w:color="CCCCCC" w:sz="1"/>
              <w:left w:val="single" w:color="CCCCCC" w:sz="1"/>
              <w:bottom w:val="single" w:color="CCCCCC" w:sz="1"/>
              <w:right w:val="single" w:color="CCCCCC" w:sz="1"/>
            </w:tcBorders>
            <w:shd w:fill="EDE3F9" w:val="clear"/>
            <w:tcMar>
              <w:top w:type="dxa" w:w="80"/>
              <w:left w:type="dxa" w:w="120"/>
              <w:bottom w:type="dxa" w:w="80"/>
              <w:right w:type="dxa" w:w="120"/>
            </w:tcMar>
          </w:tcPr>
          <w:p>
            <w:r>
              <w:rPr>
                <w:rFonts w:ascii="Arial" w:cs="Arial" w:eastAsia="Arial" w:hAnsi="Arial"/>
                <w:b/>
                <w:bCs/>
                <w:color w:val="3B1F6E"/>
                <w:sz w:val="20"/>
                <w:szCs w:val="20"/>
              </w:rPr>
              <w:t xml:space="preserve">Module Used 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catboost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lightgbm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4.3+</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Module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2 (GNN)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torch-geometric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Module 2 (GNN)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stable-baselines3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4 (RL)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shimmy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Module 4 (RL env wrappers)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4 (inventory simulator)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dowhy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0.11+</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Module 3 (causal)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econml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3 (DML)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pgmpy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0.1.25+</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Module 3 (PC algorithm)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pysyft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5 (federated)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MAPIE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0.8+</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Module 1 (conformal prediction)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modules (explainability)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evidently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0.4+</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modules (drift monitoring)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modules (utilities)</w:t>
            </w:r>
          </w:p>
        </w:tc>
      </w:tr>
    </w:tbl>
    <w:p>
      <w:pPr>
        <w:spacing w:after="60" w:before="60"/>
      </w:pPr>
      <w:r>
        <w:t xml:space="preserve"/>
      </w:r>
    </w:p>
    <w:p>
      <w:pPr>
        <w:pBdr>
          <w:bottom w:val="single" w:color="CCCCCC" w:sz="6" w:space="1"/>
        </w:pBdr>
        <w:spacing w:after="120" w:before="120"/>
      </w:pPr>
      <w:r>
        <w:t xml:space="preserve"/>
      </w:r>
    </w:p>
    <w:p>
      <w:pPr>
        <w:spacing w:after="0" w:before="200"/>
        <w:jc w:val="center"/>
      </w:pPr>
      <w:r>
        <w:rPr>
          <w:rFonts w:ascii="Arial" w:cs="Arial" w:eastAsia="Arial" w:hAnsi="Arial"/>
          <w:i/>
          <w:iCs/>
          <w:color w:val="888888"/>
          <w:sz w:val="18"/>
          <w:szCs w:val="18"/>
        </w:rPr>
        <w:t xml:space="preserve">End of Document 2 — See Document 1 for Backend &amp; Infrastructure Implementation Plan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D3FC0" w:sz="6" w:space="1"/>
      </w:pBdr>
      <w:tabs>
        <w:tab w:val="right" w:pos="9026"/>
      </w:tabs>
    </w:pPr>
    <w:r>
      <w:rPr>
        <w:rFonts w:ascii="Arial" w:cs="Arial" w:eastAsia="Arial" w:hAnsi="Arial"/>
        <w:color w:val="666666"/>
        <w:sz w:val="18"/>
        <w:szCs w:val="18"/>
      </w:rPr>
      <w:t xml:space="preserve">Confidential — RetailCast AI Project  |  March 2026</w:t>
    </w:r>
    <w:r>
      <w:rPr>
        <w:rFonts w:ascii="Arial" w:cs="Arial" w:eastAsia="Arial" w:hAnsi="Arial"/>
        <w:color w:val="666666"/>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D3FC0" w:sz="6" w:space="1"/>
      </w:pBdr>
      <w:tabs>
        <w:tab w:val="right" w:pos="9026"/>
      </w:tabs>
    </w:pPr>
    <w:r>
      <w:rPr>
        <w:rFonts w:ascii="Arial" w:cs="Arial" w:eastAsia="Arial" w:hAnsi="Arial"/>
        <w:color w:val="666666"/>
        <w:sz w:val="18"/>
        <w:szCs w:val="18"/>
      </w:rPr>
      <w:t xml:space="preserve">RetailCast AI  |  AI/ML Models Implementation Plan</w:t>
    </w:r>
    <w:r>
      <w:rPr>
        <w:rFonts w:ascii="Arial" w:cs="Arial" w:eastAsia="Arial" w:hAnsi="Arial"/>
        <w:color w:val="666666"/>
        <w:sz w:val="18"/>
        <w:szCs w:val="18"/>
      </w:rPr>
      <w:t xml:space="preserve">	Document 2 of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3B1F6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6D3FC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B1F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2026-03-11T08:57:05.681Z</dcterms:created>
  <dcterms:modified xsi:type="dcterms:W3CDTF">2026-03-11T08:57:05.682Z</dcterms:modified>
</cp:coreProperties>
</file>

<file path=docProps/custom.xml><?xml version="1.0" encoding="utf-8"?>
<Properties xmlns="http://schemas.openxmlformats.org/officeDocument/2006/custom-properties" xmlns:vt="http://schemas.openxmlformats.org/officeDocument/2006/docPropsVTypes"/>
</file>