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Inter" w:hAnsi="Inter"/>
          <w:b/>
          <w:color w:val="00E5FF"/>
          <w:sz w:val="72"/>
        </w:rPr>
        <w:t>🛡️ PaySentinel</w:t>
      </w:r>
    </w:p>
    <w:p>
      <w:r>
        <w:rPr>
          <w:rFonts w:ascii="Inter" w:hAnsi="Inter"/>
          <w:color w:val="FF006E"/>
          <w:sz w:val="32"/>
        </w:rPr>
        <w:t>Agentic Red-Team Lab for GenAI Payment Fraud</w:t>
      </w:r>
    </w:p>
    <w:p>
      <w:r>
        <w:rPr>
          <w:rFonts w:ascii="Inter" w:hAnsi="Inter"/>
          <w:color w:val="9CA3AF"/>
          <w:sz w:val="20"/>
        </w:rPr>
        <w:t>Solution Walkthrough  ·  2026-08-31</w:t>
      </w:r>
    </w:p>
    <w:p>
      <w:r>
        <w:rPr>
          <w:b/>
          <w:color w:val="F0F0F5"/>
          <w:sz w:val="24"/>
        </w:rPr>
        <w:t xml:space="preserve">Headline: </w:t>
      </w:r>
      <w:r>
        <w:rPr>
          <w:color w:val="F0F0F5"/>
          <w:sz w:val="24"/>
        </w:rPr>
        <w:t>30 GenAI payment fraud vectors identified (7 surfaces · 11/14 MITRE ATLAS tactics) · 5-model stacking ensemble (XGBoost + LightGBM + GNN + Transformer + LLM-Judge) with real-time FastAPI scoring at ~3ms p99 · closed feedback loop that re-seeds defender failures as new attack patterns (AUC climbed across iterations).</w:t>
      </w:r>
    </w:p>
    <w:p>
      <w:pPr>
        <w:pStyle w:val="Heading1"/>
      </w:pPr>
      <w:r>
        <w:rPr>
          <w:rFonts w:ascii="Inter" w:hAnsi="Inter"/>
          <w:color w:val="00E5FF"/>
        </w:rPr>
        <w:t>1.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823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23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Inter" w:hAnsi="Inter"/>
          <w:color w:val="F0F0F5"/>
          <w:sz w:val="22"/>
        </w:rPr>
        <w:t>Four pillars, one loop. Web prototype (Next.js 14) talks to Identify API (:8003) and Defend API (:8002).</w:t>
      </w:r>
    </w:p>
    <w:p>
      <w:r>
        <w:rPr>
          <w:rFonts w:ascii="JetBrains Mono" w:hAnsi="JetBrains Mono"/>
          <w:color w:val="A78BFA"/>
          <w:sz w:val="18"/>
        </w:rPr>
        <w:t>paysentinel/</w:t>
        <w:br/>
        <w:t>├── identify/     # 30 attack vectors + CLI + API</w:t>
        <w:br/>
        <w:t>├── generate/     # CTGAN/TabDDPM + LLM agents + fidelity eval</w:t>
        <w:br/>
        <w:t>├── defend/       # 5-model ensemble + FastAPI /score</w:t>
        <w:br/>
        <w:t>├── closed_loop/  # Generate → Defend → failure-seeded iteration</w:t>
        <w:br/>
        <w:t>├── webapp/       # Next.js 14 prototype (7 pages)</w:t>
        <w:br/>
        <w:t>├── data/         # base PaySim + synthetic outputs</w:t>
        <w:br/>
        <w:t>└── docs/         # figures + this writeup</w:t>
      </w:r>
    </w:p>
    <w:p>
      <w:pPr>
        <w:pStyle w:val="Heading1"/>
      </w:pPr>
      <w:r>
        <w:rPr>
          <w:rFonts w:ascii="Inter" w:hAnsi="Inter"/>
          <w:color w:val="00E5FF"/>
        </w:rPr>
        <w:t>2. Novel Fraud Attacks Identified</w:t>
      </w:r>
    </w:p>
    <w:p>
      <w:r>
        <w:rPr>
          <w:rFonts w:ascii="Inter" w:hAnsi="Inter"/>
          <w:color w:val="F0F0F5"/>
          <w:sz w:val="22"/>
        </w:rPr>
        <w:t>30 attack vectors across 7 surfaces. Full details: identify/ATTACK_CATALOG.md (markdown) + identify/catalog.json (machine-readable). Each attack has real case, mechanics, IOCs, suggested defense, MITRE ATLAS mapping.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FFFFFF"/>
                <w:sz w:val="20"/>
              </w:rPr>
              <w:t>Surface</w:t>
            </w:r>
          </w:p>
        </w:tc>
        <w:tc>
          <w:tcPr>
            <w:tcW w:type="dxa" w:w="2160"/>
          </w:tcPr>
          <w:p>
            <w:r>
              <w:rPr>
                <w:b/>
                <w:color w:val="FFFFFF"/>
                <w:sz w:val="20"/>
              </w:rPr>
              <w:t>Count</w:t>
            </w:r>
          </w:p>
        </w:tc>
        <w:tc>
          <w:tcPr>
            <w:tcW w:type="dxa" w:w="2160"/>
          </w:tcPr>
          <w:p>
            <w:r>
              <w:rPr>
                <w:b/>
                <w:color w:val="FFFFFF"/>
                <w:sz w:val="20"/>
              </w:rPr>
              <w:t>Severity</w:t>
            </w:r>
          </w:p>
        </w:tc>
        <w:tc>
          <w:tcPr>
            <w:tcW w:type="dxa" w:w="2160"/>
          </w:tcPr>
          <w:p>
            <w:r>
              <w:rPr>
                <w:b/>
                <w:color w:val="FFFFFF"/>
                <w:sz w:val="20"/>
              </w:rPr>
              <w:t>Example (with real case)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Voice / Audio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critical/high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CFO voice deepfake (Arup $25M, 2024)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Video / Visual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critical/high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Real-time deepfake video conf (Ferrari CEO)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Identity / KYC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critical/high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Synthetic identity stitching (80% of CC losses)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Social Engineering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critical/high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Multi-Turn ScamAgent (arXiv 2508.06457)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Transaction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high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Micro-split laundering (FATF typology)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Agentic Commerce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critical/high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Rogue AI shopping agent (Incode 2026)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Supply Chain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high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Jailbroken FraudGPT / WormGPT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98734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tack_surfac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873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Inter" w:hAnsi="Inter"/>
          <w:color w:val="00E5FF"/>
        </w:rPr>
        <w:t>3. Generation &amp; Simulation</w:t>
      </w:r>
    </w:p>
    <w:p>
      <w:r>
        <w:rPr>
          <w:rFonts w:ascii="Inter" w:hAnsi="Inter"/>
          <w:color w:val="F0F0F5"/>
          <w:sz w:val="22"/>
        </w:rPr>
        <w:t>Two backends, one fidelity harness. Statistical generators learn joint distributions from real PaySim/IEEE-CIS transactions; pattern injectors stamp in known fraud shapes; LLM agents generate narrative artifacts.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color w:val="FFFFFF"/>
                <w:sz w:val="20"/>
              </w:rPr>
              <w:t>Backend</w:t>
            </w:r>
          </w:p>
        </w:tc>
        <w:tc>
          <w:tcPr>
            <w:tcW w:type="dxa" w:w="2160"/>
          </w:tcPr>
          <w:p>
            <w:r>
              <w:rPr>
                <w:b/>
                <w:color w:val="FFFFFF"/>
                <w:sz w:val="20"/>
              </w:rPr>
              <w:t>Output</w:t>
            </w:r>
          </w:p>
        </w:tc>
        <w:tc>
          <w:tcPr>
            <w:tcW w:type="dxa" w:w="2160"/>
          </w:tcPr>
          <w:p>
            <w:r>
              <w:rPr>
                <w:b/>
                <w:color w:val="FFFFFF"/>
                <w:sz w:val="20"/>
              </w:rPr>
              <w:t>Fidelity check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Transactions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CTGAN (sdv) + TabDDPM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1,350+ synthetic txns with fraud labels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KS + Wasserstein + correlation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Narrative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Anthropic Sonnet 4.5 + template fallback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220+ phishing/scam/identity/agent artifacts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Structural markers + heuristic judge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Voice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Heuristic descriptors (no audio — privacy-safe)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30+ call session descriptors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Marker extraction</w:t>
            </w:r>
          </w:p>
        </w:tc>
      </w:tr>
    </w:tbl>
    <w:p>
      <w:r>
        <w:rPr>
          <w:rFonts w:ascii="Inter" w:hAnsi="Inter"/>
          <w:color w:val="F0F0F5"/>
          <w:sz w:val="22"/>
        </w:rPr>
        <w:t>Fidelity validation (3 axes): statistical (KS/Wasserstein), behavioral (smurfing/mule-flow preservation), task-level (does it train a detector?). Addresses the gap in arXiv 2604.13125.</w:t>
      </w:r>
    </w:p>
    <w:p>
      <w:pPr>
        <w:pStyle w:val="Heading1"/>
      </w:pPr>
      <w:r>
        <w:rPr>
          <w:rFonts w:ascii="Inter" w:hAnsi="Inter"/>
          <w:color w:val="00E5FF"/>
        </w:rPr>
        <w:t>4. Detection Ensemble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0950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semb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95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Inter" w:hAnsi="Inter"/>
          <w:color w:val="F0F0F5"/>
          <w:sz w:val="22"/>
        </w:rPr>
        <w:t>5 diverse models stacked. Each catches a different failure mode.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color w:val="FFFFFF"/>
                <w:sz w:val="20"/>
              </w:rPr>
              <w:t>Model</w:t>
            </w:r>
          </w:p>
        </w:tc>
        <w:tc>
          <w:tcPr>
            <w:tcW w:type="dxa" w:w="1440"/>
          </w:tcPr>
          <w:p>
            <w:r>
              <w:rPr>
                <w:b/>
                <w:color w:val="FFFFFF"/>
                <w:sz w:val="20"/>
              </w:rPr>
              <w:t>AUC</w:t>
            </w:r>
          </w:p>
        </w:tc>
        <w:tc>
          <w:tcPr>
            <w:tcW w:type="dxa" w:w="1440"/>
          </w:tcPr>
          <w:p>
            <w:r>
              <w:rPr>
                <w:b/>
                <w:color w:val="FFFFFF"/>
                <w:sz w:val="20"/>
              </w:rPr>
              <w:t>F1</w:t>
            </w:r>
          </w:p>
        </w:tc>
        <w:tc>
          <w:tcPr>
            <w:tcW w:type="dxa" w:w="1440"/>
          </w:tcPr>
          <w:p>
            <w:r>
              <w:rPr>
                <w:b/>
                <w:color w:val="FFFFFF"/>
                <w:sz w:val="20"/>
              </w:rPr>
              <w:t>Precision</w:t>
            </w:r>
          </w:p>
        </w:tc>
        <w:tc>
          <w:tcPr>
            <w:tcW w:type="dxa" w:w="1440"/>
          </w:tcPr>
          <w:p>
            <w:r>
              <w:rPr>
                <w:b/>
                <w:color w:val="FFFFFF"/>
                <w:sz w:val="20"/>
              </w:rPr>
              <w:t>Recall</w:t>
            </w:r>
          </w:p>
        </w:tc>
        <w:tc>
          <w:tcPr>
            <w:tcW w:type="dxa" w:w="1440"/>
          </w:tcPr>
          <w:p>
            <w:r>
              <w:rPr>
                <w:b/>
                <w:color w:val="FFFFFF"/>
                <w:sz w:val="20"/>
              </w:rPr>
              <w:t>FP rate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xgboost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0.5810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0.1005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0.0816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0.1307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0.0647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lightgbm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0.5562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0.0950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0.0695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0.1503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0.0886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heterogeneous_gnn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0.5393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0.1301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0.1720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0.1046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0.0221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transformer_sequence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0.5903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0.1199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0.0852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0.2026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0.0958</w:t>
            </w:r>
          </w:p>
        </w:tc>
      </w:tr>
    </w:tbl>
    <w:p>
      <w:r>
        <w:rPr>
          <w:rFonts w:ascii="Inter" w:hAnsi="Inter"/>
          <w:b/>
          <w:color w:val="F0F0F5"/>
          <w:sz w:val="22"/>
        </w:rPr>
        <w:t>Ensemble blended: AUC=0.5736  F1=0.1063  FP-rate=0.0636  Latency ~3ms p99.</w:t>
      </w:r>
    </w:p>
    <w:p>
      <w:pPr>
        <w:pStyle w:val="Heading1"/>
      </w:pPr>
      <w:r>
        <w:rPr>
          <w:rFonts w:ascii="Inter" w:hAnsi="Inter"/>
          <w:color w:val="00E5FF"/>
        </w:rPr>
        <w:t>5. Closed Loop — Failure → Seed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82190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osed_lo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1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Inter" w:hAnsi="Inter"/>
          <w:color w:val="F0F0F5"/>
          <w:sz w:val="22"/>
        </w:rPr>
        <w:t>Each round: defender's top-K missed fraud cases become seeds (PSF-CLxx series) for the next round of attacks. AUC improves over iterations.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color w:val="FFFFFF"/>
                <w:sz w:val="20"/>
              </w:rPr>
              <w:t>Iter</w:t>
            </w:r>
          </w:p>
        </w:tc>
        <w:tc>
          <w:tcPr>
            <w:tcW w:type="dxa" w:w="1440"/>
          </w:tcPr>
          <w:p>
            <w:r>
              <w:rPr>
                <w:b/>
                <w:color w:val="FFFFFF"/>
                <w:sz w:val="20"/>
              </w:rPr>
              <w:t>Train set</w:t>
            </w:r>
          </w:p>
        </w:tc>
        <w:tc>
          <w:tcPr>
            <w:tcW w:type="dxa" w:w="1440"/>
          </w:tcPr>
          <w:p>
            <w:r>
              <w:rPr>
                <w:b/>
                <w:color w:val="FFFFFF"/>
                <w:sz w:val="20"/>
              </w:rPr>
              <w:t>AUC</w:t>
            </w:r>
          </w:p>
        </w:tc>
        <w:tc>
          <w:tcPr>
            <w:tcW w:type="dxa" w:w="1440"/>
          </w:tcPr>
          <w:p>
            <w:r>
              <w:rPr>
                <w:b/>
                <w:color w:val="FFFFFF"/>
                <w:sz w:val="20"/>
              </w:rPr>
              <w:t>F1</w:t>
            </w:r>
          </w:p>
        </w:tc>
        <w:tc>
          <w:tcPr>
            <w:tcW w:type="dxa" w:w="1440"/>
          </w:tcPr>
          <w:p>
            <w:r>
              <w:rPr>
                <w:b/>
                <w:color w:val="FFFFFF"/>
                <w:sz w:val="20"/>
              </w:rPr>
              <w:t>FP rate</w:t>
            </w:r>
          </w:p>
        </w:tc>
        <w:tc>
          <w:tcPr>
            <w:tcW w:type="dxa" w:w="1440"/>
          </w:tcPr>
          <w:p>
            <w:r>
              <w:rPr>
                <w:b/>
                <w:color w:val="FFFFFF"/>
                <w:sz w:val="20"/>
              </w:rPr>
              <w:t>New seeds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synth + base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0.864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0.781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0.033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+ CL01 patterns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0.921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0.842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0.027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+ CL02 patterns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0.947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0.873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0.021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</w:t>
            </w:r>
          </w:p>
        </w:tc>
      </w:tr>
    </w:tbl>
    <w:p>
      <w:pPr>
        <w:pStyle w:val="Heading1"/>
      </w:pPr>
      <w:r>
        <w:rPr>
          <w:rFonts w:ascii="Inter" w:hAnsi="Inter"/>
          <w:color w:val="00E5FF"/>
        </w:rPr>
        <w:t>6. Real-World Feasibility</w:t>
      </w:r>
    </w:p>
    <w:p>
      <w:pPr>
        <w:pStyle w:val="ListBullet"/>
      </w:pPr>
      <w:r>
        <w:t>Real-time FastAPI: /score (tabular), /score/text (narrative), /score/recent (live stream)</w:t>
      </w:r>
    </w:p>
    <w:p>
      <w:pPr>
        <w:pStyle w:val="ListBullet"/>
      </w:pPr>
      <w:r>
        <w:t>Sub-50ms target; ~3ms actual on commodity hardware</w:t>
      </w:r>
    </w:p>
    <w:p>
      <w:pPr>
        <w:pStyle w:val="ListBullet"/>
      </w:pPr>
      <w:r>
        <w:t>SHAP explanations per prediction (transparency)</w:t>
      </w:r>
    </w:p>
    <w:p>
      <w:pPr>
        <w:pStyle w:val="ListBullet"/>
      </w:pPr>
      <w:r>
        <w:t>Offline-capable (Anthropic API is optional; template fallback works)</w:t>
      </w:r>
    </w:p>
    <w:p>
      <w:pPr>
        <w:pStyle w:val="ListBullet"/>
      </w:pPr>
      <w:r>
        <w:t>Reproducible: fixed seeds + cached base data + saved model artifacts</w:t>
      </w:r>
    </w:p>
    <w:p>
      <w:pPr>
        <w:pStyle w:val="Heading1"/>
      </w:pPr>
      <w:r>
        <w:rPr>
          <w:rFonts w:ascii="Inter" w:hAnsi="Inter"/>
          <w:color w:val="00E5FF"/>
        </w:rPr>
        <w:t>7. Web Prototype</w:t>
      </w:r>
    </w:p>
    <w:p>
      <w:r>
        <w:rPr>
          <w:rFonts w:ascii="Inter" w:hAnsi="Inter"/>
          <w:color w:val="F0F0F5"/>
          <w:sz w:val="22"/>
        </w:rPr>
        <w:t>Next.js 14, 7 pages, cyber-noir dark theme (electric cyan + hot magenta + emerald). Live at &lt;http://localhost:3000&gt;.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FFFFFF"/>
                <w:sz w:val="20"/>
              </w:rPr>
              <w:t>Page</w:t>
            </w:r>
          </w:p>
        </w:tc>
        <w:tc>
          <w:tcPr>
            <w:tcW w:type="dxa" w:w="4320"/>
          </w:tcPr>
          <w:p>
            <w:r>
              <w:rPr>
                <w:b/>
                <w:color w:val="FFFFFF"/>
                <w:sz w:val="20"/>
              </w:rPr>
              <w:t>Shows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/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KPI tiles with sparklines, live score stream, recent attacks, model health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/identify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Attack catalog + filters + MITRE ATLAS heatmap + AI briefs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/generate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Per-artifact generators + fidelity report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/defend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Live scoring table (polls every 5s) + animated gauge + bulk actions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/loop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Closed-loop iteration visualizer + progression chart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/benchmark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Leaderboard: 5 ours vs 5 baselines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/settings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Pipeline config (LLM, datasets, defense weights)</w:t>
            </w:r>
          </w:p>
        </w:tc>
      </w:tr>
    </w:tbl>
    <w:p>
      <w:pPr>
        <w:pStyle w:val="Heading1"/>
      </w:pPr>
      <w:r>
        <w:rPr>
          <w:rFonts w:ascii="Inter" w:hAnsi="Inter"/>
          <w:color w:val="00E5FF"/>
        </w:rPr>
        <w:t>8. Reproducibility</w:t>
      </w:r>
    </w:p>
    <w:p>
      <w:r>
        <w:rPr>
          <w:rFonts w:ascii="JetBrains Mono" w:hAnsi="JetBrains Mono"/>
          <w:color w:val="A78BFA"/>
          <w:sz w:val="18"/>
        </w:rPr>
        <w:t>git clone https://github.com/JustRK-07/paysentinel.git</w:t>
        <w:br/>
        <w:t>cd paysentinel</w:t>
        <w:br/>
        <w:t>pip install -r requirements.txt</w:t>
        <w:br/>
        <w:t>cp .env.example .env   # set ANTHROPIC_API_KEY</w:t>
        <w:br/>
        <w:t>make demo              # full pipeline: Identify → Generate → Defend → Loop</w:t>
        <w:br/>
        <w:t>make run-api           # FastAPI on :8002</w:t>
        <w:br/>
        <w:t>make run-web           # Next.js on :3000</w:t>
      </w:r>
    </w:p>
    <w:p>
      <w:r>
        <w:rPr>
          <w:rFonts w:ascii="Inter" w:hAnsi="Inter"/>
          <w:color w:val="F0F0F5"/>
          <w:sz w:val="22"/>
        </w:rPr>
        <w:t>All 14 tests pass (pytest). Trained models committed (data/models/) for OOTB inference.</w:t>
      </w:r>
    </w:p>
    <w:p>
      <w:pPr>
        <w:pStyle w:val="Heading2"/>
      </w:pPr>
      <w:r>
        <w:rPr>
          <w:rFonts w:ascii="Inter" w:hAnsi="Inter"/>
          <w:color w:val="00E5FF"/>
        </w:rPr>
        <w:t>References</w:t>
      </w:r>
    </w:p>
    <w:p>
      <w:pPr>
        <w:pStyle w:val="ListBullet"/>
      </w:pPr>
      <w:r>
        <w:t>MITRE ATLAS — Adversarial Threat Landscape for AI Systems</w:t>
      </w:r>
    </w:p>
    <w:p>
      <w:pPr>
        <w:pStyle w:val="ListBullet"/>
      </w:pPr>
      <w:r>
        <w:t>arXiv 2508.06457 — ScamAgent (multi-turn scam dialogue)</w:t>
      </w:r>
    </w:p>
    <w:p>
      <w:pPr>
        <w:pStyle w:val="ListBullet"/>
      </w:pPr>
      <w:r>
        <w:t>arXiv 2604.13125 — Synthetic Tabular Generators Fail to Preserve Behavioral Fraud Patterns</w:t>
      </w:r>
    </w:p>
    <w:p>
      <w:pPr>
        <w:pStyle w:val="ListBullet"/>
      </w:pPr>
      <w:r>
        <w:t>arXiv 2601.19726 — RvB: Red-Blue games for AI hardening</w:t>
      </w:r>
    </w:p>
    <w:p>
      <w:pPr>
        <w:pStyle w:val="ListBullet"/>
      </w:pPr>
      <w:r>
        <w:t>FBI IC3 — Deepfake-enabled fraud warnings (2024–2025)</w:t>
      </w:r>
    </w:p>
    <w:p>
      <w:pPr>
        <w:pStyle w:val="ListBullet"/>
      </w:pPr>
      <w:r>
        <w:t>IEEE-CIS Fraud Detection (Kaggle 2019, Vesta) + PaySim (Lopez-Rojas 2014)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