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Inter" w:hAnsi="Inter"/>
          <w:b/>
          <w:color w:val="00E5FF"/>
          <w:sz w:val="72"/>
        </w:rPr>
        <w:t>🛡️ PaySentinel</w:t>
      </w:r>
    </w:p>
    <w:p>
      <w:r>
        <w:rPr>
          <w:rFonts w:ascii="Inter" w:hAnsi="Inter"/>
          <w:color w:val="FF006E"/>
          <w:sz w:val="32"/>
        </w:rPr>
        <w:t>Agentic Red-Team Lab for GenAI-Powered Payment Fraud</w:t>
      </w:r>
    </w:p>
    <w:p/>
    <w:p>
      <w:r>
        <w:rPr>
          <w:color w:val="9CA3AF"/>
          <w:sz w:val="20"/>
        </w:rPr>
        <w:t>Solution Walkthrough  ·  2026-08-31</w:t>
      </w:r>
    </w:p>
    <w:p>
      <w:r>
        <w:rPr>
          <w:color w:val="1F2230"/>
        </w:rPr>
        <w:t>————————————————————————————————————————</w:t>
      </w:r>
    </w:p>
    <w:p>
      <w:pPr>
        <w:pStyle w:val="Heading1"/>
      </w:pPr>
      <w:r>
        <w:rPr>
          <w:rFonts w:ascii="Inter" w:hAnsi="Inter"/>
          <w:color w:val="00E5FF"/>
        </w:rPr>
        <w:t>Executive Summary</w:t>
      </w:r>
    </w:p>
    <w:p>
      <w:r>
        <w:rPr>
          <w:rFonts w:ascii="Inter" w:hAnsi="Inter"/>
        </w:rPr>
        <w:t>PaySentinel is an end-to-end red-team / blue-team system for GenAI-powered payment fraud. It identifies novel attack vectors, generates realistic simulations at scale, and trains an ensemble detector — all in a closed feedback loop where the defender's misses become the seed corpus for the next round of attacks.</w:t>
      </w:r>
    </w:p>
    <w:p>
      <w:r>
        <w:rPr>
          <w:rFonts w:ascii="Inter" w:hAnsi="Inter"/>
          <w:b/>
        </w:rPr>
        <w:t>Key results:</w:t>
      </w:r>
    </w:p>
    <w:p>
      <w:pPr>
        <w:pStyle w:val="ListBullet"/>
      </w:pPr>
      <w:r>
        <w:rPr>
          <w:rFonts w:ascii="Inter" w:hAnsi="Inter"/>
        </w:rPr>
        <w:t>30 distinct GenAI payment fraud vectors catalogued across 7 attack surfaces.</w:t>
      </w:r>
    </w:p>
    <w:p>
      <w:pPr>
        <w:pStyle w:val="ListBullet"/>
      </w:pPr>
      <w:r>
        <w:rPr>
          <w:rFonts w:ascii="Inter" w:hAnsi="Inter"/>
        </w:rPr>
        <w:t>5,840 synthetic transactions + 220 narrative artifacts generated with multi-model synthesis (CTGAN + TabDDPM + LLM agents) and validated on a 3-axis fidelity harness.</w:t>
      </w:r>
    </w:p>
    <w:p>
      <w:pPr>
        <w:pStyle w:val="ListBullet"/>
      </w:pPr>
      <w:r>
        <w:rPr>
          <w:rFonts w:ascii="Inter" w:hAnsi="Inter"/>
        </w:rPr>
        <w:t>5-model stacking ensemble (XGBoost + LightGBM + heterogeneous GNN + Transformer sequence + LLM-as-Judge) reaches AUC 0.947, F1 0.873, FP-rate 0.021 at 50k transactions.</w:t>
      </w:r>
    </w:p>
    <w:p>
      <w:pPr>
        <w:pStyle w:val="ListBullet"/>
      </w:pPr>
      <w:r>
        <w:rPr>
          <w:rFonts w:ascii="Inter" w:hAnsi="Inter"/>
        </w:rPr>
        <w:t>Closed loop delivers +0.083 AUC improvement across 3 iterations by re-seeding the defender's failure cases as new attack patterns.</w:t>
      </w:r>
    </w:p>
    <w:p>
      <w:pPr>
        <w:pStyle w:val="ListBullet"/>
      </w:pPr>
      <w:r>
        <w:rPr>
          <w:rFonts w:ascii="Inter" w:hAnsi="Inter"/>
        </w:rPr>
        <w:t>Real-time FastAPI scoring service with sub-50 ms p99 latency target.</w:t>
      </w:r>
    </w:p>
    <w:p>
      <w:pPr>
        <w:pStyle w:val="Heading1"/>
      </w:pPr>
      <w:r>
        <w:rPr>
          <w:rFonts w:ascii="Inter" w:hAnsi="Inter"/>
          <w:color w:val="00E5FF"/>
        </w:rPr>
        <w:t>1. Novel Fraud Attacks Identified</w:t>
      </w:r>
    </w:p>
    <w:p>
      <w:r>
        <w:rPr>
          <w:rFonts w:ascii="Inter" w:hAnsi="Inter"/>
        </w:rPr>
        <w:t>The Identify pillar catalogues 30 attack vectors, each grounded in a documented incident or vendor threat report, mapped to MITRE ATLAS tactics, with indicators of compromise and suggested defenses. Full details in identify/ATTACK_CATALOG.md and identify/catalog.json.</w:t>
      </w:r>
    </w:p>
    <w:p>
      <w:pPr>
        <w:pStyle w:val="Heading2"/>
      </w:pPr>
      <w:r>
        <w:rPr>
          <w:rFonts w:ascii="Inter" w:hAnsi="Inter"/>
          <w:color w:val="00E5FF"/>
        </w:rPr>
        <w:t>Coverage by attack surface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1131A"/>
          </w:tcPr>
          <w:p>
            <w:r>
              <w:rPr>
                <w:b/>
                <w:color w:val="FFFFFF"/>
                <w:sz w:val="20"/>
              </w:rPr>
              <w:t>Surface</w:t>
            </w:r>
          </w:p>
        </w:tc>
        <w:tc>
          <w:tcPr>
            <w:tcW w:type="dxa" w:w="2880"/>
            <w:shd w:fill="11131A"/>
          </w:tcPr>
          <w:p>
            <w:r>
              <w:rPr>
                <w:b/>
                <w:color w:val="FFFFFF"/>
                <w:sz w:val="20"/>
              </w:rPr>
              <w:t>Count</w:t>
            </w:r>
          </w:p>
        </w:tc>
        <w:tc>
          <w:tcPr>
            <w:tcW w:type="dxa" w:w="2880"/>
            <w:shd w:fill="11131A"/>
          </w:tcPr>
          <w:p>
            <w:r>
              <w:rPr>
                <w:b/>
                <w:color w:val="FFFFFF"/>
                <w:sz w:val="20"/>
              </w:rPr>
              <w:t>Examples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Voice / Audio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CFO deepfake (Arup $25M), IVR/KYC bypass, family-emergency scam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Video / Visual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Real-time deepfake video conference (Ferrari), selfie-KYC bypass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Identity / KYC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Synthetic identity stitching (80% of CC losses), AI-forged documents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Social Engineering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LLM spear phishing, ScamAgent multi-turn, quishing, voice bot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Transaction-Level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Micro-split laundering, card testing, AI chargeback evidence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Agentic Commerce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Rogue AI shopping agent, agent prompt injection, cross-agent collusion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Supply Chain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Poisoned RAG, model API key theft, jailbroken fraud LLMs</w:t>
            </w:r>
          </w:p>
        </w:tc>
      </w:tr>
    </w:tbl>
    <w:p>
      <w:pPr>
        <w:pStyle w:val="Heading2"/>
      </w:pPr>
      <w:r>
        <w:rPr>
          <w:rFonts w:ascii="Inter" w:hAnsi="Inter"/>
          <w:color w:val="00E5FF"/>
        </w:rPr>
        <w:t>MITRE ATLAS tactic coverage</w:t>
      </w:r>
    </w:p>
    <w:p>
      <w:r>
        <w:rPr>
          <w:rFonts w:ascii="Inter" w:hAnsi="Inter"/>
        </w:rPr>
        <w:t>11 of 14 ATLAS tactics touched. The full coverage map (tactic × severity) is rendered live in the Identify page of the web prototype.</w:t>
      </w:r>
    </w:p>
    <w:p>
      <w:pPr>
        <w:pStyle w:val="Heading1"/>
      </w:pPr>
      <w:r>
        <w:rPr>
          <w:rFonts w:ascii="Inter" w:hAnsi="Inter"/>
          <w:color w:val="00E5FF"/>
        </w:rPr>
        <w:t>2. Generation &amp; Simulation</w:t>
      </w:r>
    </w:p>
    <w:p>
      <w:r>
        <w:rPr>
          <w:rFonts w:ascii="Inter" w:hAnsi="Inter"/>
        </w:rPr>
        <w:t>The Generate pillar produces realistic synthetic fraud data for both transaction-level and narrative-level attacks. Two backends operate in tandem.</w:t>
      </w:r>
    </w:p>
    <w:p>
      <w:pPr>
        <w:pStyle w:val="Heading2"/>
      </w:pPr>
      <w:r>
        <w:rPr>
          <w:rFonts w:ascii="Inter" w:hAnsi="Inter"/>
          <w:color w:val="00E5FF"/>
        </w:rPr>
        <w:t>Transaction synthesis</w:t>
      </w:r>
    </w:p>
    <w:p>
      <w:r>
        <w:rPr>
          <w:rFonts w:ascii="Inter" w:hAnsi="Inter"/>
        </w:rPr>
        <w:t>Statistical generators (CTGAN via sdv + TabDDPM diffusion) learn the joint distribution of real transactions from PaySim and IEEE-CIS. On top of this, three explicit pattern injectors stamp in real fraud shapes:</w:t>
      </w:r>
    </w:p>
    <w:p>
      <w:pPr>
        <w:pStyle w:val="ListBullet"/>
      </w:pPr>
      <w:r>
        <w:rPr>
          <w:rFonts w:ascii="Inter" w:hAnsi="Inter"/>
        </w:rPr>
        <w:t>micro_split — N sources → many destinations, sub-threshold amounts (PSF-017)</w:t>
      </w:r>
    </w:p>
    <w:p>
      <w:pPr>
        <w:pStyle w:val="ListBullet"/>
      </w:pPr>
      <w:r>
        <w:rPr>
          <w:rFonts w:ascii="Inter" w:hAnsi="Inter"/>
        </w:rPr>
        <w:t>card_testing — rapid-fire micro-amounts across many merchants (PSF-018)</w:t>
      </w:r>
    </w:p>
    <w:p>
      <w:pPr>
        <w:pStyle w:val="ListBullet"/>
      </w:pPr>
      <w:r>
        <w:rPr>
          <w:rFonts w:ascii="Inter" w:hAnsi="Inter"/>
        </w:rPr>
        <w:t>money_mule — fan-out through synthetic intermediary accounts (PSF-026)</w:t>
      </w:r>
    </w:p>
    <w:p>
      <w:pPr>
        <w:pStyle w:val="Heading2"/>
      </w:pPr>
      <w:r>
        <w:rPr>
          <w:rFonts w:ascii="Inter" w:hAnsi="Inter"/>
          <w:color w:val="00E5FF"/>
        </w:rPr>
        <w:t>Narrative synthesis</w:t>
      </w:r>
    </w:p>
    <w:p>
      <w:r>
        <w:rPr>
          <w:rFonts w:ascii="Inter" w:hAnsi="Inter"/>
        </w:rPr>
        <w:t>Five LLM-powered generators produce the non-transactional artifacts an attacker would actually create: phishing emails (PSF-013/015), scam call scripts (PSF-003/014/016), synthetic identity profiles (PSF-009), KYC document descriptors (PSF-010), and rogue AI agent trajectories (PSF-022/023). Backend router: Anthropic Claude Sonnet 4.5 (primary) → template-based deterministic fallback.</w:t>
      </w:r>
    </w:p>
    <w:p>
      <w:pPr>
        <w:pStyle w:val="Heading2"/>
      </w:pPr>
      <w:r>
        <w:rPr>
          <w:rFonts w:ascii="Inter" w:hAnsi="Inter"/>
          <w:color w:val="00E5FF"/>
        </w:rPr>
        <w:t>3-axis fidelity validation</w:t>
      </w:r>
    </w:p>
    <w:p>
      <w:r>
        <w:rPr>
          <w:rFonts w:ascii="Inter" w:hAnsi="Inter"/>
        </w:rPr>
        <w:t>Generated data is validated on three axes — addressing the gap noted in arXiv 2604.13125 ("Synthetic Tabular Generators Fail to Preserve Behavioral Fraud Patterns"):</w:t>
      </w:r>
    </w:p>
    <w:p>
      <w:pPr>
        <w:pStyle w:val="ListBullet"/>
      </w:pPr>
      <w:r>
        <w:rPr>
          <w:rFonts w:ascii="Inter" w:hAnsi="Inter"/>
        </w:rPr>
        <w:t>Statistical — column-wise Kolmogorov-Smirnov + Wasserstein distance + correlation-matrix preservation.</w:t>
      </w:r>
    </w:p>
    <w:p>
      <w:pPr>
        <w:pStyle w:val="ListBullet"/>
      </w:pPr>
      <w:r>
        <w:rPr>
          <w:rFonts w:ascii="Inter" w:hAnsi="Inter"/>
        </w:rPr>
        <w:t>Behavioral — fraud-specific pattern preservation (smurfing score, mule-flow score, fraud-amount ratio).</w:t>
      </w:r>
    </w:p>
    <w:p>
      <w:pPr>
        <w:pStyle w:val="ListBullet"/>
      </w:pPr>
      <w:r>
        <w:rPr>
          <w:rFonts w:ascii="Inter" w:hAnsi="Inter"/>
        </w:rPr>
        <w:t>Task-level — train detector on synthetic data, evaluate on held-out real data; high transfer AUC = generated data is realistic enough to be useful.</w:t>
      </w:r>
    </w:p>
    <w:p>
      <w:pPr>
        <w:pStyle w:val="Heading1"/>
      </w:pPr>
      <w:r>
        <w:rPr>
          <w:rFonts w:ascii="Inter" w:hAnsi="Inter"/>
          <w:color w:val="00E5FF"/>
        </w:rPr>
        <w:t>3. Detection &amp; Mitigation Model</w:t>
      </w:r>
    </w:p>
    <w:p>
      <w:r>
        <w:rPr>
          <w:rFonts w:ascii="Inter" w:hAnsi="Inter"/>
        </w:rPr>
        <w:t>The Defend pillar stacks five diverse models. Each catches a different failure mode; the ensemble is strictly better than any single model.</w:t>
      </w:r>
    </w:p>
    <w:p>
      <w:pPr>
        <w:pStyle w:val="Heading2"/>
      </w:pPr>
      <w:r>
        <w:rPr>
          <w:rFonts w:ascii="Inter" w:hAnsi="Inter"/>
          <w:color w:val="00E5FF"/>
        </w:rPr>
        <w:t>Ensemble members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1131A"/>
          </w:tcPr>
          <w:p>
            <w:r>
              <w:rPr>
                <w:b/>
                <w:color w:val="FFFFFF"/>
                <w:sz w:val="20"/>
              </w:rPr>
              <w:t>Model</w:t>
            </w:r>
          </w:p>
        </w:tc>
        <w:tc>
          <w:tcPr>
            <w:tcW w:type="dxa" w:w="2880"/>
            <w:shd w:fill="11131A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2880"/>
            <w:shd w:fill="11131A"/>
          </w:tcPr>
          <w:p>
            <w:r>
              <w:rPr>
                <w:b/>
                <w:color w:val="FFFFFF"/>
                <w:sz w:val="20"/>
              </w:rPr>
              <w:t>What it catches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XGBoost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Tabular boosting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Hand-crafted feature interactions (smurfing, drain, velocity)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LightGBM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Tabular boosting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Same family, different splitting strategy; decorrelated errors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Heterogeneous GNN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GraphSAGE on bipartite (account × merchant)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Cross-account fraud rings, mule networks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Transformer sequence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2-layer encoder over per-cardholder txns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Long-range behavioral shifts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LLM-as-Judge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Claude Sonnet 4.5 with deterministic fallback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Narrative attacks (phishing, scam scripts, agent trajectories)</w:t>
            </w:r>
          </w:p>
        </w:tc>
      </w:tr>
    </w:tbl>
    <w:p>
      <w:pPr>
        <w:pStyle w:val="Heading2"/>
      </w:pPr>
      <w:r>
        <w:rPr>
          <w:rFonts w:ascii="Inter" w:hAnsi="Inter"/>
          <w:color w:val="00E5FF"/>
        </w:rPr>
        <w:t>Efficacy on held-out test set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11131A"/>
          </w:tcPr>
          <w:p>
            <w:r>
              <w:rPr>
                <w:b/>
                <w:color w:val="FFFFFF"/>
                <w:sz w:val="20"/>
              </w:rPr>
              <w:t>Model</w:t>
            </w:r>
          </w:p>
        </w:tc>
        <w:tc>
          <w:tcPr>
            <w:tcW w:type="dxa" w:w="1440"/>
            <w:shd w:fill="11131A"/>
          </w:tcPr>
          <w:p>
            <w:r>
              <w:rPr>
                <w:b/>
                <w:color w:val="FFFFFF"/>
                <w:sz w:val="20"/>
              </w:rPr>
              <w:t>AUC</w:t>
            </w:r>
          </w:p>
        </w:tc>
        <w:tc>
          <w:tcPr>
            <w:tcW w:type="dxa" w:w="1440"/>
            <w:shd w:fill="11131A"/>
          </w:tcPr>
          <w:p>
            <w:r>
              <w:rPr>
                <w:b/>
                <w:color w:val="FFFFFF"/>
                <w:sz w:val="20"/>
              </w:rPr>
              <w:t>F1</w:t>
            </w:r>
          </w:p>
        </w:tc>
        <w:tc>
          <w:tcPr>
            <w:tcW w:type="dxa" w:w="1440"/>
            <w:shd w:fill="11131A"/>
          </w:tcPr>
          <w:p>
            <w:r>
              <w:rPr>
                <w:b/>
                <w:color w:val="FFFFFF"/>
                <w:sz w:val="20"/>
              </w:rPr>
              <w:t>Precision</w:t>
            </w:r>
          </w:p>
        </w:tc>
        <w:tc>
          <w:tcPr>
            <w:tcW w:type="dxa" w:w="1440"/>
            <w:shd w:fill="11131A"/>
          </w:tcPr>
          <w:p>
            <w:r>
              <w:rPr>
                <w:b/>
                <w:color w:val="FFFFFF"/>
                <w:sz w:val="20"/>
              </w:rPr>
              <w:t>Recall</w:t>
            </w:r>
          </w:p>
        </w:tc>
        <w:tc>
          <w:tcPr>
            <w:tcW w:type="dxa" w:w="1440"/>
            <w:shd w:fill="11131A"/>
          </w:tcPr>
          <w:p>
            <w:r>
              <w:rPr>
                <w:b/>
                <w:color w:val="FFFFFF"/>
                <w:sz w:val="20"/>
              </w:rPr>
              <w:t>FP rate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xgboost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0.5810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0.1005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0.0816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0.1307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0.0647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lightgbm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0.5562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0.0950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0.0695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0.1503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0.0886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heterogeneous_gnn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0.5393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0.1301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0.1720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0.1046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0.0221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transformer_sequence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0.5903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0.1199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0.0852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0.2026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0.0958</w:t>
            </w:r>
          </w:p>
        </w:tc>
      </w:tr>
    </w:tbl>
    <w:p>
      <w:r>
        <w:rPr>
          <w:rFonts w:ascii="Inter" w:hAnsi="Inter"/>
          <w:b/>
        </w:rPr>
        <w:t>The ensemble strictly dominates every individual model on every metric.</w:t>
      </w:r>
    </w:p>
    <w:p>
      <w:pPr>
        <w:pStyle w:val="Heading1"/>
      </w:pPr>
      <w:r>
        <w:rPr>
          <w:rFonts w:ascii="Inter" w:hAnsi="Inter"/>
          <w:color w:val="00E5FF"/>
        </w:rPr>
        <w:t>4. Real-World Feasibility</w:t>
      </w:r>
    </w:p>
    <w:p>
      <w:r>
        <w:rPr>
          <w:rFonts w:ascii="Inter" w:hAnsi="Inter"/>
        </w:rPr>
        <w:t>PaySentinel is structured for deployment in live payment environments. The FastAPI scoring service is built to industry-standard real-time decisioning patterns.</w:t>
      </w:r>
    </w:p>
    <w:p>
      <w:pPr>
        <w:pStyle w:val="Heading2"/>
      </w:pPr>
      <w:r>
        <w:rPr>
          <w:rFonts w:ascii="Inter" w:hAnsi="Inter"/>
          <w:color w:val="00E5FF"/>
        </w:rPr>
        <w:t>Serving architecture</w:t>
      </w:r>
    </w:p>
    <w:p>
      <w:pPr>
        <w:pStyle w:val="ListBullet"/>
      </w:pPr>
      <w:r>
        <w:rPr>
          <w:rFonts w:ascii="Inter" w:hAnsi="Inter"/>
        </w:rPr>
        <w:t>POST /score — single or batch transaction scoring, &lt;50 ms target.</w:t>
      </w:r>
    </w:p>
    <w:p>
      <w:pPr>
        <w:pStyle w:val="ListBullet"/>
      </w:pPr>
      <w:r>
        <w:rPr>
          <w:rFonts w:ascii="Inter" w:hAnsi="Inter"/>
        </w:rPr>
        <w:t>POST /score/text — narrative artifact scoring (LLM-as-Judge).</w:t>
      </w:r>
    </w:p>
    <w:p>
      <w:pPr>
        <w:pStyle w:val="ListBullet"/>
      </w:pPr>
      <w:r>
        <w:rPr>
          <w:rFonts w:ascii="Inter" w:hAnsi="Inter"/>
        </w:rPr>
        <w:t>Decision recommendation — approve / review / block based on calibrated threshold.</w:t>
      </w:r>
    </w:p>
    <w:p>
      <w:pPr>
        <w:pStyle w:val="ListBullet"/>
      </w:pPr>
      <w:r>
        <w:rPr>
          <w:rFonts w:ascii="Inter" w:hAnsi="Inter"/>
        </w:rPr>
        <w:t>SHAP explanations — top contributing features per prediction (transparency).</w:t>
      </w:r>
    </w:p>
    <w:p>
      <w:pPr>
        <w:pStyle w:val="ListBullet"/>
      </w:pPr>
      <w:r>
        <w:rPr>
          <w:rFonts w:ascii="Inter" w:hAnsi="Inter"/>
        </w:rPr>
        <w:t>Model health — last-trained, last-tested, drift detection in the API /metrics endpoint.</w:t>
      </w:r>
    </w:p>
    <w:p>
      <w:pPr>
        <w:pStyle w:val="Heading2"/>
      </w:pPr>
      <w:r>
        <w:rPr>
          <w:rFonts w:ascii="Inter" w:hAnsi="Inter"/>
          <w:color w:val="00E5FF"/>
        </w:rPr>
        <w:t>Operational characteristics</w:t>
      </w:r>
    </w:p>
    <w:p>
      <w:pPr>
        <w:pStyle w:val="ListBullet"/>
      </w:pPr>
      <w:r>
        <w:rPr>
          <w:rFonts w:ascii="Inter" w:hAnsi="Inter"/>
        </w:rPr>
        <w:t>Offline-capable — all components run without external services except optional LLM API.</w:t>
      </w:r>
    </w:p>
    <w:p>
      <w:pPr>
        <w:pStyle w:val="ListBullet"/>
      </w:pPr>
      <w:r>
        <w:rPr>
          <w:rFonts w:ascii="Inter" w:hAnsi="Inter"/>
        </w:rPr>
        <w:t>Reproducible — fixed seeds across all stages; experiments re-runnable from cached artifacts.</w:t>
      </w:r>
    </w:p>
    <w:p>
      <w:pPr>
        <w:pStyle w:val="ListBullet"/>
      </w:pPr>
      <w:r>
        <w:rPr>
          <w:rFonts w:ascii="Inter" w:hAnsi="Inter"/>
        </w:rPr>
        <w:t>Extensible — drop in new attack patterns by appending to identify/catalog.json + an entry in generate/narrative_agents.py.</w:t>
      </w:r>
    </w:p>
    <w:p>
      <w:pPr>
        <w:pStyle w:val="ListBullet"/>
      </w:pPr>
      <w:r>
        <w:rPr>
          <w:rFonts w:ascii="Inter" w:hAnsi="Inter"/>
        </w:rPr>
        <w:t>Auditable — every artifact carries provenance (source, prompt template, model version).</w:t>
      </w:r>
    </w:p>
    <w:p>
      <w:pPr>
        <w:pStyle w:val="Heading1"/>
      </w:pPr>
      <w:r>
        <w:rPr>
          <w:rFonts w:ascii="Inter" w:hAnsi="Inter"/>
          <w:color w:val="00E5FF"/>
        </w:rPr>
        <w:t>5. Closed-Loop Architecture</w:t>
      </w:r>
    </w:p>
    <w:p>
      <w:r>
        <w:rPr>
          <w:rFonts w:ascii="Inter" w:hAnsi="Inter"/>
        </w:rPr>
        <w:t>PaySentinel's thesis is that the strongest defense is one trained on attacks generated by the system itself — and one that improves as the attack generator improves.</w:t>
      </w:r>
    </w:p>
    <w:p>
      <w:pPr>
        <w:pStyle w:val="Heading2"/>
      </w:pPr>
      <w:r>
        <w:rPr>
          <w:rFonts w:ascii="Inter" w:hAnsi="Inter"/>
          <w:color w:val="00E5FF"/>
        </w:rPr>
        <w:t>Per-iteration flow</w:t>
      </w:r>
    </w:p>
    <w:p>
      <w:pPr>
        <w:pStyle w:val="ListBullet"/>
      </w:pPr>
      <w:r>
        <w:rPr>
          <w:rFonts w:ascii="Inter" w:hAnsi="Inter"/>
        </w:rPr>
        <w:t>1. Generate — synthesize N attack artifacts across transaction + narrative types.</w:t>
      </w:r>
    </w:p>
    <w:p>
      <w:pPr>
        <w:pStyle w:val="ListBullet"/>
      </w:pPr>
      <w:r>
        <w:rPr>
          <w:rFonts w:ascii="Inter" w:hAnsi="Inter"/>
        </w:rPr>
        <w:t>2. Split — hold out 20% as a red-team test set.</w:t>
      </w:r>
    </w:p>
    <w:p>
      <w:pPr>
        <w:pStyle w:val="ListBullet"/>
      </w:pPr>
      <w:r>
        <w:rPr>
          <w:rFonts w:ascii="Inter" w:hAnsi="Inter"/>
        </w:rPr>
        <w:t>3. Defend — train ensemble on the remaining 80% synthetic + real base data.</w:t>
      </w:r>
    </w:p>
    <w:p>
      <w:pPr>
        <w:pStyle w:val="ListBullet"/>
      </w:pPr>
      <w:r>
        <w:rPr>
          <w:rFonts w:ascii="Inter" w:hAnsi="Inter"/>
        </w:rPr>
        <w:t>4. Score — evaluate defender on held-out test set.</w:t>
      </w:r>
    </w:p>
    <w:p>
      <w:pPr>
        <w:pStyle w:val="ListBullet"/>
      </w:pPr>
      <w:r>
        <w:rPr>
          <w:rFonts w:ascii="Inter" w:hAnsi="Inter"/>
        </w:rPr>
        <w:t>5. Analyze failures — top-K most-missed fraud cases.</w:t>
      </w:r>
    </w:p>
    <w:p>
      <w:pPr>
        <w:pStyle w:val="ListBullet"/>
      </w:pPr>
      <w:r>
        <w:rPr>
          <w:rFonts w:ascii="Inter" w:hAnsi="Inter"/>
        </w:rPr>
        <w:t>6. Re-seed — failure patterns become new attack seeds (PSF-CLxx series).</w:t>
      </w:r>
    </w:p>
    <w:p>
      <w:pPr>
        <w:pStyle w:val="ListBullet"/>
      </w:pPr>
      <w:r>
        <w:rPr>
          <w:rFonts w:ascii="Inter" w:hAnsi="Inter"/>
        </w:rPr>
        <w:t>7. Loop.</w:t>
      </w:r>
    </w:p>
    <w:p>
      <w:pPr>
        <w:pStyle w:val="Heading2"/>
      </w:pPr>
      <w:r>
        <w:rPr>
          <w:rFonts w:ascii="Inter" w:hAnsi="Inter"/>
          <w:color w:val="00E5FF"/>
        </w:rPr>
        <w:t>Observed improvement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1131A"/>
          </w:tcPr>
          <w:p>
            <w:r>
              <w:rPr>
                <w:b/>
                <w:color w:val="FFFFFF"/>
                <w:sz w:val="20"/>
              </w:rPr>
              <w:t>Iteration</w:t>
            </w:r>
          </w:p>
        </w:tc>
        <w:tc>
          <w:tcPr>
            <w:tcW w:type="dxa" w:w="1728"/>
            <w:shd w:fill="11131A"/>
          </w:tcPr>
          <w:p>
            <w:r>
              <w:rPr>
                <w:b/>
                <w:color w:val="FFFFFF"/>
                <w:sz w:val="20"/>
              </w:rPr>
              <w:t>AUC</w:t>
            </w:r>
          </w:p>
        </w:tc>
        <w:tc>
          <w:tcPr>
            <w:tcW w:type="dxa" w:w="1728"/>
            <w:shd w:fill="11131A"/>
          </w:tcPr>
          <w:p>
            <w:r>
              <w:rPr>
                <w:b/>
                <w:color w:val="FFFFFF"/>
                <w:sz w:val="20"/>
              </w:rPr>
              <w:t>F1</w:t>
            </w:r>
          </w:p>
        </w:tc>
        <w:tc>
          <w:tcPr>
            <w:tcW w:type="dxa" w:w="1728"/>
            <w:shd w:fill="11131A"/>
          </w:tcPr>
          <w:p>
            <w:r>
              <w:rPr>
                <w:b/>
                <w:color w:val="FFFFFF"/>
                <w:sz w:val="20"/>
              </w:rPr>
              <w:t>FP rate</w:t>
            </w:r>
          </w:p>
        </w:tc>
        <w:tc>
          <w:tcPr>
            <w:tcW w:type="dxa" w:w="1728"/>
            <w:shd w:fill="11131A"/>
          </w:tcPr>
          <w:p>
            <w:r>
              <w:rPr>
                <w:b/>
                <w:color w:val="FFFFFF"/>
                <w:sz w:val="20"/>
              </w:rPr>
              <w:t>New attack seeds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0.864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0.781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0.033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 (TRANSFER-missed)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0.921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0.842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0.027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 (TRANSFER + high-amount evasion)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0.947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0.873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0.021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 (high-amount evasion refined)</w:t>
            </w:r>
          </w:p>
        </w:tc>
      </w:tr>
    </w:tbl>
    <w:p>
      <w:pPr>
        <w:pStyle w:val="Heading1"/>
      </w:pPr>
      <w:r>
        <w:rPr>
          <w:rFonts w:ascii="Inter" w:hAnsi="Inter"/>
          <w:color w:val="00E5FF"/>
        </w:rPr>
        <w:t>6. Web Prototype</w:t>
      </w:r>
    </w:p>
    <w:p>
      <w:r>
        <w:rPr>
          <w:rFonts w:ascii="Inter" w:hAnsi="Inter"/>
        </w:rPr>
        <w:t>A Next.js 14 web prototype demonstrates the system end-to-end. Six pages correspond to the three pillars plus the closed-loop view, benchmark leaderboard, and settings:</w:t>
      </w:r>
    </w:p>
    <w:p>
      <w:pPr>
        <w:pStyle w:val="ListBullet"/>
      </w:pPr>
      <w:r>
        <w:rPr>
          <w:rFonts w:ascii="Inter" w:hAnsi="Inter"/>
        </w:rPr>
        <w:t>/ — Dashboard with live KPIs, score stream, recent attacks, model health.</w:t>
      </w:r>
    </w:p>
    <w:p>
      <w:pPr>
        <w:pStyle w:val="ListBullet"/>
      </w:pPr>
      <w:r>
        <w:rPr>
          <w:rFonts w:ascii="Inter" w:hAnsi="Inter"/>
        </w:rPr>
        <w:t>/identify — searchable attack catalog with MITRE ATLAS heatmap.</w:t>
      </w:r>
    </w:p>
    <w:p>
      <w:pPr>
        <w:pStyle w:val="ListBullet"/>
      </w:pPr>
      <w:r>
        <w:rPr>
          <w:rFonts w:ascii="Inter" w:hAnsi="Inter"/>
        </w:rPr>
        <w:t>/generate — per-artifact generator controls + fidelity report.</w:t>
      </w:r>
    </w:p>
    <w:p>
      <w:pPr>
        <w:pStyle w:val="ListBullet"/>
      </w:pPr>
      <w:r>
        <w:rPr>
          <w:rFonts w:ascii="Inter" w:hAnsi="Inter"/>
        </w:rPr>
        <w:t>/defend — real-time scoring table with SHAP feature attribution.</w:t>
      </w:r>
    </w:p>
    <w:p>
      <w:pPr>
        <w:pStyle w:val="ListBullet"/>
      </w:pPr>
      <w:r>
        <w:rPr>
          <w:rFonts w:ascii="Inter" w:hAnsi="Inter"/>
        </w:rPr>
        <w:t>/loop — iteration visualizer + progression charts.</w:t>
      </w:r>
    </w:p>
    <w:p>
      <w:pPr>
        <w:pStyle w:val="ListBullet"/>
      </w:pPr>
      <w:r>
        <w:rPr>
          <w:rFonts w:ascii="Inter" w:hAnsi="Inter"/>
        </w:rPr>
        <w:t>/benchmark — leaderboard across all 10 models (5 ours + 5 baselines).</w:t>
      </w:r>
    </w:p>
    <w:p>
      <w:pPr>
        <w:pStyle w:val="ListBullet"/>
      </w:pPr>
      <w:r>
        <w:rPr>
          <w:rFonts w:ascii="Inter" w:hAnsi="Inter"/>
        </w:rPr>
        <w:t>/settings — pipeline configuration (LLM backend, datasets, defense weights).</w:t>
      </w:r>
    </w:p>
    <w:p>
      <w:r>
        <w:rPr>
          <w:rFonts w:ascii="Inter" w:hAnsi="Inter"/>
        </w:rPr>
        <w:t>Theme: cyber-noir dark — electric cyan + hot magenta + emerald on near-black. Distinct from any host brand; communicates security/AI identity.</w:t>
      </w:r>
    </w:p>
    <w:p>
      <w:pPr>
        <w:pStyle w:val="Heading1"/>
      </w:pPr>
      <w:r>
        <w:rPr>
          <w:rFonts w:ascii="Inter" w:hAnsi="Inter"/>
          <w:color w:val="00E5FF"/>
        </w:rPr>
        <w:t>7. Reproducibility &amp; Quick Start</w:t>
      </w:r>
    </w:p>
    <w:p>
      <w:r>
        <w:rPr>
          <w:rFonts w:ascii="Inter" w:hAnsi="Inter"/>
        </w:rPr>
        <w:t>From a clean clone:</w:t>
      </w:r>
    </w:p>
    <w:p>
      <w:r>
        <w:rPr>
          <w:rFonts w:ascii="JetBrains Mono" w:hAnsi="JetBrains Mono"/>
          <w:color w:val="A78BFA"/>
          <w:sz w:val="18"/>
        </w:rPr>
        <w:t>git clone https://github.com/JustRK-07/paysentinel.git</w:t>
        <w:br/>
        <w:t>cd paysentinel</w:t>
        <w:br/>
        <w:t>python3 -m pip install -r requirements.txt</w:t>
        <w:br/>
        <w:t>cp .env.example .env  # set ANTHROPIC_API_KEY</w:t>
        <w:br/>
        <w:t>make demo              # full pipeline: Identify → Generate → Defend → Loop</w:t>
        <w:br/>
        <w:t>make run-api           # FastAPI on :8000</w:t>
        <w:br/>
        <w:t>make run-web           # Next.js prototype on :3000</w:t>
      </w:r>
    </w:p>
    <w:p>
      <w:pPr>
        <w:pStyle w:val="Heading1"/>
      </w:pPr>
      <w:r>
        <w:rPr>
          <w:rFonts w:ascii="Inter" w:hAnsi="Inter"/>
          <w:color w:val="00E5FF"/>
        </w:rPr>
        <w:t>Appendix A — Repository Layout</w:t>
      </w:r>
    </w:p>
    <w:p>
      <w:r>
        <w:rPr>
          <w:rFonts w:ascii="JetBrains Mono" w:hAnsi="JetBrains Mono"/>
          <w:color w:val="A78BFA"/>
          <w:sz w:val="18"/>
        </w:rPr>
        <w:t>paysentinel/</w:t>
        <w:br/>
        <w:t>├── identify/         # 30 attack vectors + threat_landscape.py API</w:t>
        <w:br/>
        <w:t>├── generate/         # CTGAN/TabDDPM + LLM agents + 3-axis fidelity eval</w:t>
        <w:br/>
        <w:t>├── defend/           # XGBoost, LightGBM, GNN, Transformer, LLM-Judge, ensemble, FastAPI</w:t>
        <w:br/>
        <w:t>├── closed_loop/      # Generate → Defend → failure-seeded re-Generate</w:t>
        <w:br/>
        <w:t>├── webapp/           # Next.js 14 prototype (6 pages)</w:t>
        <w:br/>
        <w:t>├── configs/          # demo.yaml, llm_prompts.yaml</w:t>
        <w:br/>
        <w:t>├── data/             # base samples + synthetic outputs</w:t>
        <w:br/>
        <w:t>├── results/          # metrics, fidelity reports, loop iterations</w:t>
        <w:br/>
        <w:t>├── docs/             # Solution_Walkthrough.docx (this file)</w:t>
        <w:br/>
        <w:t>└── tests/</w:t>
      </w:r>
    </w:p>
    <w:p>
      <w:pPr>
        <w:pStyle w:val="Heading1"/>
      </w:pPr>
      <w:r>
        <w:rPr>
          <w:rFonts w:ascii="Inter" w:hAnsi="Inter"/>
          <w:color w:val="00E5FF"/>
        </w:rPr>
        <w:t>Appendix B — References</w:t>
      </w:r>
    </w:p>
    <w:p>
      <w:pPr>
        <w:pStyle w:val="ListBullet"/>
      </w:pPr>
      <w:r>
        <w:rPr>
          <w:rFonts w:ascii="Inter" w:hAnsi="Inter"/>
        </w:rPr>
        <w:t>MITRE ATLAS — Adversarial Threat Landscape for AI Systems. https://atlas.mitre.org/</w:t>
      </w:r>
    </w:p>
    <w:p>
      <w:pPr>
        <w:pStyle w:val="ListBullet"/>
      </w:pPr>
      <w:r>
        <w:rPr>
          <w:rFonts w:ascii="Inter" w:hAnsi="Inter"/>
        </w:rPr>
        <w:t>arXiv 2508.06457 — ScamAgent: autonomous multi-turn scam dialogue. https://arxiv.org/html/2508.06457v1</w:t>
      </w:r>
    </w:p>
    <w:p>
      <w:pPr>
        <w:pStyle w:val="ListBullet"/>
      </w:pPr>
      <w:r>
        <w:rPr>
          <w:rFonts w:ascii="Inter" w:hAnsi="Inter"/>
        </w:rPr>
        <w:t>arXiv 2604.13125 — Synthetic Tabular Generators Fail to Preserve Behavioral Fraud Patterns.</w:t>
      </w:r>
    </w:p>
    <w:p>
      <w:pPr>
        <w:pStyle w:val="ListBullet"/>
      </w:pPr>
      <w:r>
        <w:rPr>
          <w:rFonts w:ascii="Inter" w:hAnsi="Inter"/>
        </w:rPr>
        <w:t>arXiv 2601.19726 — RvB: Red-Blue games for AI system hardening.</w:t>
      </w:r>
    </w:p>
    <w:p>
      <w:pPr>
        <w:pStyle w:val="ListBullet"/>
      </w:pPr>
      <w:r>
        <w:rPr>
          <w:rFonts w:ascii="Inter" w:hAnsi="Inter"/>
        </w:rPr>
        <w:t>FBI IC3 public service announcements on AI-enabled fraud (2024–2025).</w:t>
      </w:r>
    </w:p>
    <w:p>
      <w:pPr>
        <w:pStyle w:val="ListBullet"/>
      </w:pPr>
      <w:r>
        <w:rPr>
          <w:rFonts w:ascii="Inter" w:hAnsi="Inter"/>
        </w:rPr>
        <w:t>Incode Agentic Fraud Report (Aug 2026) — AI agents driving 40% of fraud, projecting 90% by 2028.</w:t>
      </w:r>
    </w:p>
    <w:p>
      <w:pPr>
        <w:pStyle w:val="ListBullet"/>
      </w:pPr>
      <w:r>
        <w:rPr>
          <w:rFonts w:ascii="Inter" w:hAnsi="Inter"/>
        </w:rPr>
        <w:t>IEEE-CIS Fraud Detection dataset (Kaggle 2019, Vesta).</w:t>
      </w:r>
    </w:p>
    <w:p>
      <w:pPr>
        <w:pStyle w:val="ListBullet"/>
      </w:pPr>
      <w:r>
        <w:rPr>
          <w:rFonts w:ascii="Inter" w:hAnsi="Inter"/>
        </w:rPr>
        <w:t>PaySim synthetic mobile-money transactions (Lopez-Rojas 2014).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Inter" w:hAnsi="Inter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