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A84A" w14:textId="77777777" w:rsidR="00090A83" w:rsidRDefault="00000000">
      <w:pPr>
        <w:spacing w:before="240" w:after="240"/>
        <w:rPr>
          <w:b/>
          <w:bCs/>
          <w:sz w:val="28"/>
          <w:szCs w:val="28"/>
        </w:rPr>
      </w:pPr>
      <w:r>
        <w:rPr>
          <w:b/>
          <w:bCs/>
          <w:sz w:val="28"/>
          <w:szCs w:val="28"/>
        </w:rPr>
        <w:t>Background</w:t>
      </w:r>
    </w:p>
    <w:p w14:paraId="2696E504" w14:textId="77777777" w:rsidR="00090A83" w:rsidRDefault="00000000">
      <w:pPr>
        <w:spacing w:before="240" w:after="240"/>
      </w:pPr>
      <w:r>
        <w:t>Combulator is a large Irish enterprise operating within the automotive industry, possessing a large web presence and looking to create a new state-of-the-art secure website. The company has 600 employees across 6 departments: Product development, Research and development, Operations, Finance, Admin, and IT-cyber. The organisation operates in 10 different branches nationwide and serves 50,000 customers globally. The organisation currently makes use of 400 Siemens controllers, ranging from one-third being S7-300 and S7-400 series, with two-thirds consisting of S7-1500 series.</w:t>
      </w:r>
    </w:p>
    <w:p w14:paraId="05DCA4E5" w14:textId="77777777" w:rsidR="00090A83" w:rsidRDefault="00000000">
      <w:pPr>
        <w:spacing w:before="240" w:after="240"/>
      </w:pPr>
      <w:r>
        <w:t>Given the necessity of proactive security in the implementation of a new component to the organisation, several key components relevant to the organisation have been taken into consideration such as relevant primary threat groups, attack vectors and methodologies, IT-OT convergence risks, and financial and operational impact of successful cyberattacks in the organisation.</w:t>
      </w:r>
    </w:p>
    <w:p w14:paraId="7CAEA1E1" w14:textId="77777777" w:rsidR="00090A83" w:rsidRDefault="00000000">
      <w:pPr>
        <w:spacing w:before="240" w:after="240"/>
        <w:rPr>
          <w:b/>
          <w:bCs/>
          <w:sz w:val="28"/>
          <w:szCs w:val="28"/>
        </w:rPr>
      </w:pPr>
      <w:r>
        <w:rPr>
          <w:b/>
          <w:bCs/>
          <w:sz w:val="28"/>
          <w:szCs w:val="28"/>
        </w:rPr>
        <w:t>Relevant Primary Threat Groups:</w:t>
      </w:r>
    </w:p>
    <w:p w14:paraId="528539E3" w14:textId="77777777" w:rsidR="00090A83" w:rsidRDefault="00000000">
      <w:pPr>
        <w:numPr>
          <w:ilvl w:val="0"/>
          <w:numId w:val="5"/>
        </w:numPr>
        <w:spacing w:before="240"/>
      </w:pPr>
      <w:r>
        <w:t xml:space="preserve">Hacker groups like scattered spider Lapsus$ hunters responsible for the JLR attack, which was a multi-dimensional attack halting regular operation for weeks and having significant financial consequences on the organisation </w:t>
      </w:r>
      <w:hyperlink r:id="rId5">
        <w:r>
          <w:t>(Cyfirma, 2025)</w:t>
        </w:r>
      </w:hyperlink>
      <w:r>
        <w:t>.</w:t>
      </w:r>
    </w:p>
    <w:p w14:paraId="5C0A8AC3" w14:textId="77777777" w:rsidR="00090A83" w:rsidRDefault="00000000">
      <w:pPr>
        <w:numPr>
          <w:ilvl w:val="0"/>
          <w:numId w:val="5"/>
        </w:numPr>
        <w:spacing w:after="240"/>
      </w:pPr>
      <w:r>
        <w:t xml:space="preserve">Ransomware-as-a-service Groups: Groups like the Qilin Ransomware gang responsible for stealing significant amounts of proprietary design data from one of Nissan Japan’s subsidiaries, Creative Box Inc.(CBI), potentially threatening the organisation’s competitive advantage against its rivals </w:t>
      </w:r>
      <w:hyperlink r:id="rId6">
        <w:r>
          <w:t>(SOCRadar, 2025)</w:t>
        </w:r>
      </w:hyperlink>
      <w:r>
        <w:t>.</w:t>
      </w:r>
    </w:p>
    <w:p w14:paraId="1B7A37C1" w14:textId="77777777" w:rsidR="00090A83" w:rsidRDefault="00000000">
      <w:pPr>
        <w:spacing w:before="240" w:after="240"/>
        <w:rPr>
          <w:b/>
          <w:bCs/>
          <w:sz w:val="28"/>
          <w:szCs w:val="28"/>
        </w:rPr>
      </w:pPr>
      <w:r>
        <w:rPr>
          <w:b/>
          <w:bCs/>
          <w:sz w:val="28"/>
          <w:szCs w:val="28"/>
        </w:rPr>
        <w:t>Attack Vectors and Methodologies:</w:t>
      </w:r>
    </w:p>
    <w:p w14:paraId="3AB9A395" w14:textId="77777777" w:rsidR="00090A83" w:rsidRDefault="00000000">
      <w:pPr>
        <w:numPr>
          <w:ilvl w:val="0"/>
          <w:numId w:val="1"/>
        </w:numPr>
        <w:spacing w:before="240"/>
      </w:pPr>
      <w:r>
        <w:t xml:space="preserve">Supply Chain Vulnerabilities: In 2024, 67.3% of automotive cyber incidents involved suppliers being the targets rather than OEMs (Original Equipment Manufacturer) </w:t>
      </w:r>
      <w:hyperlink r:id="rId7">
        <w:r>
          <w:t>(Breached Company, 2025)</w:t>
        </w:r>
      </w:hyperlink>
      <w:r>
        <w:t xml:space="preserve">. A major factor being that attackers have recognised that smaller organisations that possess third-party access to large vehicle manufacturing organisations are easier to hack and provide a higher chance of a successful attack due to the relatively scarce resources present in the organisations. </w:t>
      </w:r>
    </w:p>
    <w:p w14:paraId="7EC55501" w14:textId="77777777" w:rsidR="00090A83" w:rsidRDefault="00000000">
      <w:pPr>
        <w:numPr>
          <w:ilvl w:val="0"/>
          <w:numId w:val="1"/>
        </w:numPr>
      </w:pPr>
      <w:r>
        <w:t xml:space="preserve">Cloud and API Vulnerabilities: Telematics and application servers are critical systems which are responsible for storing large amounts of sensitive information and were found to be present in 66% of all automotive cyber incidents in 2024 </w:t>
      </w:r>
      <w:hyperlink r:id="rId8">
        <w:r>
          <w:t>(Breached Company, 2025)</w:t>
        </w:r>
      </w:hyperlink>
      <w:r>
        <w:t>.</w:t>
      </w:r>
    </w:p>
    <w:p w14:paraId="735B0B4F" w14:textId="77777777" w:rsidR="00090A83" w:rsidRDefault="00000000">
      <w:pPr>
        <w:numPr>
          <w:ilvl w:val="0"/>
          <w:numId w:val="1"/>
        </w:numPr>
        <w:spacing w:after="240"/>
      </w:pPr>
      <w:r>
        <w:t xml:space="preserve">Social Engineering: The use of social engineering by RansomHub to exfiltrate 487GB of data through the use of spear-phishing to a single IT admin to obtain VPN and AD credentials used in the Kawasaki Motors Europe organisation </w:t>
      </w:r>
      <w:hyperlink r:id="rId9">
        <w:r>
          <w:t>(Team, 2025)</w:t>
        </w:r>
      </w:hyperlink>
      <w:r>
        <w:t xml:space="preserve"> validates the effectiveness of social engineering as the most effective and efficient method towards obtaining initial access.</w:t>
      </w:r>
    </w:p>
    <w:p w14:paraId="06CDD0F6" w14:textId="77777777" w:rsidR="00090A83" w:rsidRDefault="00000000">
      <w:pPr>
        <w:spacing w:before="240" w:after="240"/>
        <w:rPr>
          <w:b/>
          <w:bCs/>
          <w:sz w:val="28"/>
          <w:szCs w:val="28"/>
        </w:rPr>
      </w:pPr>
      <w:r>
        <w:rPr>
          <w:b/>
          <w:bCs/>
          <w:sz w:val="28"/>
          <w:szCs w:val="28"/>
        </w:rPr>
        <w:t>IT-OT Convergence Risks:</w:t>
      </w:r>
    </w:p>
    <w:p w14:paraId="20D61934" w14:textId="77777777" w:rsidR="00090A83" w:rsidRDefault="00000000">
      <w:pPr>
        <w:numPr>
          <w:ilvl w:val="0"/>
          <w:numId w:val="7"/>
        </w:numPr>
        <w:spacing w:before="240"/>
      </w:pPr>
      <w:r>
        <w:lastRenderedPageBreak/>
        <w:t>As IT systems are the controllers of logistics and supplier portals, disruption to IT systems potentially halts assembly lines and production without direct OT compromise, as detailed in the JLR attack.</w:t>
      </w:r>
    </w:p>
    <w:p w14:paraId="50919D55" w14:textId="77777777" w:rsidR="00090A83" w:rsidRDefault="00000000">
      <w:pPr>
        <w:numPr>
          <w:ilvl w:val="0"/>
          <w:numId w:val="7"/>
        </w:numPr>
      </w:pPr>
      <w:r>
        <w:t>Critical system exposures can occur through the exploitation of IT systems, which could reveal sensitive information such as authentication logic and vehicle IT component vulnerabilities.</w:t>
      </w:r>
    </w:p>
    <w:p w14:paraId="7D4D9D9E" w14:textId="77777777" w:rsidR="00090A83" w:rsidRDefault="00000000">
      <w:pPr>
        <w:numPr>
          <w:ilvl w:val="0"/>
          <w:numId w:val="7"/>
        </w:numPr>
        <w:spacing w:after="240"/>
      </w:pPr>
      <w:r>
        <w:t xml:space="preserve">OT Risk Assessment: in the event of a successful Cyber attack on the IT infrastructure, a shutdown of OT systems is usually unavoidable due to the risk of attackers gaining access to critical operational infrastructure </w:t>
      </w:r>
      <w:hyperlink r:id="rId10">
        <w:r>
          <w:t>(CMC, 2025)</w:t>
        </w:r>
      </w:hyperlink>
      <w:r>
        <w:t>, as observed during the JLR attack.</w:t>
      </w:r>
    </w:p>
    <w:p w14:paraId="25A4AB23" w14:textId="77777777" w:rsidR="00090A83" w:rsidRDefault="00000000">
      <w:pPr>
        <w:spacing w:before="240" w:after="240"/>
        <w:rPr>
          <w:b/>
          <w:bCs/>
          <w:sz w:val="28"/>
          <w:szCs w:val="28"/>
        </w:rPr>
      </w:pPr>
      <w:r>
        <w:rPr>
          <w:b/>
          <w:bCs/>
          <w:sz w:val="28"/>
          <w:szCs w:val="28"/>
        </w:rPr>
        <w:t>Financial and Operational Impact:</w:t>
      </w:r>
    </w:p>
    <w:p w14:paraId="3946378E" w14:textId="77777777" w:rsidR="00090A83" w:rsidRDefault="00000000">
      <w:pPr>
        <w:spacing w:before="240" w:after="240"/>
      </w:pPr>
      <w:r>
        <w:tab/>
        <w:t xml:space="preserve">Successful cyber incidents could have debilitating ramifications for Combulator, such as the devastating £50 million per week loss suffered by JLR during its operational unavailability </w:t>
      </w:r>
      <w:hyperlink r:id="rId11">
        <w:r>
          <w:t>(Breached Company, 2025)</w:t>
        </w:r>
      </w:hyperlink>
      <w:r>
        <w:t xml:space="preserve">, or could lead to production halts, which could destabilise the supply chain of direct and indirectly related third-party organisations and pose both a larger reputational and economic constraint to the organisation in the long term. </w:t>
      </w:r>
    </w:p>
    <w:p w14:paraId="55CE1442" w14:textId="77777777" w:rsidR="00090A83" w:rsidRDefault="00000000">
      <w:pPr>
        <w:spacing w:before="240" w:after="240"/>
        <w:rPr>
          <w:b/>
          <w:bCs/>
          <w:sz w:val="28"/>
          <w:szCs w:val="28"/>
        </w:rPr>
      </w:pPr>
      <w:r>
        <w:rPr>
          <w:b/>
          <w:bCs/>
          <w:sz w:val="28"/>
          <w:szCs w:val="28"/>
        </w:rPr>
        <w:t>Analysis of cybersecurity maturity using the TARA system:</w:t>
      </w:r>
    </w:p>
    <w:p w14:paraId="5DEC015D" w14:textId="77777777" w:rsidR="00090A83" w:rsidRDefault="00000000">
      <w:pPr>
        <w:spacing w:before="240" w:after="240"/>
      </w:pPr>
      <w:r>
        <w:t>The TARA (Threat Analysis and Risk Assessment) is a system for cybersecurity engineering compliance that identifies and manages cybersecurity risks in the automotive industry and can be used to measure the organisation's maturity model (Vielberth et al., 2024). The D2TARA proposed by the article, while being an initial model, is a model which holds promise in the evaluation of the cybersecurity risks presented by the new secure website project under implementation, even though it needs to be adapted to the organisation’s specific business context.</w:t>
      </w:r>
    </w:p>
    <w:p w14:paraId="41FD4160" w14:textId="77777777" w:rsidR="00090A83" w:rsidRDefault="00000000">
      <w:pPr>
        <w:spacing w:before="240" w:after="240"/>
        <w:rPr>
          <w:b/>
          <w:bCs/>
          <w:sz w:val="28"/>
          <w:szCs w:val="28"/>
        </w:rPr>
      </w:pPr>
      <w:r>
        <w:rPr>
          <w:b/>
          <w:bCs/>
          <w:sz w:val="28"/>
          <w:szCs w:val="28"/>
        </w:rPr>
        <w:t>Network Segmentation between Web-facing and OT systems:</w:t>
      </w:r>
    </w:p>
    <w:p w14:paraId="2BC1CBA1" w14:textId="77777777" w:rsidR="00090A83" w:rsidRDefault="00000000">
      <w:pPr>
        <w:spacing w:before="240" w:after="240"/>
      </w:pPr>
      <w:r>
        <w:t xml:space="preserve">The NotPetya ransomware attack is a reference case study in the impact of cyberattacks on entire digital systems due to network segmentation failure between web-facing and OT systems. The Notpeya’s incessant attack spread across multiple organisations’ IT and OT environments, including healthcare, energy and transportation sectors </w:t>
      </w:r>
      <w:hyperlink r:id="rId12">
        <w:r>
          <w:t>(Team, 2023)</w:t>
        </w:r>
      </w:hyperlink>
      <w:r>
        <w:t xml:space="preserve">. Before defining the layered process, an explanation of the reference architecture (PERA) is provided to create a clearer context for the layered separation process of IT/OT networks </w:t>
      </w:r>
      <w:hyperlink r:id="rId13">
        <w:r>
          <w:t>(Faisal, 2022)</w:t>
        </w:r>
      </w:hyperlink>
      <w:r>
        <w:t>:</w:t>
      </w:r>
    </w:p>
    <w:p w14:paraId="44ADAB77" w14:textId="77777777" w:rsidR="00090A83" w:rsidRDefault="00000000">
      <w:pPr>
        <w:numPr>
          <w:ilvl w:val="0"/>
          <w:numId w:val="3"/>
        </w:numPr>
        <w:spacing w:before="240"/>
      </w:pPr>
      <w:r>
        <w:t>Level 0 – Physical processes such as valves, pumps and motors.</w:t>
      </w:r>
    </w:p>
    <w:p w14:paraId="5597D51D" w14:textId="77777777" w:rsidR="00090A83" w:rsidRDefault="00000000">
      <w:pPr>
        <w:numPr>
          <w:ilvl w:val="0"/>
          <w:numId w:val="3"/>
        </w:numPr>
      </w:pPr>
      <w:r>
        <w:t>Level 1 – Local controls such as PLCs and intelligent devices, such as process sensors and actuators.</w:t>
      </w:r>
    </w:p>
    <w:p w14:paraId="3CD78E0E" w14:textId="77777777" w:rsidR="00090A83" w:rsidRDefault="00000000">
      <w:pPr>
        <w:numPr>
          <w:ilvl w:val="0"/>
          <w:numId w:val="3"/>
        </w:numPr>
      </w:pPr>
      <w:r>
        <w:t>Level 2 – Supervisory, monitoring and control systems such as SCADA software, which are not plant-wide</w:t>
      </w:r>
    </w:p>
    <w:p w14:paraId="347184BB" w14:textId="77777777" w:rsidR="00090A83" w:rsidRDefault="00000000">
      <w:pPr>
        <w:numPr>
          <w:ilvl w:val="0"/>
          <w:numId w:val="3"/>
        </w:numPr>
      </w:pPr>
      <w:r>
        <w:t>Level 3 – Manufacturing Operations Systems – laboratory, maintenance, and plant performance management systems.</w:t>
      </w:r>
    </w:p>
    <w:p w14:paraId="01FDC504" w14:textId="77777777" w:rsidR="00090A83" w:rsidRDefault="00000000">
      <w:pPr>
        <w:numPr>
          <w:ilvl w:val="0"/>
          <w:numId w:val="3"/>
        </w:numPr>
      </w:pPr>
      <w:r>
        <w:t>Level 4 – Business Logic Systems, which manage the business-related activities of the manufacturing operation.</w:t>
      </w:r>
    </w:p>
    <w:p w14:paraId="7F7BDE13" w14:textId="77777777" w:rsidR="00090A83" w:rsidRDefault="00000000">
      <w:pPr>
        <w:numPr>
          <w:ilvl w:val="0"/>
          <w:numId w:val="3"/>
        </w:numPr>
      </w:pPr>
      <w:r>
        <w:lastRenderedPageBreak/>
        <w:t>Level 5 - Enterprise/IT networks – Cloud, managing servers, and internet DMZ.</w:t>
      </w:r>
    </w:p>
    <w:p w14:paraId="4E0384E0" w14:textId="77777777" w:rsidR="00090A83" w:rsidRDefault="00000000">
      <w:pPr>
        <w:numPr>
          <w:ilvl w:val="0"/>
          <w:numId w:val="3"/>
        </w:numPr>
      </w:pPr>
      <w:r>
        <w:t>Industrial Internet of Things – spans and interacts across all levels except Level 0.</w:t>
      </w:r>
    </w:p>
    <w:p w14:paraId="780D6D99" w14:textId="77777777" w:rsidR="00090A83" w:rsidRDefault="00000000">
      <w:pPr>
        <w:numPr>
          <w:ilvl w:val="0"/>
          <w:numId w:val="3"/>
        </w:numPr>
        <w:spacing w:after="240"/>
      </w:pPr>
      <w:r>
        <w:t>Safety systems – systems that should be isolated to the greatest degree possible in their individual segments, with major enforcement boundaries in place.</w:t>
      </w:r>
    </w:p>
    <w:p w14:paraId="363279D3" w14:textId="77777777" w:rsidR="00090A83" w:rsidRDefault="00000000">
      <w:pPr>
        <w:spacing w:before="240" w:after="240"/>
      </w:pPr>
      <w:r>
        <w:t xml:space="preserve">  A layered process towards separating the IT/OT networks in the development of the secure website is defined below </w:t>
      </w:r>
      <w:hyperlink r:id="rId14">
        <w:r>
          <w:t>(Faisal, 2022)</w:t>
        </w:r>
      </w:hyperlink>
      <w:r>
        <w:t>:</w:t>
      </w:r>
    </w:p>
    <w:p w14:paraId="49785537" w14:textId="77777777" w:rsidR="00090A83" w:rsidRDefault="00000000">
      <w:pPr>
        <w:numPr>
          <w:ilvl w:val="0"/>
          <w:numId w:val="2"/>
        </w:numPr>
        <w:spacing w:before="240"/>
      </w:pPr>
      <w:r>
        <w:t>Separate IT and OT networks between levels 3 and 4.</w:t>
      </w:r>
    </w:p>
    <w:p w14:paraId="2869F659" w14:textId="77777777" w:rsidR="00090A83" w:rsidRDefault="00000000">
      <w:pPr>
        <w:numPr>
          <w:ilvl w:val="0"/>
          <w:numId w:val="2"/>
        </w:numPr>
      </w:pPr>
      <w:r>
        <w:t>Create an IDMZ (industrial demilitarised zone) as an enforcement boundary between IT &amp; OT network segments.</w:t>
      </w:r>
    </w:p>
    <w:p w14:paraId="041C863C" w14:textId="77777777" w:rsidR="00090A83" w:rsidRDefault="00000000">
      <w:pPr>
        <w:numPr>
          <w:ilvl w:val="0"/>
          <w:numId w:val="2"/>
        </w:numPr>
      </w:pPr>
      <w:r>
        <w:t>Define zones and conduits for separation between levels 2 and 3.</w:t>
      </w:r>
    </w:p>
    <w:p w14:paraId="55564D5D" w14:textId="77777777" w:rsidR="00090A83" w:rsidRDefault="00000000">
      <w:pPr>
        <w:numPr>
          <w:ilvl w:val="0"/>
          <w:numId w:val="2"/>
        </w:numPr>
      </w:pPr>
      <w:r>
        <w:t>Address cloud tiers by isolating traffic patterns through moving the on-premise server communicating with the cloud to an IDMZ cloud access zone.</w:t>
      </w:r>
    </w:p>
    <w:p w14:paraId="6AE2D102" w14:textId="77777777" w:rsidR="00090A83" w:rsidRDefault="00000000">
      <w:pPr>
        <w:numPr>
          <w:ilvl w:val="0"/>
          <w:numId w:val="2"/>
        </w:numPr>
      </w:pPr>
      <w:r>
        <w:t>Implement firewall rules and connection flows that prevent Level 4 devices from directly communicating with Level 2, 1 or 0 devices.</w:t>
      </w:r>
    </w:p>
    <w:p w14:paraId="1A792CF8" w14:textId="77777777" w:rsidR="00090A83" w:rsidRDefault="00000000">
      <w:pPr>
        <w:numPr>
          <w:ilvl w:val="0"/>
          <w:numId w:val="2"/>
        </w:numPr>
      </w:pPr>
      <w:r>
        <w:t>Ensuring outbound rules are as strict as inbound rules to reduce risks.</w:t>
      </w:r>
    </w:p>
    <w:p w14:paraId="35BEE7A8" w14:textId="77777777" w:rsidR="00090A83" w:rsidRDefault="00000000">
      <w:pPr>
        <w:numPr>
          <w:ilvl w:val="0"/>
          <w:numId w:val="2"/>
        </w:numPr>
        <w:spacing w:after="240"/>
      </w:pPr>
      <w:r>
        <w:t>A unidirectional gateway between levels 2 and 3 could protect devices present in levels 0,1, and 2 from cybersecurity attacks that occur at levels 3,4, and 5.</w:t>
      </w:r>
    </w:p>
    <w:p w14:paraId="77C9EF65" w14:textId="77777777" w:rsidR="00090A83" w:rsidRDefault="00000000">
      <w:pPr>
        <w:spacing w:before="240" w:after="240"/>
      </w:pPr>
      <w:r>
        <w:rPr>
          <w:b/>
          <w:bCs/>
          <w:sz w:val="28"/>
          <w:szCs w:val="28"/>
        </w:rPr>
        <w:t>Web Server Technologies:</w:t>
      </w:r>
    </w:p>
    <w:p w14:paraId="18F1EDF4" w14:textId="77777777" w:rsidR="00090A83" w:rsidRDefault="00000000">
      <w:pPr>
        <w:spacing w:before="240" w:after="240"/>
      </w:pPr>
      <w:r>
        <w:t xml:space="preserve">Authentication: There are multiple authentication methods available to web servers such as password authentication, which is supported by virtually all functional web servers </w:t>
      </w:r>
      <w:hyperlink r:id="rId15">
        <w:r>
          <w:t>(Manfred, 2026)</w:t>
        </w:r>
      </w:hyperlink>
      <w:r>
        <w:t xml:space="preserve">, with specific open source web server supporting authentication through the use of modules </w:t>
      </w:r>
      <w:hyperlink r:id="rId16">
        <w:r>
          <w:t>(Apache Software Foundation, 2025b)</w:t>
        </w:r>
      </w:hyperlink>
      <w:r>
        <w:t xml:space="preserve"> and vendor specific web servers such as Microsoft IIS supporting different authentication methods through the use of Entra ID </w:t>
      </w:r>
      <w:hyperlink r:id="rId17">
        <w:r>
          <w:t>(Microsoft, 2025)</w:t>
        </w:r>
      </w:hyperlink>
    </w:p>
    <w:p w14:paraId="144271A6" w14:textId="77777777" w:rsidR="00090A83" w:rsidRDefault="00000000">
      <w:pPr>
        <w:spacing w:before="240" w:after="240"/>
      </w:pPr>
      <w:r>
        <w:t xml:space="preserve"> </w:t>
      </w:r>
    </w:p>
    <w:p w14:paraId="540EB622" w14:textId="77777777" w:rsidR="00090A83" w:rsidRDefault="00000000">
      <w:pPr>
        <w:spacing w:before="240" w:after="240"/>
      </w:pPr>
      <w:r>
        <w:t xml:space="preserve">OS Security: Different web servers run on different operating systems, so OS security would depend on the OS the web server is currently running on. Apache HTTP server is an open source cross-platform web server that can be run on multiple OS systems, and the OS security policies needed to be implemented to ensure the security of the web server would then be OS dependent </w:t>
      </w:r>
      <w:hyperlink r:id="rId18">
        <w:r>
          <w:t>(Wikipedia, 2026)</w:t>
        </w:r>
      </w:hyperlink>
      <w:r>
        <w:t xml:space="preserve">. The Microsoft IIS server is highly dependent on the Windows OS and can only run on it. This limits the OS security to a windows-specific OS security best practices and guidelines to ensure the security of the web server </w:t>
      </w:r>
      <w:hyperlink r:id="rId19">
        <w:r>
          <w:t>(Sweeton, 2025)</w:t>
        </w:r>
      </w:hyperlink>
      <w:r>
        <w:t>.</w:t>
      </w:r>
    </w:p>
    <w:p w14:paraId="536E2578" w14:textId="77777777" w:rsidR="00090A83" w:rsidRDefault="00000000">
      <w:pPr>
        <w:spacing w:before="240" w:after="240"/>
      </w:pPr>
      <w:r>
        <w:t xml:space="preserve"> </w:t>
      </w:r>
    </w:p>
    <w:p w14:paraId="43A054BF" w14:textId="77777777" w:rsidR="00090A83" w:rsidRDefault="00000000">
      <w:pPr>
        <w:spacing w:before="240" w:after="240"/>
      </w:pPr>
      <w:r>
        <w:t>Scripting Features: Apache makes use of CGI(Common Gateway Interface), which is a means for the web server to interact with external content-generating programs and is implemented through specific modules which enable the web server to execute the external scripts</w:t>
      </w:r>
      <w:hyperlink r:id="rId20">
        <w:r>
          <w:t>(Apache Software Foundation, 2025a)</w:t>
        </w:r>
      </w:hyperlink>
      <w:r>
        <w:t>. Microsoft IIS primarily makes use of APIs to configure and handle scripting, including the Microsoft Web Administration API, which is used as a means to programmatically administer the web server.</w:t>
      </w:r>
    </w:p>
    <w:p w14:paraId="78DFE94B" w14:textId="77777777" w:rsidR="00090A83" w:rsidRDefault="00000000">
      <w:pPr>
        <w:spacing w:before="240" w:after="240"/>
      </w:pPr>
      <w:r>
        <w:lastRenderedPageBreak/>
        <w:t xml:space="preserve"> </w:t>
      </w:r>
    </w:p>
    <w:p w14:paraId="4105CE25" w14:textId="77777777" w:rsidR="00090A83" w:rsidRDefault="00000000">
      <w:pPr>
        <w:spacing w:before="240" w:after="240"/>
      </w:pPr>
      <w:r>
        <w:t xml:space="preserve">Response to Availability Attacks: The response to availability by an Apache HTTP web server is dependent on the configuration of the servertokens module; different configurations, such as servertokens full and servertokens minor, will release different information when the web server is queried </w:t>
      </w:r>
      <w:hyperlink r:id="rId21">
        <w:r>
          <w:t>(Apache Software Foundation, n.d.)</w:t>
        </w:r>
      </w:hyperlink>
      <w:r>
        <w:t xml:space="preserve">. Microsoft IIS web server makes use of request filtering, which is a built-in security feature to effectively stop the disclosure of server information </w:t>
      </w:r>
      <w:hyperlink r:id="rId22">
        <w:r>
          <w:t>(Rick, 2022)</w:t>
        </w:r>
      </w:hyperlink>
      <w:r>
        <w:t>.</w:t>
      </w:r>
    </w:p>
    <w:p w14:paraId="16C22A80" w14:textId="77777777" w:rsidR="00090A83" w:rsidRDefault="00000000">
      <w:pPr>
        <w:spacing w:before="240" w:after="240"/>
      </w:pPr>
      <w:r>
        <w:t xml:space="preserve"> Recommendation: The Apache HTTP server v2.4.66 is recommended over the Micrososft IIS web server v10.0 due to the customizability and heterogeneity brought about by the Apache HTTP server. Apache offers a large ecosystem of modules that provide granular control over the implementation of the web-facing server and also provides a cross-platform feature, which makes it possible to use in a heterogeneous server environment. These features are key to ensuring conscious control over the risks a public-facing web interface brings to the organisation.</w:t>
      </w:r>
    </w:p>
    <w:p w14:paraId="31E527CC" w14:textId="77777777" w:rsidR="00090A83" w:rsidRDefault="00000000">
      <w:pPr>
        <w:spacing w:before="240" w:after="240"/>
      </w:pPr>
      <w:r>
        <w:rPr>
          <w:b/>
          <w:bCs/>
          <w:sz w:val="28"/>
          <w:szCs w:val="28"/>
        </w:rPr>
        <w:t>Database Technologies:</w:t>
      </w:r>
    </w:p>
    <w:p w14:paraId="3F3498E6" w14:textId="77777777" w:rsidR="00090A83" w:rsidRDefault="00000000">
      <w:pPr>
        <w:spacing w:before="240" w:after="240"/>
      </w:pPr>
      <w:r>
        <w:t xml:space="preserve">Injection Attack Protection: MySQL, which is commonly used with Apache web servers, protects against injection attacks through the use of application security measures such as parameterized queries during the transmission of queries, and also making use of proper input validation at the application layer </w:t>
      </w:r>
      <w:hyperlink r:id="rId23">
        <w:r>
          <w:t>(Satori, n.d.)</w:t>
        </w:r>
      </w:hyperlink>
      <w:r>
        <w:t xml:space="preserve">. Microsoft SQL Server also makes use of proper input validation, parameterization of input and input filtering to protect itself against injection attacks </w:t>
      </w:r>
      <w:hyperlink r:id="rId24">
        <w:r>
          <w:t>(VanMSFT, 2025)</w:t>
        </w:r>
      </w:hyperlink>
      <w:r>
        <w:t>.</w:t>
      </w:r>
    </w:p>
    <w:p w14:paraId="5FDA7696" w14:textId="77777777" w:rsidR="00090A83" w:rsidRDefault="00000000">
      <w:pPr>
        <w:spacing w:before="240" w:after="240"/>
      </w:pPr>
      <w:r>
        <w:t xml:space="preserve"> </w:t>
      </w:r>
    </w:p>
    <w:p w14:paraId="5B0439D3" w14:textId="77777777" w:rsidR="00090A83" w:rsidRDefault="00000000">
      <w:pPr>
        <w:spacing w:before="240" w:after="240"/>
      </w:pPr>
      <w:r>
        <w:t xml:space="preserve">Scripting Attack: MySQL could protect against scripting attacks through the creation of a zero-trust platform on any application that grants access to users and should be written using proper defensive programming techniques, such as enabling strict SQL mode to ensure the server is more restrictive towards the data values it accepts and to get the size of the data before passing it to MySQL to avoid overflow attacks </w:t>
      </w:r>
      <w:hyperlink r:id="rId25">
        <w:r>
          <w:t>(Oracle, n.d.)</w:t>
        </w:r>
      </w:hyperlink>
      <w:r>
        <w:t xml:space="preserve">. Microsoft SQL Server protects against scripting attacks through the use of encryption that helps ensure stolen data remains unreadable to unauthorised identities </w:t>
      </w:r>
      <w:hyperlink r:id="rId26">
        <w:r>
          <w:t>(James, 2025)</w:t>
        </w:r>
      </w:hyperlink>
      <w:r>
        <w:t>.</w:t>
      </w:r>
    </w:p>
    <w:p w14:paraId="4C2B2B9E" w14:textId="77777777" w:rsidR="00090A83" w:rsidRDefault="00000000">
      <w:pPr>
        <w:spacing w:before="240" w:after="240"/>
      </w:pPr>
      <w:r>
        <w:t xml:space="preserve"> </w:t>
      </w:r>
    </w:p>
    <w:p w14:paraId="2F352FAE" w14:textId="77777777" w:rsidR="00090A83" w:rsidRDefault="00000000">
      <w:pPr>
        <w:spacing w:before="240" w:after="240"/>
      </w:pPr>
      <w:r>
        <w:t xml:space="preserve">Privilege Escalation: Microsoft SQL Server can be protected from privilege escalation through proper configuration of service account permissions and verification of linked servers and trust relationships linked to the server </w:t>
      </w:r>
      <w:hyperlink r:id="rId27">
        <w:r>
          <w:t>(Sharma, 2024)</w:t>
        </w:r>
      </w:hyperlink>
      <w:r>
        <w:t xml:space="preserve">. MySQL protects against privilege escalation by always running the mysqlID as a non-root user, never granting the file privilege to non-administrative users, and setting the secure_file_priv system to a specific directory where select writes can be made safely </w:t>
      </w:r>
      <w:hyperlink r:id="rId28">
        <w:r>
          <w:t>(Oracle, n.d.)</w:t>
        </w:r>
      </w:hyperlink>
      <w:r>
        <w:t xml:space="preserve">. </w:t>
      </w:r>
    </w:p>
    <w:p w14:paraId="2672F38A" w14:textId="77777777" w:rsidR="00090A83" w:rsidRDefault="00000000">
      <w:pPr>
        <w:spacing w:before="240" w:after="240"/>
      </w:pPr>
      <w:r>
        <w:t xml:space="preserve"> </w:t>
      </w:r>
    </w:p>
    <w:p w14:paraId="22F5B9FE" w14:textId="77777777" w:rsidR="00090A83" w:rsidRDefault="00000000">
      <w:pPr>
        <w:spacing w:before="240" w:after="240"/>
      </w:pPr>
      <w:r>
        <w:t xml:space="preserve">Backup Exposure: MySQL prevents backup exposure through the encryption of data at rest, the use of the AES-256-CBC encryption algorithm, a double encryption strategy that involves </w:t>
      </w:r>
      <w:r>
        <w:lastRenderedPageBreak/>
        <w:t xml:space="preserve">encrypting the backup content and the transfer channel, and the implementation of access control and auditing </w:t>
      </w:r>
      <w:hyperlink r:id="rId29">
        <w:r>
          <w:t>(DBCalm, 2025)</w:t>
        </w:r>
      </w:hyperlink>
      <w:r>
        <w:t xml:space="preserve">. Microsoft SQL Server protects against backup exposure through the use of Transparent Data Encryption(T.D.E), known for encrypting data at rest and utilises real-time I/O encryption and decryption of data and log files with the encryption using a database encryption key </w:t>
      </w:r>
      <w:hyperlink r:id="rId30">
        <w:r>
          <w:t>(rwestMSFT, 2025)</w:t>
        </w:r>
      </w:hyperlink>
      <w:r>
        <w:t>.</w:t>
      </w:r>
    </w:p>
    <w:p w14:paraId="47ED1C57" w14:textId="77777777" w:rsidR="00090A83" w:rsidRDefault="00000000">
      <w:pPr>
        <w:spacing w:before="240" w:after="240"/>
      </w:pPr>
      <w:r>
        <w:t xml:space="preserve"> Recommendations: While Apache works well with the MySQL database, Microsoft SQL Server has proved to be the more practical choice for enterprise organisations due to its robust security, high availability and enterprise-grade performance </w:t>
      </w:r>
      <w:hyperlink r:id="rId31">
        <w:r>
          <w:t>(Dreamfactory, 2025)</w:t>
        </w:r>
      </w:hyperlink>
      <w:r>
        <w:t>, which is especially essential for an automotive-based organisation like Combulator. PHP is recommended as the middleware to be used in the connection of the Apache server to Microsoft SQL Server, along with an SQL Server ODBC driver.</w:t>
      </w:r>
    </w:p>
    <w:p w14:paraId="6E6511FD" w14:textId="77777777" w:rsidR="00090A83" w:rsidRDefault="00090A83">
      <w:pPr>
        <w:spacing w:before="240" w:after="240"/>
        <w:rPr>
          <w:b/>
          <w:bCs/>
          <w:sz w:val="28"/>
          <w:szCs w:val="28"/>
        </w:rPr>
      </w:pPr>
    </w:p>
    <w:p w14:paraId="367015B1" w14:textId="77777777" w:rsidR="00090A83" w:rsidRDefault="00000000">
      <w:pPr>
        <w:spacing w:before="240" w:after="240"/>
      </w:pPr>
      <w:r>
        <w:rPr>
          <w:b/>
          <w:bCs/>
          <w:sz w:val="28"/>
          <w:szCs w:val="28"/>
        </w:rPr>
        <w:t>OT Equipment Security Vulnerabilities:</w:t>
      </w:r>
      <w:r>
        <w:t xml:space="preserve"> </w:t>
      </w:r>
    </w:p>
    <w:p w14:paraId="04FCE7AB" w14:textId="77777777" w:rsidR="00090A83" w:rsidRDefault="00000000">
      <w:pPr>
        <w:spacing w:before="240" w:after="240"/>
      </w:pPr>
      <w:r>
        <w:t xml:space="preserve">OT Security Vulnerabilities: S7-300 and S7-400 Siemens PLCs present in Combulator’s internal network have been identified as vulnerable to an attacker with network access to port 102/tcp (ISO-TSAP) or via Profibus, who could obtain credentials from the PLC if protection-level 2 is configured on the affected devices </w:t>
      </w:r>
      <w:hyperlink r:id="rId32">
        <w:r>
          <w:t>(Tenable, 2025)</w:t>
        </w:r>
      </w:hyperlink>
      <w:r>
        <w:t xml:space="preserve">. The S7-1500 also present within their internal network are vulnerable to improper input validation, use after free and out-of-bounds write </w:t>
      </w:r>
      <w:hyperlink r:id="rId33">
        <w:r>
          <w:t>(CISA, 2024)</w:t>
        </w:r>
      </w:hyperlink>
      <w:r>
        <w:t>.</w:t>
      </w:r>
    </w:p>
    <w:p w14:paraId="75503FB8" w14:textId="77777777" w:rsidR="00090A83" w:rsidRDefault="00000000">
      <w:pPr>
        <w:spacing w:before="240" w:after="240"/>
      </w:pPr>
      <w:r>
        <w:t xml:space="preserve"> </w:t>
      </w:r>
    </w:p>
    <w:p w14:paraId="22A96351" w14:textId="77777777" w:rsidR="00090A83" w:rsidRDefault="00000000">
      <w:pPr>
        <w:spacing w:before="240" w:after="240"/>
      </w:pPr>
      <w:r>
        <w:t xml:space="preserve">OT Security Testing: Before any active testing of the operational technology systems within Combulator’s internal network, IEC 62443 would be used for risk, configuration review and for detailed and specific scanning </w:t>
      </w:r>
      <w:hyperlink r:id="rId34">
        <w:r>
          <w:t>(Mikrodev, n.d.)</w:t>
        </w:r>
      </w:hyperlink>
      <w:r>
        <w:t xml:space="preserve">. After which, the known vulnerabilities would be checked, and mitigations would be implemented for the identified vulnerabilities. Finally, the Siemens operational security guidelines would be used to harden the PLCs </w:t>
      </w:r>
      <w:hyperlink r:id="rId35">
        <w:r>
          <w:t>(Siemens, 2025)</w:t>
        </w:r>
      </w:hyperlink>
      <w:r>
        <w:t>.</w:t>
      </w:r>
    </w:p>
    <w:p w14:paraId="5753DC70" w14:textId="77777777" w:rsidR="00090A83" w:rsidRDefault="00000000">
      <w:pPr>
        <w:spacing w:before="240" w:after="240"/>
      </w:pPr>
      <w:r>
        <w:t xml:space="preserve"> </w:t>
      </w:r>
    </w:p>
    <w:p w14:paraId="473C8F80" w14:textId="77777777" w:rsidR="00090A83" w:rsidRDefault="00000000">
      <w:pPr>
        <w:spacing w:before="240" w:after="240"/>
      </w:pPr>
      <w:r>
        <w:t xml:space="preserve">Affected OT Security Areas: Asset Inventory and Monitoring is an affected area due to the complexity of multiple different Siemens PLCs with different firmwares in the Combulator organisation. Access Control is also a vulnerable area due to the difficulty of properly configuring access across the multiple Siemens PLCs. Patch Management and regular audits could have been one of the affected areas due to legacy PLCs present within Combulator’s internal network not supporting frequent patching or modern PLCs that can support updates, but cannot due to the need to be compatible with older systems. Incident response and monitoring present themselves as another vulnerable area as older PLCs usually generate minimal logs, which makes for uneven detection capabilities across the environment </w:t>
      </w:r>
      <w:hyperlink r:id="rId36">
        <w:r>
          <w:t>(SSHAcademy, 2025)</w:t>
        </w:r>
      </w:hyperlink>
      <w:r>
        <w:t>.</w:t>
      </w:r>
    </w:p>
    <w:p w14:paraId="795A0108" w14:textId="77777777" w:rsidR="00090A83" w:rsidRDefault="00000000">
      <w:pPr>
        <w:spacing w:before="240" w:after="240"/>
      </w:pPr>
      <w:r>
        <w:t xml:space="preserve"> </w:t>
      </w:r>
    </w:p>
    <w:p w14:paraId="0CE68074" w14:textId="77777777" w:rsidR="00090A83" w:rsidRDefault="00000000">
      <w:pPr>
        <w:spacing w:before="240" w:after="240"/>
      </w:pPr>
      <w:r>
        <w:lastRenderedPageBreak/>
        <w:t xml:space="preserve">Framework and Justification: The framework selected for implementation by Combulator is IEC 62443, as it’s designed specifically for the OT network </w:t>
      </w:r>
      <w:hyperlink r:id="rId37">
        <w:r>
          <w:t>(Mikrodev, n.d.)</w:t>
        </w:r>
      </w:hyperlink>
      <w:r>
        <w:t>. The three main areas prioritised are Policies and Procedures (IEC 62443-2-x), System Requirements (IEC 62443-3-x), and Component Requirements (IEC 62443-4-x). The policies and procedures component was chosen because it controls the operation of the entire organisation. System requirements were selected due to the need to create a standard for operational technology equipment as a whole, and component requirements were selected due to the need to create a standard for operational technology equipment for individual devices.</w:t>
      </w:r>
    </w:p>
    <w:p w14:paraId="01DA8F07" w14:textId="77777777" w:rsidR="00090A83" w:rsidRDefault="00000000">
      <w:pPr>
        <w:spacing w:before="240" w:after="240"/>
      </w:pPr>
      <w:r>
        <w:t xml:space="preserve"> Recommendations: The S7-300, S7-400 and S7-1500 are all to be segmented to different networks. Due to legacy systems like the Siemens S7-300 /400 PLCs no longer receiving security updates, operating with unencrypted protocols, relying on discontinued software platforms and being costly and complex to replace, it is recommended to ensure network segmentation with vlans and industrial firewalls, while placing strict rules between IT and OT. it is also recommended to fully isolate the S7-300 PLCs and also isolate the S7-400 PLCs if feasible to the overall industrial network system, where possible, and deploy demilitarised zones between IT and OT to filter traffic. Finally, continuous monitoring and intrusion detection to detect any traffic flowing to and from the air-gapped Siemens PLCs </w:t>
      </w:r>
      <w:hyperlink r:id="rId38">
        <w:r>
          <w:t>(Group, 2025)</w:t>
        </w:r>
      </w:hyperlink>
      <w:r>
        <w:t xml:space="preserve">. A detailed plan should be drawn out to replace the S7-300 in batches over the next two years and the S7-400 in batches over the next five years. Configure the S7-1500 with the same controls, regularly implement security patches, and continuously gather threat intelligence for quick isolation from the IT network if needed. No detailed plan needs to be drawn out to replace the S7-1500 in the short to middle term; however, as it still receives support and regular security updates </w:t>
      </w:r>
      <w:hyperlink r:id="rId39">
        <w:r>
          <w:t>(Siemens, 2026)</w:t>
        </w:r>
      </w:hyperlink>
      <w:r>
        <w:t>.</w:t>
      </w:r>
    </w:p>
    <w:p w14:paraId="38ADAB74" w14:textId="77777777" w:rsidR="00090A83" w:rsidRDefault="00000000">
      <w:pPr>
        <w:spacing w:before="240" w:after="240"/>
        <w:rPr>
          <w:b/>
          <w:bCs/>
          <w:sz w:val="28"/>
          <w:szCs w:val="28"/>
        </w:rPr>
      </w:pPr>
      <w:r>
        <w:rPr>
          <w:b/>
          <w:bCs/>
          <w:sz w:val="28"/>
          <w:szCs w:val="28"/>
        </w:rPr>
        <w:t>Quantified recovery times for different types of OT system impacts</w:t>
      </w:r>
    </w:p>
    <w:p w14:paraId="7997458D" w14:textId="77777777" w:rsidR="00090A83" w:rsidRDefault="00000000">
      <w:pPr>
        <w:spacing w:before="240" w:after="240"/>
      </w:pPr>
      <w:r>
        <w:t xml:space="preserve">Research shows the average time from compromise to detection in OT systems is 52 days, a considerable amount of time for lateral movement and critical systems access before identification. While 31% of organisations now detect breaches in 12 hours, full resolution of breaches remains a considerable challenge, with one in ten large organisations taking over a year to resolve major cyber incidents </w:t>
      </w:r>
      <w:hyperlink r:id="rId40">
        <w:r>
          <w:t>(Sims, 2026)</w:t>
        </w:r>
      </w:hyperlink>
      <w:r>
        <w:t>.</w:t>
      </w:r>
    </w:p>
    <w:p w14:paraId="3B541CD9" w14:textId="77777777" w:rsidR="00090A83" w:rsidRDefault="00000000">
      <w:pPr>
        <w:spacing w:before="240" w:after="240"/>
      </w:pPr>
      <w:r>
        <w:t xml:space="preserve">The table below highlights a quantified recovery time for different types of OT system impacts </w:t>
      </w:r>
      <w:hyperlink r:id="rId41">
        <w:r>
          <w:t>(Dhandala, 2026)</w:t>
        </w:r>
      </w:hyperlink>
      <w:r>
        <w:t>:</w:t>
      </w:r>
    </w:p>
    <w:p w14:paraId="24E37698" w14:textId="77777777" w:rsidR="00090A83" w:rsidRDefault="00090A83">
      <w:pPr>
        <w:spacing w:before="240" w:after="240"/>
      </w:pP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250"/>
        <w:gridCol w:w="3600"/>
        <w:gridCol w:w="2235"/>
      </w:tblGrid>
      <w:tr w:rsidR="00090A83" w14:paraId="3FB39B50" w14:textId="77777777">
        <w:tc>
          <w:tcPr>
            <w:tcW w:w="855" w:type="dxa"/>
            <w:tcMar>
              <w:top w:w="100" w:type="dxa"/>
              <w:left w:w="100" w:type="dxa"/>
              <w:bottom w:w="100" w:type="dxa"/>
              <w:right w:w="100" w:type="dxa"/>
            </w:tcMar>
          </w:tcPr>
          <w:p w14:paraId="45495CD1" w14:textId="77777777" w:rsidR="00090A83" w:rsidRDefault="00000000">
            <w:pPr>
              <w:widowControl w:val="0"/>
              <w:pBdr>
                <w:top w:val="nil"/>
                <w:left w:val="nil"/>
                <w:bottom w:val="nil"/>
                <w:right w:val="nil"/>
                <w:between w:val="nil"/>
              </w:pBdr>
              <w:spacing w:line="240" w:lineRule="auto"/>
            </w:pPr>
            <w:r>
              <w:t>Tier</w:t>
            </w:r>
          </w:p>
        </w:tc>
        <w:tc>
          <w:tcPr>
            <w:tcW w:w="2250" w:type="dxa"/>
            <w:tcMar>
              <w:top w:w="100" w:type="dxa"/>
              <w:left w:w="100" w:type="dxa"/>
              <w:bottom w:w="100" w:type="dxa"/>
              <w:right w:w="100" w:type="dxa"/>
            </w:tcMar>
          </w:tcPr>
          <w:p w14:paraId="2A7A8F3A" w14:textId="77777777" w:rsidR="00090A83" w:rsidRDefault="00000000">
            <w:pPr>
              <w:widowControl w:val="0"/>
              <w:pBdr>
                <w:top w:val="nil"/>
                <w:left w:val="nil"/>
                <w:bottom w:val="nil"/>
                <w:right w:val="nil"/>
                <w:between w:val="nil"/>
              </w:pBdr>
              <w:spacing w:line="240" w:lineRule="auto"/>
            </w:pPr>
            <w:r>
              <w:t>Recovery time range</w:t>
            </w:r>
          </w:p>
        </w:tc>
        <w:tc>
          <w:tcPr>
            <w:tcW w:w="3600" w:type="dxa"/>
            <w:tcMar>
              <w:top w:w="100" w:type="dxa"/>
              <w:left w:w="100" w:type="dxa"/>
              <w:bottom w:w="100" w:type="dxa"/>
              <w:right w:w="100" w:type="dxa"/>
            </w:tcMar>
          </w:tcPr>
          <w:p w14:paraId="3AD55A9E" w14:textId="77777777" w:rsidR="00090A83" w:rsidRDefault="00000000">
            <w:pPr>
              <w:widowControl w:val="0"/>
              <w:pBdr>
                <w:top w:val="nil"/>
                <w:left w:val="nil"/>
                <w:bottom w:val="nil"/>
                <w:right w:val="nil"/>
                <w:between w:val="nil"/>
              </w:pBdr>
              <w:spacing w:line="240" w:lineRule="auto"/>
            </w:pPr>
            <w:r>
              <w:t>Business Impact</w:t>
            </w:r>
          </w:p>
        </w:tc>
        <w:tc>
          <w:tcPr>
            <w:tcW w:w="2235" w:type="dxa"/>
            <w:tcMar>
              <w:top w:w="100" w:type="dxa"/>
              <w:left w:w="100" w:type="dxa"/>
              <w:bottom w:w="100" w:type="dxa"/>
              <w:right w:w="100" w:type="dxa"/>
            </w:tcMar>
          </w:tcPr>
          <w:p w14:paraId="2602423B" w14:textId="77777777" w:rsidR="00090A83" w:rsidRDefault="00000000">
            <w:pPr>
              <w:widowControl w:val="0"/>
              <w:pBdr>
                <w:top w:val="nil"/>
                <w:left w:val="nil"/>
                <w:bottom w:val="nil"/>
                <w:right w:val="nil"/>
                <w:between w:val="nil"/>
              </w:pBdr>
              <w:spacing w:line="240" w:lineRule="auto"/>
            </w:pPr>
            <w:r>
              <w:t>Strategy for Recovery</w:t>
            </w:r>
          </w:p>
        </w:tc>
      </w:tr>
      <w:tr w:rsidR="00090A83" w14:paraId="3AF741BD" w14:textId="77777777">
        <w:tc>
          <w:tcPr>
            <w:tcW w:w="855" w:type="dxa"/>
            <w:tcMar>
              <w:top w:w="100" w:type="dxa"/>
              <w:left w:w="100" w:type="dxa"/>
              <w:bottom w:w="100" w:type="dxa"/>
              <w:right w:w="100" w:type="dxa"/>
            </w:tcMar>
          </w:tcPr>
          <w:p w14:paraId="685A29A5" w14:textId="77777777" w:rsidR="00090A83" w:rsidRDefault="00000000">
            <w:pPr>
              <w:widowControl w:val="0"/>
              <w:pBdr>
                <w:top w:val="nil"/>
                <w:left w:val="nil"/>
                <w:bottom w:val="nil"/>
                <w:right w:val="nil"/>
                <w:between w:val="nil"/>
              </w:pBdr>
              <w:spacing w:line="240" w:lineRule="auto"/>
            </w:pPr>
            <w:r>
              <w:t>1</w:t>
            </w:r>
          </w:p>
        </w:tc>
        <w:tc>
          <w:tcPr>
            <w:tcW w:w="2250" w:type="dxa"/>
            <w:tcMar>
              <w:top w:w="100" w:type="dxa"/>
              <w:left w:w="100" w:type="dxa"/>
              <w:bottom w:w="100" w:type="dxa"/>
              <w:right w:w="100" w:type="dxa"/>
            </w:tcMar>
          </w:tcPr>
          <w:p w14:paraId="65FC9A1F" w14:textId="77777777" w:rsidR="00090A83" w:rsidRDefault="00000000">
            <w:pPr>
              <w:widowControl w:val="0"/>
              <w:pBdr>
                <w:top w:val="nil"/>
                <w:left w:val="nil"/>
                <w:bottom w:val="nil"/>
                <w:right w:val="nil"/>
                <w:between w:val="nil"/>
              </w:pBdr>
              <w:spacing w:line="240" w:lineRule="auto"/>
            </w:pPr>
            <w:r>
              <w:t>0-15 Minutes</w:t>
            </w:r>
          </w:p>
        </w:tc>
        <w:tc>
          <w:tcPr>
            <w:tcW w:w="3600" w:type="dxa"/>
            <w:tcMar>
              <w:top w:w="100" w:type="dxa"/>
              <w:left w:w="100" w:type="dxa"/>
              <w:bottom w:w="100" w:type="dxa"/>
              <w:right w:w="100" w:type="dxa"/>
            </w:tcMar>
          </w:tcPr>
          <w:p w14:paraId="26B188C8" w14:textId="77777777" w:rsidR="00090A83" w:rsidRDefault="00000000">
            <w:pPr>
              <w:widowControl w:val="0"/>
              <w:pBdr>
                <w:top w:val="nil"/>
                <w:left w:val="nil"/>
                <w:bottom w:val="nil"/>
                <w:right w:val="nil"/>
                <w:between w:val="nil"/>
              </w:pBdr>
              <w:spacing w:line="240" w:lineRule="auto"/>
            </w:pPr>
            <w:r>
              <w:t>Immediate loss of revenue, violation of regulations.</w:t>
            </w:r>
          </w:p>
        </w:tc>
        <w:tc>
          <w:tcPr>
            <w:tcW w:w="2235" w:type="dxa"/>
            <w:tcMar>
              <w:top w:w="100" w:type="dxa"/>
              <w:left w:w="100" w:type="dxa"/>
              <w:bottom w:w="100" w:type="dxa"/>
              <w:right w:w="100" w:type="dxa"/>
            </w:tcMar>
          </w:tcPr>
          <w:p w14:paraId="03D91B41" w14:textId="77777777" w:rsidR="00090A83" w:rsidRDefault="00000000">
            <w:pPr>
              <w:widowControl w:val="0"/>
              <w:pBdr>
                <w:top w:val="nil"/>
                <w:left w:val="nil"/>
                <w:bottom w:val="nil"/>
                <w:right w:val="nil"/>
                <w:between w:val="nil"/>
              </w:pBdr>
              <w:spacing w:line="240" w:lineRule="auto"/>
            </w:pPr>
            <w:r>
              <w:t>Hot site standby, active-active recovery strategy.</w:t>
            </w:r>
          </w:p>
        </w:tc>
      </w:tr>
      <w:tr w:rsidR="00090A83" w14:paraId="26BEEE3E" w14:textId="77777777">
        <w:tc>
          <w:tcPr>
            <w:tcW w:w="855" w:type="dxa"/>
            <w:tcMar>
              <w:top w:w="100" w:type="dxa"/>
              <w:left w:w="100" w:type="dxa"/>
              <w:bottom w:w="100" w:type="dxa"/>
              <w:right w:w="100" w:type="dxa"/>
            </w:tcMar>
          </w:tcPr>
          <w:p w14:paraId="3AA1C12F" w14:textId="77777777" w:rsidR="00090A83" w:rsidRDefault="00000000">
            <w:pPr>
              <w:widowControl w:val="0"/>
              <w:pBdr>
                <w:top w:val="nil"/>
                <w:left w:val="nil"/>
                <w:bottom w:val="nil"/>
                <w:right w:val="nil"/>
                <w:between w:val="nil"/>
              </w:pBdr>
              <w:spacing w:line="240" w:lineRule="auto"/>
            </w:pPr>
            <w:r>
              <w:t>2</w:t>
            </w:r>
          </w:p>
        </w:tc>
        <w:tc>
          <w:tcPr>
            <w:tcW w:w="2250" w:type="dxa"/>
            <w:tcMar>
              <w:top w:w="100" w:type="dxa"/>
              <w:left w:w="100" w:type="dxa"/>
              <w:bottom w:w="100" w:type="dxa"/>
              <w:right w:w="100" w:type="dxa"/>
            </w:tcMar>
          </w:tcPr>
          <w:p w14:paraId="6A7CF386" w14:textId="77777777" w:rsidR="00090A83" w:rsidRDefault="00000000">
            <w:pPr>
              <w:widowControl w:val="0"/>
              <w:pBdr>
                <w:top w:val="nil"/>
                <w:left w:val="nil"/>
                <w:bottom w:val="nil"/>
                <w:right w:val="nil"/>
                <w:between w:val="nil"/>
              </w:pBdr>
              <w:spacing w:line="240" w:lineRule="auto"/>
            </w:pPr>
            <w:r>
              <w:t>15 minutes – 4 hours</w:t>
            </w:r>
          </w:p>
        </w:tc>
        <w:tc>
          <w:tcPr>
            <w:tcW w:w="3600" w:type="dxa"/>
            <w:tcMar>
              <w:top w:w="100" w:type="dxa"/>
              <w:left w:w="100" w:type="dxa"/>
              <w:bottom w:w="100" w:type="dxa"/>
              <w:right w:w="100" w:type="dxa"/>
            </w:tcMar>
          </w:tcPr>
          <w:p w14:paraId="56975882" w14:textId="77777777" w:rsidR="00090A83" w:rsidRDefault="00000000">
            <w:pPr>
              <w:widowControl w:val="0"/>
              <w:pBdr>
                <w:top w:val="nil"/>
                <w:left w:val="nil"/>
                <w:bottom w:val="nil"/>
                <w:right w:val="nil"/>
                <w:between w:val="nil"/>
              </w:pBdr>
              <w:spacing w:line="240" w:lineRule="auto"/>
            </w:pPr>
            <w:r>
              <w:t>Significant disruption to operations.</w:t>
            </w:r>
          </w:p>
        </w:tc>
        <w:tc>
          <w:tcPr>
            <w:tcW w:w="2235" w:type="dxa"/>
            <w:tcMar>
              <w:top w:w="100" w:type="dxa"/>
              <w:left w:w="100" w:type="dxa"/>
              <w:bottom w:w="100" w:type="dxa"/>
              <w:right w:w="100" w:type="dxa"/>
            </w:tcMar>
          </w:tcPr>
          <w:p w14:paraId="072B6499" w14:textId="77777777" w:rsidR="00090A83" w:rsidRDefault="00000000">
            <w:pPr>
              <w:widowControl w:val="0"/>
              <w:pBdr>
                <w:top w:val="nil"/>
                <w:left w:val="nil"/>
                <w:bottom w:val="nil"/>
                <w:right w:val="nil"/>
                <w:between w:val="nil"/>
              </w:pBdr>
              <w:spacing w:line="240" w:lineRule="auto"/>
            </w:pPr>
            <w:r>
              <w:t>Warm site standby, automated failover recovery strategy.</w:t>
            </w:r>
          </w:p>
        </w:tc>
      </w:tr>
      <w:tr w:rsidR="00090A83" w14:paraId="1AF40F68" w14:textId="77777777">
        <w:tc>
          <w:tcPr>
            <w:tcW w:w="855" w:type="dxa"/>
            <w:tcMar>
              <w:top w:w="100" w:type="dxa"/>
              <w:left w:w="100" w:type="dxa"/>
              <w:bottom w:w="100" w:type="dxa"/>
              <w:right w:w="100" w:type="dxa"/>
            </w:tcMar>
          </w:tcPr>
          <w:p w14:paraId="05C67DE5" w14:textId="77777777" w:rsidR="00090A83" w:rsidRDefault="00000000">
            <w:pPr>
              <w:widowControl w:val="0"/>
              <w:pBdr>
                <w:top w:val="nil"/>
                <w:left w:val="nil"/>
                <w:bottom w:val="nil"/>
                <w:right w:val="nil"/>
                <w:between w:val="nil"/>
              </w:pBdr>
              <w:spacing w:line="240" w:lineRule="auto"/>
            </w:pPr>
            <w:r>
              <w:lastRenderedPageBreak/>
              <w:t>3</w:t>
            </w:r>
          </w:p>
        </w:tc>
        <w:tc>
          <w:tcPr>
            <w:tcW w:w="2250" w:type="dxa"/>
            <w:tcMar>
              <w:top w:w="100" w:type="dxa"/>
              <w:left w:w="100" w:type="dxa"/>
              <w:bottom w:w="100" w:type="dxa"/>
              <w:right w:w="100" w:type="dxa"/>
            </w:tcMar>
          </w:tcPr>
          <w:p w14:paraId="2AD8649A" w14:textId="77777777" w:rsidR="00090A83" w:rsidRDefault="00000000">
            <w:pPr>
              <w:widowControl w:val="0"/>
              <w:pBdr>
                <w:top w:val="nil"/>
                <w:left w:val="nil"/>
                <w:bottom w:val="nil"/>
                <w:right w:val="nil"/>
                <w:between w:val="nil"/>
              </w:pBdr>
              <w:spacing w:line="240" w:lineRule="auto"/>
            </w:pPr>
            <w:r>
              <w:t>4-24 hours</w:t>
            </w:r>
          </w:p>
        </w:tc>
        <w:tc>
          <w:tcPr>
            <w:tcW w:w="3600" w:type="dxa"/>
            <w:tcMar>
              <w:top w:w="100" w:type="dxa"/>
              <w:left w:w="100" w:type="dxa"/>
              <w:bottom w:w="100" w:type="dxa"/>
              <w:right w:w="100" w:type="dxa"/>
            </w:tcMar>
          </w:tcPr>
          <w:p w14:paraId="4A983A71" w14:textId="77777777" w:rsidR="00090A83" w:rsidRDefault="00000000">
            <w:pPr>
              <w:widowControl w:val="0"/>
              <w:pBdr>
                <w:top w:val="nil"/>
                <w:left w:val="nil"/>
                <w:bottom w:val="nil"/>
                <w:right w:val="nil"/>
                <w:between w:val="nil"/>
              </w:pBdr>
              <w:spacing w:line="240" w:lineRule="auto"/>
            </w:pPr>
            <w:r>
              <w:t>Moderate impact with available alternatives.</w:t>
            </w:r>
          </w:p>
        </w:tc>
        <w:tc>
          <w:tcPr>
            <w:tcW w:w="2235" w:type="dxa"/>
            <w:tcMar>
              <w:top w:w="100" w:type="dxa"/>
              <w:left w:w="100" w:type="dxa"/>
              <w:bottom w:w="100" w:type="dxa"/>
              <w:right w:w="100" w:type="dxa"/>
            </w:tcMar>
          </w:tcPr>
          <w:p w14:paraId="4D06DA5D" w14:textId="77777777" w:rsidR="00090A83" w:rsidRDefault="00000000">
            <w:pPr>
              <w:widowControl w:val="0"/>
              <w:pBdr>
                <w:top w:val="nil"/>
                <w:left w:val="nil"/>
                <w:bottom w:val="nil"/>
                <w:right w:val="nil"/>
                <w:between w:val="nil"/>
              </w:pBdr>
              <w:spacing w:line="240" w:lineRule="auto"/>
            </w:pPr>
            <w:r>
              <w:t>Cold site standby, manual recovery strategy.</w:t>
            </w:r>
          </w:p>
        </w:tc>
      </w:tr>
      <w:tr w:rsidR="00090A83" w14:paraId="4E3A676E" w14:textId="77777777">
        <w:tc>
          <w:tcPr>
            <w:tcW w:w="855" w:type="dxa"/>
            <w:tcMar>
              <w:top w:w="100" w:type="dxa"/>
              <w:left w:w="100" w:type="dxa"/>
              <w:bottom w:w="100" w:type="dxa"/>
              <w:right w:w="100" w:type="dxa"/>
            </w:tcMar>
          </w:tcPr>
          <w:p w14:paraId="1FFFD8A8" w14:textId="77777777" w:rsidR="00090A83" w:rsidRDefault="00000000">
            <w:pPr>
              <w:widowControl w:val="0"/>
              <w:pBdr>
                <w:top w:val="nil"/>
                <w:left w:val="nil"/>
                <w:bottom w:val="nil"/>
                <w:right w:val="nil"/>
                <w:between w:val="nil"/>
              </w:pBdr>
              <w:spacing w:line="240" w:lineRule="auto"/>
            </w:pPr>
            <w:r>
              <w:t>4</w:t>
            </w:r>
          </w:p>
        </w:tc>
        <w:tc>
          <w:tcPr>
            <w:tcW w:w="2250" w:type="dxa"/>
            <w:tcMar>
              <w:top w:w="100" w:type="dxa"/>
              <w:left w:w="100" w:type="dxa"/>
              <w:bottom w:w="100" w:type="dxa"/>
              <w:right w:w="100" w:type="dxa"/>
            </w:tcMar>
          </w:tcPr>
          <w:p w14:paraId="352770A3" w14:textId="77777777" w:rsidR="00090A83" w:rsidRDefault="00000000">
            <w:pPr>
              <w:widowControl w:val="0"/>
              <w:pBdr>
                <w:top w:val="nil"/>
                <w:left w:val="nil"/>
                <w:bottom w:val="nil"/>
                <w:right w:val="nil"/>
                <w:between w:val="nil"/>
              </w:pBdr>
              <w:spacing w:line="240" w:lineRule="auto"/>
            </w:pPr>
            <w:r>
              <w:t>24-72 hours</w:t>
            </w:r>
          </w:p>
        </w:tc>
        <w:tc>
          <w:tcPr>
            <w:tcW w:w="3600" w:type="dxa"/>
            <w:tcMar>
              <w:top w:w="100" w:type="dxa"/>
              <w:left w:w="100" w:type="dxa"/>
              <w:bottom w:w="100" w:type="dxa"/>
              <w:right w:w="100" w:type="dxa"/>
            </w:tcMar>
          </w:tcPr>
          <w:p w14:paraId="4518DB41" w14:textId="77777777" w:rsidR="00090A83" w:rsidRDefault="00000000">
            <w:pPr>
              <w:widowControl w:val="0"/>
              <w:pBdr>
                <w:top w:val="nil"/>
                <w:left w:val="nil"/>
                <w:bottom w:val="nil"/>
                <w:right w:val="nil"/>
                <w:between w:val="nil"/>
              </w:pBdr>
              <w:spacing w:line="240" w:lineRule="auto"/>
            </w:pPr>
            <w:r>
              <w:t>Minimal impact on immediate operations.</w:t>
            </w:r>
          </w:p>
        </w:tc>
        <w:tc>
          <w:tcPr>
            <w:tcW w:w="2235" w:type="dxa"/>
            <w:tcMar>
              <w:top w:w="100" w:type="dxa"/>
              <w:left w:w="100" w:type="dxa"/>
              <w:bottom w:w="100" w:type="dxa"/>
              <w:right w:w="100" w:type="dxa"/>
            </w:tcMar>
          </w:tcPr>
          <w:p w14:paraId="65A035BC" w14:textId="77777777" w:rsidR="00090A83" w:rsidRDefault="00000000">
            <w:pPr>
              <w:widowControl w:val="0"/>
              <w:pBdr>
                <w:top w:val="nil"/>
                <w:left w:val="nil"/>
                <w:bottom w:val="nil"/>
                <w:right w:val="nil"/>
                <w:between w:val="nil"/>
              </w:pBdr>
              <w:spacing w:line="240" w:lineRule="auto"/>
            </w:pPr>
            <w:r>
              <w:t>Use of backups and a recovery strategy for restoration and rebuilding.</w:t>
            </w:r>
          </w:p>
        </w:tc>
      </w:tr>
    </w:tbl>
    <w:p w14:paraId="319EC3A6" w14:textId="77777777" w:rsidR="00090A83" w:rsidRDefault="00090A83">
      <w:pPr>
        <w:spacing w:before="240" w:after="240"/>
      </w:pPr>
    </w:p>
    <w:p w14:paraId="32C4853B" w14:textId="77777777" w:rsidR="00090A83" w:rsidRDefault="00000000">
      <w:pPr>
        <w:spacing w:before="240" w:after="240"/>
        <w:rPr>
          <w:b/>
          <w:bCs/>
          <w:sz w:val="28"/>
          <w:szCs w:val="28"/>
        </w:rPr>
      </w:pPr>
      <w:r>
        <w:rPr>
          <w:b/>
          <w:bCs/>
          <w:sz w:val="28"/>
          <w:szCs w:val="28"/>
        </w:rPr>
        <w:t>Data Requirements:</w:t>
      </w:r>
    </w:p>
    <w:p w14:paraId="3837FEAD" w14:textId="77777777" w:rsidR="00090A83" w:rsidRDefault="00000000">
      <w:pPr>
        <w:spacing w:before="240" w:after="240"/>
        <w:rPr>
          <w:b/>
          <w:bCs/>
          <w:sz w:val="28"/>
          <w:szCs w:val="28"/>
        </w:rPr>
      </w:pPr>
      <w:r>
        <w:rPr>
          <w:b/>
          <w:bCs/>
          <w:sz w:val="28"/>
          <w:szCs w:val="28"/>
        </w:rPr>
        <w:t xml:space="preserve"> </w:t>
      </w:r>
    </w:p>
    <w:p w14:paraId="57320F4F" w14:textId="77777777" w:rsidR="00090A83" w:rsidRDefault="00000000">
      <w:pPr>
        <w:spacing w:before="240" w:after="240"/>
      </w:pPr>
      <w:r>
        <w:t xml:space="preserve">Regulatory Requirements: Several essential regulations, such as GDPR, which serves to protect the confidentiality of customer data; Euro 7, which is a strict vehicle emission standard for vehicle manufacturers </w:t>
      </w:r>
      <w:hyperlink r:id="rId42">
        <w:r>
          <w:t>(EUR-LEX, 2025)</w:t>
        </w:r>
      </w:hyperlink>
      <w:r>
        <w:t xml:space="preserve"> such as Combulator; and European Type Approval, which is a mandatory standard ensuring manufactured vehicles are produced at a certain minimum quality before they can be distributed for purchase, are enforced by national authorities such as the National Standards Authority of Ireland (NSAI) </w:t>
      </w:r>
      <w:hyperlink r:id="rId43">
        <w:r>
          <w:t>(NSAI, n.d.)</w:t>
        </w:r>
      </w:hyperlink>
      <w:r>
        <w:t>.</w:t>
      </w:r>
    </w:p>
    <w:p w14:paraId="36822915" w14:textId="77777777" w:rsidR="00090A83" w:rsidRDefault="00000000">
      <w:pPr>
        <w:spacing w:before="240" w:after="240"/>
      </w:pPr>
      <w:r>
        <w:t xml:space="preserve"> </w:t>
      </w:r>
    </w:p>
    <w:p w14:paraId="3A6EED3C" w14:textId="77777777" w:rsidR="00090A83" w:rsidRDefault="00000000">
      <w:pPr>
        <w:spacing w:before="240" w:after="240"/>
      </w:pPr>
      <w:r>
        <w:t xml:space="preserve">Plan for Achieving Regulatory Requirements: Several core frameworks, including IEC-62443, govern OT cybersecurity </w:t>
      </w:r>
      <w:hyperlink r:id="rId44">
        <w:r>
          <w:t>(Mikrodev, n.d.)</w:t>
        </w:r>
      </w:hyperlink>
      <w:r>
        <w:t xml:space="preserve"> for the 400 Siemens PLC controllers. Make use of the GDPR guidelines to regulate the employee and customer data present within Combulator. ISO/SAE 21434 categorises the cybersecurity level required for a system. ISO 26262 is a standard complementary to ISO/SAE 21434 and will be used to test the functional safety of the vehicles being produced by Combulator. The TARA model, specifically the D2TARA model, will be used to assess cybersecurity maturity, and IATF-16949 will also be utilised for quality management </w:t>
      </w:r>
      <w:hyperlink r:id="rId45">
        <w:r>
          <w:t>(Chabanova, 2024)</w:t>
        </w:r>
      </w:hyperlink>
    </w:p>
    <w:p w14:paraId="4C8FF222" w14:textId="77777777" w:rsidR="00090A83" w:rsidRDefault="00000000">
      <w:pPr>
        <w:spacing w:before="240" w:after="240"/>
      </w:pPr>
      <w:r>
        <w:t xml:space="preserve"> </w:t>
      </w:r>
    </w:p>
    <w:p w14:paraId="4948EC4D" w14:textId="77777777" w:rsidR="00090A83" w:rsidRDefault="00000000">
      <w:pPr>
        <w:spacing w:before="240" w:after="240"/>
        <w:rPr>
          <w:b/>
          <w:bCs/>
          <w:sz w:val="28"/>
          <w:szCs w:val="28"/>
        </w:rPr>
      </w:pPr>
      <w:r>
        <w:rPr>
          <w:b/>
          <w:bCs/>
          <w:sz w:val="28"/>
          <w:szCs w:val="28"/>
        </w:rPr>
        <w:t xml:space="preserve">OWASP Top 10 </w:t>
      </w:r>
      <w:hyperlink r:id="rId46">
        <w:r>
          <w:rPr>
            <w:b/>
            <w:bCs/>
            <w:sz w:val="28"/>
            <w:szCs w:val="28"/>
          </w:rPr>
          <w:t>(OWASP, 2025)</w:t>
        </w:r>
      </w:hyperlink>
      <w:r>
        <w:rPr>
          <w:b/>
          <w:bCs/>
          <w:sz w:val="28"/>
          <w:szCs w:val="28"/>
        </w:rPr>
        <w:t>:</w:t>
      </w:r>
    </w:p>
    <w:p w14:paraId="0D9E19AC" w14:textId="77777777" w:rsidR="00090A83" w:rsidRDefault="00000000">
      <w:pPr>
        <w:numPr>
          <w:ilvl w:val="0"/>
          <w:numId w:val="6"/>
        </w:numPr>
      </w:pPr>
      <w:r>
        <w:t xml:space="preserve">Broken Access Control: The effectiveness of this attack category is evident in the case of CDK Global, a software provider for multiple auto dealerships in the United States that was attacked by ransomware, taking core systems offline and costing car dealerships more than $1 billion collectively through techniques such as credential dumping and exploitation of weak permissions </w:t>
      </w:r>
      <w:hyperlink r:id="rId47">
        <w:r>
          <w:t>(Dirox, 2024)</w:t>
        </w:r>
      </w:hyperlink>
      <w:r>
        <w:t xml:space="preserve">. </w:t>
      </w:r>
    </w:p>
    <w:p w14:paraId="054B8AD8" w14:textId="77777777" w:rsidR="00090A83" w:rsidRDefault="00000000">
      <w:pPr>
        <w:numPr>
          <w:ilvl w:val="0"/>
          <w:numId w:val="6"/>
        </w:numPr>
      </w:pPr>
      <w:r>
        <w:t xml:space="preserve">Cryptographic Failures: This attack category involves the disclosure of sensitive data due to weak or absent cryptographic protection. As in 2023, Toyota admitted that a misconfigured database had exposed the location data of over 2 million vehicles for almost a decade </w:t>
      </w:r>
      <w:hyperlink r:id="rId48">
        <w:r>
          <w:t>(SOCRadar, 2025)</w:t>
        </w:r>
      </w:hyperlink>
      <w:r>
        <w:t>.</w:t>
      </w:r>
    </w:p>
    <w:p w14:paraId="3E1A2C27" w14:textId="77777777" w:rsidR="00090A83" w:rsidRDefault="00000000">
      <w:pPr>
        <w:numPr>
          <w:ilvl w:val="0"/>
          <w:numId w:val="6"/>
        </w:numPr>
      </w:pPr>
      <w:r>
        <w:t xml:space="preserve">Injection: This attack category was a primary vector for the Stuxnet attack, which injected malicious logic into Siemens S7-300/S7-400 PLCs and was the first known </w:t>
      </w:r>
      <w:r>
        <w:lastRenderedPageBreak/>
        <w:t xml:space="preserve">malware to include a rootkit specifically designed for SCADA PLCs </w:t>
      </w:r>
      <w:hyperlink r:id="rId49">
        <w:r>
          <w:t>(Krause, 2026)</w:t>
        </w:r>
      </w:hyperlink>
      <w:r>
        <w:t xml:space="preserve">. A more recent injection attack involved the Hertz attack, which made use of CVE-2024-55956 to enable an unauthenticated import and execution of arbitrary Bash or PowerShell commands on a host system by a user through leveraging the default settings of the cleo autorun directory </w:t>
      </w:r>
      <w:hyperlink r:id="rId50">
        <w:r>
          <w:t>(Team, n.d.)</w:t>
        </w:r>
      </w:hyperlink>
      <w:r>
        <w:t xml:space="preserve">, which Hertz had as an internal component of its system </w:t>
      </w:r>
      <w:hyperlink r:id="rId51">
        <w:r>
          <w:t>(Scroxton, 2025)</w:t>
        </w:r>
      </w:hyperlink>
      <w:r>
        <w:t>.</w:t>
      </w:r>
    </w:p>
    <w:p w14:paraId="0D1CAA0A" w14:textId="77777777" w:rsidR="00090A83" w:rsidRDefault="00000000">
      <w:pPr>
        <w:numPr>
          <w:ilvl w:val="0"/>
          <w:numId w:val="6"/>
        </w:numPr>
      </w:pPr>
      <w:r>
        <w:t xml:space="preserve">Insecure design: The Stellantis attack, which involved Stellantis being a secondary target of the Salesforce attack by ShinyHunters, exploited the insecure design of the Salesloft Drift AI chatbot, which was directly integrated with Salesforce via OAuth tokens that carried excessive permissions and allowed the chatbot to act as a pivot point into the full Salesforce organisation, including its customers, without least privilege integration at the entry layer </w:t>
      </w:r>
      <w:hyperlink r:id="rId52">
        <w:r>
          <w:t>(Gatlan, 2025)</w:t>
        </w:r>
      </w:hyperlink>
      <w:r>
        <w:t xml:space="preserve"> is an example of the effectiveness and impact insecure design can have in a cyber incident.</w:t>
      </w:r>
    </w:p>
    <w:p w14:paraId="1FB3FB41" w14:textId="77777777" w:rsidR="00090A83" w:rsidRDefault="00000000">
      <w:pPr>
        <w:numPr>
          <w:ilvl w:val="0"/>
          <w:numId w:val="6"/>
        </w:numPr>
      </w:pPr>
      <w:r>
        <w:t xml:space="preserve">Security Misconfiguration: Improperly configured systems, such as the Toyota GitHub API key incident, in which a live production access key was published to a public repository, exposing customer information and management numbers. During this time, unauthorised third parties could access the details of over 296,000 customers </w:t>
      </w:r>
      <w:hyperlink r:id="rId53">
        <w:r>
          <w:t>(Toulas, 2025)</w:t>
        </w:r>
      </w:hyperlink>
      <w:r>
        <w:t>, reflecting the impact of poor security configurations</w:t>
      </w:r>
    </w:p>
    <w:p w14:paraId="56BABA3D" w14:textId="77777777" w:rsidR="00090A83" w:rsidRDefault="00000000">
      <w:pPr>
        <w:numPr>
          <w:ilvl w:val="0"/>
          <w:numId w:val="6"/>
        </w:numPr>
      </w:pPr>
      <w:r>
        <w:t xml:space="preserve">Vulnerable and Outdated Components: The use of zero-day vulnerabilities and unpatched or isolated outdated components was a gap exploited by the Clop group during the Cleo attack, which led to the data breach of Hertz, which involved customers’ personal and financial information </w:t>
      </w:r>
      <w:hyperlink r:id="rId54">
        <w:r>
          <w:t>(Arghire, 2025)</w:t>
        </w:r>
      </w:hyperlink>
      <w:r>
        <w:t>.</w:t>
      </w:r>
    </w:p>
    <w:p w14:paraId="548796E4" w14:textId="77777777" w:rsidR="00090A83" w:rsidRDefault="00000000">
      <w:pPr>
        <w:numPr>
          <w:ilvl w:val="0"/>
          <w:numId w:val="6"/>
        </w:numPr>
      </w:pPr>
      <w:r>
        <w:t xml:space="preserve">Identification and Authentication Failure: The RansomHub attack on Kawasaki Motors Europe, which led to the credentials of a single IT admin giving access to the system without MFA access in place </w:t>
      </w:r>
      <w:hyperlink r:id="rId55">
        <w:r>
          <w:t>(Chassignol, 2024)</w:t>
        </w:r>
      </w:hyperlink>
      <w:r>
        <w:t>, signals the impact that identification and authentication failures can have in cyber incidents.</w:t>
      </w:r>
    </w:p>
    <w:p w14:paraId="70B495C5" w14:textId="77777777" w:rsidR="00090A83" w:rsidRDefault="00000000">
      <w:pPr>
        <w:numPr>
          <w:ilvl w:val="0"/>
          <w:numId w:val="6"/>
        </w:numPr>
      </w:pPr>
      <w:r>
        <w:t xml:space="preserve">Software and Data Integrity Failures: The use of a SaaS supply chain attack in the Stellantis breach outlines the impact of interconnected systems without integrity or software access division between parties, a flaw that ensures the effectiveness of a supply chain attack due to fully interconnected systems </w:t>
      </w:r>
      <w:hyperlink r:id="rId56">
        <w:r>
          <w:t>(Obsidian, n.d.)</w:t>
        </w:r>
      </w:hyperlink>
      <w:r>
        <w:t>, as observed in the Stellantis-Salesforce attack.</w:t>
      </w:r>
    </w:p>
    <w:p w14:paraId="5AE2AAD0" w14:textId="77777777" w:rsidR="00090A83" w:rsidRDefault="00000000">
      <w:pPr>
        <w:numPr>
          <w:ilvl w:val="0"/>
          <w:numId w:val="6"/>
        </w:numPr>
        <w:spacing w:after="240"/>
      </w:pPr>
      <w:r>
        <w:t xml:space="preserve">Security Logging and Monitoring Failures: The Cariad incident is an example of a cyber incident that could have turned into a disastrous outcome. Terabytes of sensitive customer data that could have revealed the precise movement of hundreds of thousands of drivers across Europe were exposed in the cloud, with exposed fleet including sensitive users such as some cars from Hamburg’s police department and suspected intelligence service employees </w:t>
      </w:r>
      <w:hyperlink r:id="rId57">
        <w:r>
          <w:t>(SOCRadar, 2025)</w:t>
        </w:r>
      </w:hyperlink>
      <w:r>
        <w:t xml:space="preserve">. No internal security monitoring system for the cloud flagged the open data till it was resolved; this incident highlights the impact monitoring failures can have in the event of cyber attacks. </w:t>
      </w:r>
    </w:p>
    <w:p w14:paraId="44BFDE54" w14:textId="77777777" w:rsidR="00090A83" w:rsidRDefault="00000000">
      <w:pPr>
        <w:spacing w:after="240"/>
        <w:rPr>
          <w:b/>
          <w:bCs/>
          <w:sz w:val="30"/>
          <w:szCs w:val="30"/>
        </w:rPr>
      </w:pPr>
      <w:r>
        <w:rPr>
          <w:b/>
          <w:bCs/>
          <w:sz w:val="28"/>
          <w:szCs w:val="28"/>
        </w:rPr>
        <w:t>Strategic recommendations during the development of the secure website:</w:t>
      </w:r>
    </w:p>
    <w:p w14:paraId="0FC12485" w14:textId="77777777" w:rsidR="00090A83" w:rsidRDefault="00000000">
      <w:pPr>
        <w:numPr>
          <w:ilvl w:val="0"/>
          <w:numId w:val="4"/>
        </w:numPr>
      </w:pPr>
      <w:r>
        <w:t>Implement third-party risk assessment protocols before connecting any external APIs or third-party systems to mitigate supply chain attacks.</w:t>
      </w:r>
    </w:p>
    <w:p w14:paraId="7FA2BA49" w14:textId="77777777" w:rsidR="00090A83" w:rsidRDefault="00000000">
      <w:pPr>
        <w:numPr>
          <w:ilvl w:val="0"/>
          <w:numId w:val="4"/>
        </w:numPr>
      </w:pPr>
      <w:r>
        <w:t>Implement zero-trust API architecture.</w:t>
      </w:r>
    </w:p>
    <w:p w14:paraId="20D176A9" w14:textId="77777777" w:rsidR="00090A83" w:rsidRDefault="00000000">
      <w:pPr>
        <w:numPr>
          <w:ilvl w:val="0"/>
          <w:numId w:val="4"/>
        </w:numPr>
      </w:pPr>
      <w:r>
        <w:lastRenderedPageBreak/>
        <w:t>Deployment of API rate limiting and behavioural analysis to detect unusual patterns.</w:t>
      </w:r>
    </w:p>
    <w:p w14:paraId="1EC1F9DA" w14:textId="77777777" w:rsidR="00090A83" w:rsidRDefault="00000000">
      <w:pPr>
        <w:numPr>
          <w:ilvl w:val="0"/>
          <w:numId w:val="4"/>
        </w:numPr>
      </w:pPr>
      <w:r>
        <w:t>Deploy multi-factor authentication across all systems.</w:t>
      </w:r>
    </w:p>
    <w:p w14:paraId="129AEC7A" w14:textId="77777777" w:rsidR="00090A83" w:rsidRDefault="00000000">
      <w:pPr>
        <w:numPr>
          <w:ilvl w:val="0"/>
          <w:numId w:val="4"/>
        </w:numPr>
      </w:pPr>
      <w:r>
        <w:t>Ensure redundancy systems for critical systems, i.e., two admin access keys are necessary to implement any critical change to the existing system defined by the change threshold.</w:t>
      </w:r>
    </w:p>
    <w:p w14:paraId="5C6EB459" w14:textId="77777777" w:rsidR="00090A83" w:rsidRDefault="00000000">
      <w:pPr>
        <w:numPr>
          <w:ilvl w:val="0"/>
          <w:numId w:val="4"/>
        </w:numPr>
      </w:pPr>
      <w:r>
        <w:t>Conduct regular phishing and its other subtype drills.</w:t>
      </w:r>
    </w:p>
    <w:p w14:paraId="1E09A4BC" w14:textId="77777777" w:rsidR="00090A83" w:rsidRDefault="00000000">
      <w:pPr>
        <w:numPr>
          <w:ilvl w:val="0"/>
          <w:numId w:val="4"/>
        </w:numPr>
      </w:pPr>
      <w:r>
        <w:t>Creation of incident response playbooks specifically for social engineering situations.</w:t>
      </w:r>
    </w:p>
    <w:p w14:paraId="73017113" w14:textId="77777777" w:rsidR="00090A83" w:rsidRDefault="00000000">
      <w:pPr>
        <w:numPr>
          <w:ilvl w:val="0"/>
          <w:numId w:val="4"/>
        </w:numPr>
      </w:pPr>
      <w:r>
        <w:t>Implement network segmentation between IT and OT networks and establish different zones with continuous monitoring of the boundaries between zones.</w:t>
      </w:r>
    </w:p>
    <w:p w14:paraId="195BC943" w14:textId="77777777" w:rsidR="00090A83" w:rsidRDefault="00000000">
      <w:pPr>
        <w:numPr>
          <w:ilvl w:val="0"/>
          <w:numId w:val="4"/>
        </w:numPr>
      </w:pPr>
      <w:r>
        <w:t>Use of a suitable security framework for web applications in automotive customer portals.</w:t>
      </w:r>
    </w:p>
    <w:p w14:paraId="7144BD6B" w14:textId="77777777" w:rsidR="00090A83" w:rsidRDefault="00000000">
      <w:pPr>
        <w:numPr>
          <w:ilvl w:val="0"/>
          <w:numId w:val="4"/>
        </w:numPr>
        <w:spacing w:after="240"/>
      </w:pPr>
      <w:r>
        <w:t>Use of an automotive industry-specific compliance requirements framework, such as SAE J3061, for the implementation of the secure website.</w:t>
      </w:r>
    </w:p>
    <w:p w14:paraId="7523A6E8" w14:textId="77777777" w:rsidR="00090A83" w:rsidRDefault="00000000">
      <w:r>
        <w:t>References</w:t>
      </w:r>
    </w:p>
    <w:p w14:paraId="73C707FE" w14:textId="77777777" w:rsidR="00090A83" w:rsidRDefault="00000000">
      <w:pPr>
        <w:spacing w:after="240" w:line="240" w:lineRule="auto"/>
        <w:ind w:left="720"/>
      </w:pPr>
      <w:hyperlink r:id="rId58">
        <w:r>
          <w:t xml:space="preserve">Apache Software Foundation 2025a. Apache Tutorial: Dynamic Content with CGI - Apache HTTP Server Version 2.4. [Accessed 9 February 2026]. Available from: https://httpd.apache.org/docs/current/howto/cgi.html. </w:t>
        </w:r>
      </w:hyperlink>
    </w:p>
    <w:p w14:paraId="358A82E6" w14:textId="77777777" w:rsidR="00090A83" w:rsidRDefault="00000000">
      <w:pPr>
        <w:spacing w:after="240" w:line="240" w:lineRule="auto"/>
        <w:ind w:left="720"/>
      </w:pPr>
      <w:hyperlink r:id="rId59">
        <w:r>
          <w:t xml:space="preserve">Apache Software Foundation 2025b. Authentication and Authorization - Apache HTTP Server Version 2.4. [Accessed 9 February 2026]. Available from: https://httpd.apache.org/docs/2.4/howto/auth.html. </w:t>
        </w:r>
      </w:hyperlink>
    </w:p>
    <w:p w14:paraId="1DCC937D" w14:textId="77777777" w:rsidR="00090A83" w:rsidRDefault="00000000">
      <w:pPr>
        <w:spacing w:after="240" w:line="240" w:lineRule="auto"/>
        <w:ind w:left="720"/>
      </w:pPr>
      <w:hyperlink r:id="rId60">
        <w:r>
          <w:t xml:space="preserve">Apache Software Foundation n.d. core - Apache HTTP Server Version 2.4. [Accessed 9 February 2026]. Available from: https://httpd.apache.org/docs/current/mod/core.html#servertokens. </w:t>
        </w:r>
      </w:hyperlink>
    </w:p>
    <w:p w14:paraId="4C42E565" w14:textId="77777777" w:rsidR="00090A83" w:rsidRDefault="00000000">
      <w:pPr>
        <w:spacing w:after="240" w:line="240" w:lineRule="auto"/>
        <w:ind w:left="720"/>
      </w:pPr>
      <w:hyperlink r:id="rId61">
        <w:r>
          <w:t xml:space="preserve">Arghire, I. 2025. Hertz Discloses Data Breach Linked to Cleo Hack. </w:t>
        </w:r>
      </w:hyperlink>
      <w:hyperlink r:id="rId62">
        <w:r>
          <w:rPr>
            <w:i/>
            <w:iCs/>
          </w:rPr>
          <w:t>SecurityWeek</w:t>
        </w:r>
      </w:hyperlink>
      <w:hyperlink r:id="rId63">
        <w:r>
          <w:t xml:space="preserve">. [Online]. [Accessed 8 April 2026]. Available from: https://www.securityweek.com/hertz-discloses-data-breach-linked-to-cleo-hack/. </w:t>
        </w:r>
      </w:hyperlink>
    </w:p>
    <w:p w14:paraId="3D673C5E" w14:textId="77777777" w:rsidR="00090A83" w:rsidRDefault="00000000">
      <w:pPr>
        <w:spacing w:after="240" w:line="240" w:lineRule="auto"/>
        <w:ind w:left="720"/>
      </w:pPr>
      <w:hyperlink r:id="rId64">
        <w:r>
          <w:t xml:space="preserve">Breached Company 2025. The Automotive Industry Under Siege: How Ransomware and Supply Chain Attacks Devastated Major Carmakers in 2024-2025. [Accessed 6 April 2026]. Available from: https://breached.company/the-automotive-industry-under-siege-how-ransomware-and-supply-chain-attacks-devastated-major-carmakers-in-2024-2025/. </w:t>
        </w:r>
      </w:hyperlink>
    </w:p>
    <w:p w14:paraId="3C83B279" w14:textId="77777777" w:rsidR="00090A83" w:rsidRDefault="00000000">
      <w:pPr>
        <w:spacing w:after="240" w:line="240" w:lineRule="auto"/>
        <w:ind w:left="720"/>
      </w:pPr>
      <w:hyperlink r:id="rId65">
        <w:r>
          <w:t xml:space="preserve">Chabanova, N. 2024. Automotive Standards: The Comprehensive Guide | Compliance-Aspekte. </w:t>
        </w:r>
      </w:hyperlink>
      <w:hyperlink r:id="rId66">
        <w:r>
          <w:rPr>
            <w:i/>
            <w:iCs/>
          </w:rPr>
          <w:t>Compliance Aspekte</w:t>
        </w:r>
      </w:hyperlink>
      <w:hyperlink r:id="rId67">
        <w:r>
          <w:t xml:space="preserve">. [Online]. [Accessed 12 February 2026]. Available from: https://compliance-aspekte.de/en/articles/checklist-of-mandatory-standards-for-automotive-industry/. </w:t>
        </w:r>
      </w:hyperlink>
    </w:p>
    <w:p w14:paraId="23629B02" w14:textId="77777777" w:rsidR="00090A83" w:rsidRDefault="00000000">
      <w:pPr>
        <w:spacing w:after="240" w:line="240" w:lineRule="auto"/>
        <w:ind w:left="720"/>
      </w:pPr>
      <w:hyperlink r:id="rId68">
        <w:r>
          <w:t xml:space="preserve">Chassignol, F. 2024. Kawasaki Europe under pressure after RansomHub attack. </w:t>
        </w:r>
      </w:hyperlink>
      <w:hyperlink r:id="rId69">
        <w:r>
          <w:rPr>
            <w:i/>
            <w:iCs/>
          </w:rPr>
          <w:t>SOS Ransomware</w:t>
        </w:r>
      </w:hyperlink>
      <w:hyperlink r:id="rId70">
        <w:r>
          <w:t xml:space="preserve">. [Online]. [Accessed 8 April 2026]. Available from: https://sosransomware.com/en/ransomware-en/ransomhub-strikes-hard-kawasaki-europe-under-pressure-after-attack/. </w:t>
        </w:r>
      </w:hyperlink>
    </w:p>
    <w:p w14:paraId="18E16768" w14:textId="77777777" w:rsidR="00090A83" w:rsidRDefault="00000000">
      <w:pPr>
        <w:spacing w:after="240" w:line="240" w:lineRule="auto"/>
        <w:ind w:left="720"/>
      </w:pPr>
      <w:hyperlink r:id="rId71">
        <w:r>
          <w:t xml:space="preserve">CISA 2024. Siemens SIMATIC S7-1500 | CISA. [Accessed 10 February 2026]. Available from: https://www.cisa.gov/news-events/ics-advisories/icsa-24-102-01. </w:t>
        </w:r>
      </w:hyperlink>
    </w:p>
    <w:p w14:paraId="1A48C5CB" w14:textId="77777777" w:rsidR="00090A83" w:rsidRDefault="00000000">
      <w:pPr>
        <w:spacing w:after="240" w:line="240" w:lineRule="auto"/>
        <w:ind w:left="720"/>
      </w:pPr>
      <w:hyperlink r:id="rId72">
        <w:r>
          <w:t xml:space="preserve">CMC 2025. Cyber Monitoring Centre Statement on the Jaguar Land Rover Cyber Incident – October 2025 – CMC. [Accessed 6 April 2026]. Available from: </w:t>
        </w:r>
        <w:r>
          <w:lastRenderedPageBreak/>
          <w:t xml:space="preserve">https://cybermonitoringcentre.com/2025/10/22/cyber-monitoring-centre-statement-on-the-jaguar-land-rovercyber-incident-october-2025/. </w:t>
        </w:r>
      </w:hyperlink>
    </w:p>
    <w:p w14:paraId="74D8BB62" w14:textId="77777777" w:rsidR="00090A83" w:rsidRDefault="00000000">
      <w:pPr>
        <w:spacing w:after="240" w:line="240" w:lineRule="auto"/>
        <w:ind w:left="720"/>
      </w:pPr>
      <w:hyperlink r:id="rId73">
        <w:r>
          <w:t xml:space="preserve">Cyfirma 2025. Investigation Report on Jaguar Land Rover Cyberattack. </w:t>
        </w:r>
      </w:hyperlink>
      <w:hyperlink r:id="rId74">
        <w:r>
          <w:rPr>
            <w:i/>
            <w:iCs/>
          </w:rPr>
          <w:t>CYFIRMA</w:t>
        </w:r>
      </w:hyperlink>
      <w:hyperlink r:id="rId75">
        <w:r>
          <w:t xml:space="preserve">. [Online]. [Accessed 6 April 2026]. Available from: https://www.cyfirma.com/research/investigation-report-on-jaguar-land-rover-cyberattack/. </w:t>
        </w:r>
      </w:hyperlink>
    </w:p>
    <w:p w14:paraId="3999991C" w14:textId="77777777" w:rsidR="00090A83" w:rsidRDefault="00000000">
      <w:pPr>
        <w:spacing w:after="240" w:line="240" w:lineRule="auto"/>
        <w:ind w:left="720"/>
      </w:pPr>
      <w:hyperlink r:id="rId76">
        <w:r>
          <w:t xml:space="preserve">DBCalm 2025. MySQL Backup Security &amp; Encryption: Complete Guide (2025). [Accessed 7 April 2026]. Available from: https://dbcalm.com/p/guides/backup-security-encryption. </w:t>
        </w:r>
      </w:hyperlink>
    </w:p>
    <w:p w14:paraId="5493A069" w14:textId="77777777" w:rsidR="00090A83" w:rsidRDefault="00000000">
      <w:pPr>
        <w:spacing w:after="240" w:line="240" w:lineRule="auto"/>
        <w:ind w:left="720"/>
      </w:pPr>
      <w:hyperlink r:id="rId77">
        <w:r>
          <w:t xml:space="preserve">Dhandala 2026. How to Build Recovery Time Objectives. </w:t>
        </w:r>
      </w:hyperlink>
      <w:hyperlink r:id="rId78">
        <w:r>
          <w:rPr>
            <w:i/>
            <w:iCs/>
          </w:rPr>
          <w:t>OneUptime | One Complete Observability platform.</w:t>
        </w:r>
      </w:hyperlink>
      <w:hyperlink r:id="rId79">
        <w:r>
          <w:t xml:space="preserve"> [Online]. [Accessed 7 April 2026]. Available from: https://oneuptime.com/blog/post/2026-01-30-recovery-time-objectives/view. </w:t>
        </w:r>
      </w:hyperlink>
    </w:p>
    <w:p w14:paraId="3E7DC2CC" w14:textId="77777777" w:rsidR="00090A83" w:rsidRDefault="00000000">
      <w:pPr>
        <w:spacing w:after="240" w:line="240" w:lineRule="auto"/>
        <w:ind w:left="720"/>
      </w:pPr>
      <w:hyperlink r:id="rId80">
        <w:r>
          <w:t xml:space="preserve">Dirox 2024. CDK Cyber Attack: Understanding and Preventing Future Threats. [Accessed 7 April 2026]. Available from: https://dirox.com/post/cdk-cyber-attack-understanding-and-preventing-future-threats. </w:t>
        </w:r>
      </w:hyperlink>
    </w:p>
    <w:p w14:paraId="79A6E01A" w14:textId="77777777" w:rsidR="00090A83" w:rsidRDefault="00000000">
      <w:pPr>
        <w:spacing w:after="240" w:line="240" w:lineRule="auto"/>
        <w:ind w:left="720"/>
      </w:pPr>
      <w:hyperlink r:id="rId81">
        <w:r>
          <w:t xml:space="preserve">Dreamfactory 2025. (1) MySQL vs MS SQL Server: Key Similarities and Differences | Dreamfactory | LinkedIn. [Accessed 7 April 2026]. Available from: https://www.linkedin.com/pulse/mysql-vs-ms-sql-server-key-similarities-differences-xe0be/. </w:t>
        </w:r>
      </w:hyperlink>
    </w:p>
    <w:p w14:paraId="11F0370A" w14:textId="77777777" w:rsidR="00090A83" w:rsidRDefault="00000000">
      <w:pPr>
        <w:spacing w:after="240" w:line="240" w:lineRule="auto"/>
        <w:ind w:left="720"/>
      </w:pPr>
      <w:hyperlink r:id="rId82">
        <w:r>
          <w:t xml:space="preserve">EUR-LEX 2025. Vehicle emissions and battery durability (Euro 7): technical requirements and certification rules | EUR-Lex. [Accessed 11 February 2026]. Available from: https://eur-lex.europa.eu/EN/legal-content/summary/vehicle-emissions-and-battery-durability-euro-7-technical-requirements-and-certification-rules.html. </w:t>
        </w:r>
      </w:hyperlink>
    </w:p>
    <w:p w14:paraId="477C3C32" w14:textId="77777777" w:rsidR="00090A83" w:rsidRDefault="00000000">
      <w:pPr>
        <w:spacing w:after="240" w:line="240" w:lineRule="auto"/>
        <w:ind w:left="720"/>
      </w:pPr>
      <w:hyperlink r:id="rId83">
        <w:r>
          <w:t xml:space="preserve">Faisal, M.Y. 2022. (3) Part # 3 - OT / ICS Network Security Architecture &amp; Segmentation | LinkedIn. [Accessed 7 April 2026]. Available from: https://www.linkedin.com/pulse/part-3-ot-ics-network-security-architecture-m-yousuf-faisal/. </w:t>
        </w:r>
      </w:hyperlink>
    </w:p>
    <w:p w14:paraId="041E2189" w14:textId="77777777" w:rsidR="00090A83" w:rsidRDefault="00000000">
      <w:pPr>
        <w:spacing w:after="240" w:line="240" w:lineRule="auto"/>
        <w:ind w:left="720"/>
      </w:pPr>
      <w:hyperlink r:id="rId84">
        <w:r>
          <w:t xml:space="preserve">Gatlan, S. 2025. Automaker giant Stellantis confirms data breach after Salesforce hack. </w:t>
        </w:r>
      </w:hyperlink>
      <w:hyperlink r:id="rId85">
        <w:r>
          <w:rPr>
            <w:i/>
            <w:iCs/>
          </w:rPr>
          <w:t>BleepingComputer</w:t>
        </w:r>
      </w:hyperlink>
      <w:hyperlink r:id="rId86">
        <w:r>
          <w:t xml:space="preserve">. [Online]. [Accessed 8 April 2026]. Available from: https://www.bleepingcomputer.com/news/security/automaker-giant-stellantis-confirms-data-breach-after-salesforce-hack/. </w:t>
        </w:r>
      </w:hyperlink>
    </w:p>
    <w:p w14:paraId="12F9304E" w14:textId="77777777" w:rsidR="00090A83" w:rsidRDefault="00000000">
      <w:pPr>
        <w:spacing w:after="240" w:line="240" w:lineRule="auto"/>
        <w:ind w:left="720"/>
      </w:pPr>
      <w:hyperlink r:id="rId87">
        <w:r>
          <w:t xml:space="preserve">Group, negg 2025. Protect PLCs and legacy systems from cyber ​​attacks. </w:t>
        </w:r>
      </w:hyperlink>
      <w:hyperlink r:id="rId88">
        <w:r>
          <w:rPr>
            <w:i/>
            <w:iCs/>
          </w:rPr>
          <w:t>negg Blog</w:t>
        </w:r>
      </w:hyperlink>
      <w:hyperlink r:id="rId89">
        <w:r>
          <w:t xml:space="preserve">. [Online]. [Accessed 7 April 2026]. Available from: https://negg.blog/en/protect-plcs-and-legacy-systems-from-cyber-attacks/. </w:t>
        </w:r>
      </w:hyperlink>
    </w:p>
    <w:p w14:paraId="7CBEE844" w14:textId="77777777" w:rsidR="00090A83" w:rsidRDefault="00000000">
      <w:pPr>
        <w:spacing w:after="240" w:line="240" w:lineRule="auto"/>
        <w:ind w:left="720"/>
      </w:pPr>
      <w:hyperlink r:id="rId90">
        <w:r>
          <w:t xml:space="preserve">James, A. 2025. A Basic Guide to SQL Server Security | Netwrix. [Accessed 10 February 2026]. Available from: https://netwrix.com/. </w:t>
        </w:r>
      </w:hyperlink>
    </w:p>
    <w:p w14:paraId="42E160EE" w14:textId="77777777" w:rsidR="00090A83" w:rsidRDefault="00000000">
      <w:pPr>
        <w:spacing w:after="240" w:line="240" w:lineRule="auto"/>
        <w:ind w:left="720"/>
      </w:pPr>
      <w:hyperlink r:id="rId91">
        <w:r>
          <w:t xml:space="preserve">Krause, D. 2026. Stuxnet Attack on Siemens PLCs: Technical Analysis &amp; Impact. </w:t>
        </w:r>
      </w:hyperlink>
      <w:hyperlink r:id="rId92">
        <w:r>
          <w:rPr>
            <w:i/>
            <w:iCs/>
          </w:rPr>
          <w:t>Industrial Monitor Direct</w:t>
        </w:r>
      </w:hyperlink>
      <w:hyperlink r:id="rId93">
        <w:r>
          <w:t xml:space="preserve">. [Online]. [Accessed 8 April 2026]. Available from: https://industrialmonitordirect.com/blogs/knowledgebase/stuxnet-worm-plc-code-injection-analysis-siemens-s7. </w:t>
        </w:r>
      </w:hyperlink>
    </w:p>
    <w:p w14:paraId="5B505769" w14:textId="77777777" w:rsidR="00090A83" w:rsidRDefault="00000000">
      <w:pPr>
        <w:spacing w:after="240" w:line="240" w:lineRule="auto"/>
        <w:ind w:left="720"/>
      </w:pPr>
      <w:hyperlink r:id="rId94">
        <w:r>
          <w:t xml:space="preserve">Manfred, K. 2026. Authentication — SSH-MITM. [Accessed 9 February 2026]. Available from: https://docs.ssh-mitm.at/user_guide/authentication.html. </w:t>
        </w:r>
      </w:hyperlink>
    </w:p>
    <w:p w14:paraId="343645E4" w14:textId="77777777" w:rsidR="00090A83" w:rsidRDefault="00000000">
      <w:pPr>
        <w:spacing w:after="240" w:line="240" w:lineRule="auto"/>
        <w:ind w:left="720"/>
      </w:pPr>
      <w:hyperlink r:id="rId95">
        <w:r>
          <w:t xml:space="preserve">Microsoft 2025. Microsoft Entra Authentication Overview - Microsoft Entra ID. [Accessed 9 February 2026]. Available from: https://learn.microsoft.com/en-us/entra/identity/authentication/overview-authentication. </w:t>
        </w:r>
      </w:hyperlink>
    </w:p>
    <w:p w14:paraId="21240124" w14:textId="77777777" w:rsidR="00090A83" w:rsidRDefault="00000000">
      <w:pPr>
        <w:spacing w:after="240" w:line="240" w:lineRule="auto"/>
        <w:ind w:left="720"/>
      </w:pPr>
      <w:hyperlink r:id="rId96">
        <w:r>
          <w:t xml:space="preserve">Mikrodev n.d. IEC 62443 and PLC &amp; SCADA Security: A Step-by-Step Guide (OT Security) - Mikrodev. [Accessed 10 February 2026]. Available from: https://www.mikrodev.com/iec-62443-and-plc-scada-security-a-step-by-step-guide-ot-security/. </w:t>
        </w:r>
      </w:hyperlink>
    </w:p>
    <w:p w14:paraId="7D4C763A" w14:textId="77777777" w:rsidR="00090A83" w:rsidRDefault="00000000">
      <w:pPr>
        <w:spacing w:after="240" w:line="240" w:lineRule="auto"/>
        <w:ind w:left="720"/>
      </w:pPr>
      <w:hyperlink r:id="rId97">
        <w:r>
          <w:t xml:space="preserve">NSAI n.d. European Type Approval | NSAI. [Accessed 11 February 2026]. Available from: https://www.nsai.ie/certification/automotive/european-new/. </w:t>
        </w:r>
      </w:hyperlink>
    </w:p>
    <w:p w14:paraId="79607917" w14:textId="77777777" w:rsidR="00090A83" w:rsidRDefault="00000000">
      <w:pPr>
        <w:spacing w:after="240" w:line="240" w:lineRule="auto"/>
        <w:ind w:left="720"/>
      </w:pPr>
      <w:hyperlink r:id="rId98">
        <w:r>
          <w:t xml:space="preserve">Obsidian n.d. Automaker Giant Stellantis Breached in SaaS Supply Chain Attack. [Accessed 8 April 2026]. Available from: https://www.obsidiansecurity.com/resource/automaker-giant-stellantis-breached-in-saas-supply-chain-attack. </w:t>
        </w:r>
      </w:hyperlink>
    </w:p>
    <w:p w14:paraId="05126876" w14:textId="77777777" w:rsidR="00090A83" w:rsidRDefault="00000000">
      <w:pPr>
        <w:spacing w:after="240" w:line="240" w:lineRule="auto"/>
        <w:ind w:left="720"/>
      </w:pPr>
      <w:hyperlink r:id="rId99">
        <w:r>
          <w:t xml:space="preserve">Oracle n.d. MySQL :: MySQL 8.0 Reference Manual :: 8.1.7 Client Programming Security Guidelines. [Accessed 7 April 2026]. Available from: https://dev.mysql.com/doc/refman/8.0/en/secure-client-programming.html. </w:t>
        </w:r>
      </w:hyperlink>
    </w:p>
    <w:p w14:paraId="2E3E2925" w14:textId="77777777" w:rsidR="00090A83" w:rsidRDefault="00000000">
      <w:pPr>
        <w:spacing w:after="240" w:line="240" w:lineRule="auto"/>
        <w:ind w:left="720"/>
      </w:pPr>
      <w:hyperlink r:id="rId100">
        <w:r>
          <w:t xml:space="preserve">OWASP 2025. OWASP Top 10:2021. [Accessed 12 February 2026]. Available from: https://owasp.org/Top10/2021/. </w:t>
        </w:r>
      </w:hyperlink>
    </w:p>
    <w:p w14:paraId="21BD45B6" w14:textId="77777777" w:rsidR="00090A83" w:rsidRDefault="00000000">
      <w:pPr>
        <w:spacing w:after="240" w:line="240" w:lineRule="auto"/>
        <w:ind w:left="720"/>
      </w:pPr>
      <w:hyperlink r:id="rId101">
        <w:r>
          <w:t xml:space="preserve">Rick, A. 2022. Request Filtering &amp;lt;requestFiltering&amp;gt; [Accessed 9 February 2026]. Available from: https://learn.microsoft.com/en-us/iis/configuration/system.webserver/security/requestfiltering/. </w:t>
        </w:r>
      </w:hyperlink>
    </w:p>
    <w:p w14:paraId="752825B7" w14:textId="77777777" w:rsidR="00090A83" w:rsidRDefault="00000000">
      <w:pPr>
        <w:spacing w:after="240" w:line="240" w:lineRule="auto"/>
        <w:ind w:left="720"/>
      </w:pPr>
      <w:hyperlink r:id="rId102">
        <w:r>
          <w:t xml:space="preserve">rwestMSFT 2025. Transparent Data Encryption (TDE) - SQL Server. [Accessed 10 February 2026]. Available from: https://learn.microsoft.com/en-us/sql/relational-databases/security/encryption/transparent-data-encryption?view=sql-server-ver17. </w:t>
        </w:r>
      </w:hyperlink>
    </w:p>
    <w:p w14:paraId="203BCC14" w14:textId="77777777" w:rsidR="00090A83" w:rsidRDefault="00000000">
      <w:pPr>
        <w:spacing w:after="240" w:line="240" w:lineRule="auto"/>
        <w:ind w:left="720"/>
      </w:pPr>
      <w:hyperlink r:id="rId103">
        <w:r>
          <w:t xml:space="preserve">Satori n.d. MySQL Security - Common Threats And 8 Best Practices. </w:t>
        </w:r>
      </w:hyperlink>
      <w:hyperlink r:id="rId104">
        <w:r>
          <w:rPr>
            <w:i/>
            <w:iCs/>
          </w:rPr>
          <w:t>Satori</w:t>
        </w:r>
      </w:hyperlink>
      <w:hyperlink r:id="rId105">
        <w:r>
          <w:t xml:space="preserve">. [Online]. [Accessed 10 February 2026]. Available from: https://satoricyber.com/mysql-security/mysql-security-common-threats-and-8-best-practices/. </w:t>
        </w:r>
      </w:hyperlink>
    </w:p>
    <w:p w14:paraId="3110D2A4" w14:textId="77777777" w:rsidR="00090A83" w:rsidRDefault="00000000">
      <w:pPr>
        <w:spacing w:after="240" w:line="240" w:lineRule="auto"/>
        <w:ind w:left="720"/>
      </w:pPr>
      <w:hyperlink r:id="rId106">
        <w:r>
          <w:t xml:space="preserve">Scroxton, A. 2025. Hertz warns UK customers of Cleo-linked data breach | Computer Weekly. </w:t>
        </w:r>
      </w:hyperlink>
      <w:hyperlink r:id="rId107">
        <w:r>
          <w:rPr>
            <w:i/>
            <w:iCs/>
          </w:rPr>
          <w:t>ComputerWeekly.com</w:t>
        </w:r>
      </w:hyperlink>
      <w:hyperlink r:id="rId108">
        <w:r>
          <w:t xml:space="preserve">. [Online]. [Accessed 8 April 2026]. Available from: https://www.computerweekly.com/news/366622655/Hertz-warns-UK-customers-of-Cleo-linked-data-breach. </w:t>
        </w:r>
      </w:hyperlink>
    </w:p>
    <w:p w14:paraId="6D6D99F8" w14:textId="77777777" w:rsidR="00090A83" w:rsidRDefault="00000000">
      <w:pPr>
        <w:spacing w:after="240" w:line="240" w:lineRule="auto"/>
        <w:ind w:left="720"/>
      </w:pPr>
      <w:hyperlink r:id="rId109">
        <w:r>
          <w:t xml:space="preserve">Sharma, S. 2024. Privilege Escalation via MS SQL Server in a Domain Environment. </w:t>
        </w:r>
      </w:hyperlink>
      <w:hyperlink r:id="rId110">
        <w:r>
          <w:rPr>
            <w:i/>
            <w:iCs/>
          </w:rPr>
          <w:t>Medium</w:t>
        </w:r>
      </w:hyperlink>
      <w:hyperlink r:id="rId111">
        <w:r>
          <w:t xml:space="preserve">. [Online]. [Accessed 10 February 2026]. Available from: https://medium.com/@sumeers85/privilege-escalation-via-ms-sql-server-in-a-domain-environment-9c309add71b9. </w:t>
        </w:r>
      </w:hyperlink>
    </w:p>
    <w:p w14:paraId="20B8A85F" w14:textId="77777777" w:rsidR="00090A83" w:rsidRDefault="00000000">
      <w:pPr>
        <w:spacing w:after="240" w:line="240" w:lineRule="auto"/>
        <w:ind w:left="720"/>
      </w:pPr>
      <w:hyperlink r:id="rId112">
        <w:r>
          <w:t xml:space="preserve">Siemens 2026. Updates for SIMATIC S7-1500 Software Controller - ID: 109478528 - Industry Support Siemens. [Accessed 7 April 2026]. Available from: https://support.industry.siemens.com/cs/document/109478528/updates-for-simatic-s7-1500-software-controller?dti=0&amp;lc=en-TN. </w:t>
        </w:r>
      </w:hyperlink>
    </w:p>
    <w:p w14:paraId="671FFFEE" w14:textId="77777777" w:rsidR="00090A83" w:rsidRDefault="00000000">
      <w:pPr>
        <w:spacing w:after="240" w:line="240" w:lineRule="auto"/>
        <w:ind w:left="720"/>
      </w:pPr>
      <w:hyperlink r:id="rId113">
        <w:r>
          <w:t xml:space="preserve">Siemens 2025. WinCC OA  Blueprint for a  Waste Water Treatment / Water Treatment Plant. </w:t>
        </w:r>
      </w:hyperlink>
    </w:p>
    <w:p w14:paraId="51AA28DF" w14:textId="77777777" w:rsidR="00090A83" w:rsidRDefault="00000000">
      <w:pPr>
        <w:spacing w:after="240" w:line="240" w:lineRule="auto"/>
        <w:ind w:left="720"/>
      </w:pPr>
      <w:hyperlink r:id="rId114">
        <w:r>
          <w:t xml:space="preserve">Sims, B. 2026. 80% of CNI organisations facing huge OT downtime costs from cyber attacks | Security Matters. [Accessed 7 April 2026]. Available from: https://securitymattersmagazine.com/80-of-cni-organisations-facing-huge-ot-downtime-costs-from-cyber-attacks. </w:t>
        </w:r>
      </w:hyperlink>
    </w:p>
    <w:p w14:paraId="07EEE3EF" w14:textId="77777777" w:rsidR="00090A83" w:rsidRDefault="00000000">
      <w:pPr>
        <w:spacing w:after="240" w:line="240" w:lineRule="auto"/>
        <w:ind w:left="720"/>
      </w:pPr>
      <w:hyperlink r:id="rId115">
        <w:r>
          <w:t xml:space="preserve">SOCRadar 2025. Major Cyber Attacks Targeting the Automotive Industry 2025. </w:t>
        </w:r>
      </w:hyperlink>
      <w:hyperlink r:id="rId116">
        <w:r>
          <w:rPr>
            <w:i/>
            <w:iCs/>
          </w:rPr>
          <w:t>SOCRadar® Cyber Intelligence Inc.</w:t>
        </w:r>
      </w:hyperlink>
      <w:hyperlink r:id="rId117">
        <w:r>
          <w:t xml:space="preserve"> [Online]. [Accessed 6 April 2026]. Available from: https://socradar.io/blog/major-cyber-attacks-targeting-automotive-industry-2025/. </w:t>
        </w:r>
      </w:hyperlink>
    </w:p>
    <w:p w14:paraId="72AAF108" w14:textId="77777777" w:rsidR="00090A83" w:rsidRDefault="00000000">
      <w:pPr>
        <w:spacing w:after="240" w:line="240" w:lineRule="auto"/>
        <w:ind w:left="720"/>
      </w:pPr>
      <w:hyperlink r:id="rId118">
        <w:r>
          <w:t xml:space="preserve">SSHAcademy 2025. OT Security Best Practices You Need to Know. [Accessed 10 February 2026]. Available from: https://www.ssh.com/academy/operational-technology/ot-security-best-practices-you-need-to-know. </w:t>
        </w:r>
      </w:hyperlink>
    </w:p>
    <w:p w14:paraId="22EDBC5D" w14:textId="77777777" w:rsidR="00090A83" w:rsidRDefault="00000000">
      <w:pPr>
        <w:spacing w:after="240" w:line="240" w:lineRule="auto"/>
        <w:ind w:left="720"/>
      </w:pPr>
      <w:hyperlink r:id="rId119">
        <w:r>
          <w:t xml:space="preserve">Sweeton, D. 2025. IIS Explained — What It Is, Why It Exists, and Why Developers Still Use It. </w:t>
        </w:r>
      </w:hyperlink>
      <w:hyperlink r:id="rId120">
        <w:r>
          <w:rPr>
            <w:i/>
            <w:iCs/>
          </w:rPr>
          <w:t>Medium</w:t>
        </w:r>
      </w:hyperlink>
      <w:hyperlink r:id="rId121">
        <w:r>
          <w:t xml:space="preserve">. [Online]. [Accessed 9 February 2026]. Available from: https://medium.com/@sweetondonie/iis-explained-what-it-is-why-it-exists-and-why-developers-still-use-it-67c583c9675f. </w:t>
        </w:r>
      </w:hyperlink>
    </w:p>
    <w:p w14:paraId="15600A63" w14:textId="77777777" w:rsidR="00090A83" w:rsidRDefault="00000000">
      <w:pPr>
        <w:spacing w:after="240" w:line="240" w:lineRule="auto"/>
        <w:ind w:left="720"/>
      </w:pPr>
      <w:hyperlink r:id="rId122">
        <w:r>
          <w:t xml:space="preserve">Team, C.C. n.d. CVE-2024-55956: Zero-Day Vulnerability in Cleo Software Could Lead to Data Theft. [Accessed 8 April 2026]. Available from: https://www.cybereason.com/blog/cve-2024-55956-cleo-vulnerability. </w:t>
        </w:r>
      </w:hyperlink>
    </w:p>
    <w:p w14:paraId="207B4033" w14:textId="77777777" w:rsidR="00090A83" w:rsidRDefault="00000000">
      <w:pPr>
        <w:spacing w:after="240" w:line="240" w:lineRule="auto"/>
        <w:ind w:left="720"/>
      </w:pPr>
      <w:hyperlink r:id="rId123">
        <w:r>
          <w:t xml:space="preserve">Team, S.A. 2025. 487 GB in Nine Days: How the Kawasaki Motors Europe Breach Became 2024’s Loudest Motorcycle Crash. </w:t>
        </w:r>
      </w:hyperlink>
      <w:hyperlink r:id="rId124">
        <w:r>
          <w:rPr>
            <w:i/>
            <w:iCs/>
          </w:rPr>
          <w:t>Savety AI</w:t>
        </w:r>
      </w:hyperlink>
      <w:hyperlink r:id="rId125">
        <w:r>
          <w:t xml:space="preserve">. [Online]. [Accessed 6 April 2026]. Available from: https://savety.ai/articles/kawasaki-motors-europe-breach-2024/. </w:t>
        </w:r>
      </w:hyperlink>
    </w:p>
    <w:p w14:paraId="335A9BE7" w14:textId="77777777" w:rsidR="00090A83" w:rsidRDefault="00000000">
      <w:pPr>
        <w:spacing w:after="240" w:line="240" w:lineRule="auto"/>
        <w:ind w:left="720"/>
      </w:pPr>
      <w:hyperlink r:id="rId126">
        <w:r>
          <w:t xml:space="preserve">Team, T.C. 2023. NotPetya: Looking Back Six Years Later. </w:t>
        </w:r>
      </w:hyperlink>
      <w:hyperlink r:id="rId127">
        <w:r>
          <w:rPr>
            <w:i/>
            <w:iCs/>
          </w:rPr>
          <w:t>Claroty</w:t>
        </w:r>
      </w:hyperlink>
      <w:hyperlink r:id="rId128">
        <w:r>
          <w:t xml:space="preserve">. [Online]. [Accessed 7 April 2026]. Available from: https://claroty.com/blog/notpetya-looking-back-six-years-later. </w:t>
        </w:r>
      </w:hyperlink>
    </w:p>
    <w:p w14:paraId="361BA950" w14:textId="77777777" w:rsidR="00090A83" w:rsidRDefault="00000000">
      <w:pPr>
        <w:spacing w:after="240" w:line="240" w:lineRule="auto"/>
        <w:ind w:left="720"/>
      </w:pPr>
      <w:hyperlink r:id="rId129">
        <w:r>
          <w:t xml:space="preserve">Tenable 2025. Siemens S7-300/400 PLC (CVE-2016-9159). [Accessed 10 February 2026]. Available from: https://www.tenable.com/plugins/ot/500306. </w:t>
        </w:r>
      </w:hyperlink>
    </w:p>
    <w:p w14:paraId="5E3B24F9" w14:textId="77777777" w:rsidR="00090A83" w:rsidRDefault="00000000">
      <w:pPr>
        <w:spacing w:after="240" w:line="240" w:lineRule="auto"/>
        <w:ind w:left="720"/>
      </w:pPr>
      <w:hyperlink r:id="rId130">
        <w:r>
          <w:t xml:space="preserve">Toulas, B. 2025. Toyota discloses data leak after access key exposed on GitHub. </w:t>
        </w:r>
      </w:hyperlink>
      <w:hyperlink r:id="rId131">
        <w:r>
          <w:rPr>
            <w:i/>
            <w:iCs/>
          </w:rPr>
          <w:t>BleepingComputer</w:t>
        </w:r>
      </w:hyperlink>
      <w:hyperlink r:id="rId132">
        <w:r>
          <w:t xml:space="preserve">. [Online]. [Accessed 8 April 2026]. Available from: https://www.bleepingcomputer.com/news/security/toyota-discloses-data-leak-after-access-key-exposed-on-github/. </w:t>
        </w:r>
      </w:hyperlink>
    </w:p>
    <w:p w14:paraId="1E06462A" w14:textId="77777777" w:rsidR="00090A83" w:rsidRDefault="00000000">
      <w:pPr>
        <w:spacing w:after="240" w:line="240" w:lineRule="auto"/>
        <w:ind w:left="720"/>
      </w:pPr>
      <w:hyperlink r:id="rId133">
        <w:r>
          <w:t xml:space="preserve">VanMSFT 2025. SQL Injection - SQL Server. [Accessed 10 February 2026]. Available from: https://learn.microsoft.com/en-us/sql/relational-databases/security/sql-injection?view=sql-server-ver17. </w:t>
        </w:r>
      </w:hyperlink>
    </w:p>
    <w:p w14:paraId="71BE8DB3" w14:textId="77777777" w:rsidR="00090A83" w:rsidRDefault="00000000">
      <w:pPr>
        <w:spacing w:after="240" w:line="240" w:lineRule="auto"/>
        <w:ind w:left="720"/>
      </w:pPr>
      <w:hyperlink r:id="rId134">
        <w:r>
          <w:t xml:space="preserve">Wikipedia 2026. Apache HTTP Server. </w:t>
        </w:r>
      </w:hyperlink>
      <w:hyperlink r:id="rId135">
        <w:r>
          <w:rPr>
            <w:i/>
            <w:iCs/>
          </w:rPr>
          <w:t>Wikipedia</w:t>
        </w:r>
      </w:hyperlink>
      <w:hyperlink r:id="rId136">
        <w:r>
          <w:t xml:space="preserve">. [Online]. [Accessed 9 February 2026]. Available from: https://en.wikipedia.org/w/index.php?title=Apache_HTTP_Server&amp;oldid=1333189974. </w:t>
        </w:r>
      </w:hyperlink>
    </w:p>
    <w:sectPr w:rsidR="00090A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71F868-A4F9-4E7B-88AE-89E401F00678}"/>
  </w:font>
  <w:font w:name="Cambria">
    <w:panose1 w:val="02040503050406030204"/>
    <w:charset w:val="00"/>
    <w:family w:val="roman"/>
    <w:pitch w:val="variable"/>
    <w:sig w:usb0="E00006FF" w:usb1="420024FF" w:usb2="02000000" w:usb3="00000000" w:csb0="0000019F" w:csb1="00000000"/>
    <w:embedRegular r:id="rId2" w:fontKey="{ED3190F7-1BC0-4EE9-9AE4-F29823303E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C90"/>
    <w:multiLevelType w:val="multilevel"/>
    <w:tmpl w:val="51D6C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831622"/>
    <w:multiLevelType w:val="multilevel"/>
    <w:tmpl w:val="9FD2D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42405B"/>
    <w:multiLevelType w:val="multilevel"/>
    <w:tmpl w:val="4C4A1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28E5CFC"/>
    <w:multiLevelType w:val="multilevel"/>
    <w:tmpl w:val="E6087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0E669A"/>
    <w:multiLevelType w:val="multilevel"/>
    <w:tmpl w:val="E70E8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AFD3811"/>
    <w:multiLevelType w:val="multilevel"/>
    <w:tmpl w:val="2D826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C80C2A"/>
    <w:multiLevelType w:val="multilevel"/>
    <w:tmpl w:val="B8262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8378601">
    <w:abstractNumId w:val="1"/>
  </w:num>
  <w:num w:numId="2" w16cid:durableId="1226526184">
    <w:abstractNumId w:val="4"/>
  </w:num>
  <w:num w:numId="3" w16cid:durableId="1434933030">
    <w:abstractNumId w:val="5"/>
  </w:num>
  <w:num w:numId="4" w16cid:durableId="754546556">
    <w:abstractNumId w:val="6"/>
  </w:num>
  <w:num w:numId="5" w16cid:durableId="44572624">
    <w:abstractNumId w:val="3"/>
  </w:num>
  <w:num w:numId="6" w16cid:durableId="167211641">
    <w:abstractNumId w:val="2"/>
  </w:num>
  <w:num w:numId="7" w16cid:durableId="56472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A83"/>
    <w:rsid w:val="00090A83"/>
    <w:rsid w:val="006267C5"/>
    <w:rsid w:val="00F372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B652"/>
  <w15:docId w15:val="{7599E229-1C65-4C54-99F6-08A042F6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yWpPCE" TargetMode="External"/><Relationship Id="rId21" Type="http://schemas.openxmlformats.org/officeDocument/2006/relationships/hyperlink" Target="https://www.zotero.org/google-docs/?Co5yZz" TargetMode="External"/><Relationship Id="rId42" Type="http://schemas.openxmlformats.org/officeDocument/2006/relationships/hyperlink" Target="https://www.zotero.org/google-docs/?4n8znP" TargetMode="External"/><Relationship Id="rId63" Type="http://schemas.openxmlformats.org/officeDocument/2006/relationships/hyperlink" Target="https://www.zotero.org/google-docs/?yWpPCE" TargetMode="External"/><Relationship Id="rId84" Type="http://schemas.openxmlformats.org/officeDocument/2006/relationships/hyperlink" Target="https://www.zotero.org/google-docs/?yWpPCE" TargetMode="External"/><Relationship Id="rId138" Type="http://schemas.openxmlformats.org/officeDocument/2006/relationships/theme" Target="theme/theme1.xml"/><Relationship Id="rId16" Type="http://schemas.openxmlformats.org/officeDocument/2006/relationships/hyperlink" Target="https://www.zotero.org/google-docs/?sjssTo" TargetMode="External"/><Relationship Id="rId107" Type="http://schemas.openxmlformats.org/officeDocument/2006/relationships/hyperlink" Target="https://www.zotero.org/google-docs/?yWpPCE" TargetMode="External"/><Relationship Id="rId11" Type="http://schemas.openxmlformats.org/officeDocument/2006/relationships/hyperlink" Target="https://www.zotero.org/google-docs/?3zQUqt" TargetMode="External"/><Relationship Id="rId32" Type="http://schemas.openxmlformats.org/officeDocument/2006/relationships/hyperlink" Target="https://www.zotero.org/google-docs/?P9TgCu" TargetMode="External"/><Relationship Id="rId37" Type="http://schemas.openxmlformats.org/officeDocument/2006/relationships/hyperlink" Target="https://www.zotero.org/google-docs/?OPlJMB" TargetMode="External"/><Relationship Id="rId53" Type="http://schemas.openxmlformats.org/officeDocument/2006/relationships/hyperlink" Target="https://www.zotero.org/google-docs/?6117Su" TargetMode="External"/><Relationship Id="rId58" Type="http://schemas.openxmlformats.org/officeDocument/2006/relationships/hyperlink" Target="https://www.zotero.org/google-docs/?yWpPCE" TargetMode="External"/><Relationship Id="rId74" Type="http://schemas.openxmlformats.org/officeDocument/2006/relationships/hyperlink" Target="https://www.zotero.org/google-docs/?yWpPCE" TargetMode="External"/><Relationship Id="rId79" Type="http://schemas.openxmlformats.org/officeDocument/2006/relationships/hyperlink" Target="https://www.zotero.org/google-docs/?yWpPCE" TargetMode="External"/><Relationship Id="rId102" Type="http://schemas.openxmlformats.org/officeDocument/2006/relationships/hyperlink" Target="https://www.zotero.org/google-docs/?yWpPCE" TargetMode="External"/><Relationship Id="rId123" Type="http://schemas.openxmlformats.org/officeDocument/2006/relationships/hyperlink" Target="https://www.zotero.org/google-docs/?yWpPCE" TargetMode="External"/><Relationship Id="rId128" Type="http://schemas.openxmlformats.org/officeDocument/2006/relationships/hyperlink" Target="https://www.zotero.org/google-docs/?yWpPCE" TargetMode="External"/><Relationship Id="rId5" Type="http://schemas.openxmlformats.org/officeDocument/2006/relationships/hyperlink" Target="https://www.zotero.org/google-docs/?VqI7of" TargetMode="External"/><Relationship Id="rId90" Type="http://schemas.openxmlformats.org/officeDocument/2006/relationships/hyperlink" Target="https://www.zotero.org/google-docs/?yWpPCE" TargetMode="External"/><Relationship Id="rId95" Type="http://schemas.openxmlformats.org/officeDocument/2006/relationships/hyperlink" Target="https://www.zotero.org/google-docs/?yWpPCE" TargetMode="External"/><Relationship Id="rId22" Type="http://schemas.openxmlformats.org/officeDocument/2006/relationships/hyperlink" Target="https://www.zotero.org/google-docs/?MC26Oe" TargetMode="External"/><Relationship Id="rId27" Type="http://schemas.openxmlformats.org/officeDocument/2006/relationships/hyperlink" Target="https://www.zotero.org/google-docs/?LphsLU" TargetMode="External"/><Relationship Id="rId43" Type="http://schemas.openxmlformats.org/officeDocument/2006/relationships/hyperlink" Target="https://www.zotero.org/google-docs/?G99CmS" TargetMode="External"/><Relationship Id="rId48" Type="http://schemas.openxmlformats.org/officeDocument/2006/relationships/hyperlink" Target="https://www.zotero.org/google-docs/?9lvbGn" TargetMode="External"/><Relationship Id="rId64" Type="http://schemas.openxmlformats.org/officeDocument/2006/relationships/hyperlink" Target="https://www.zotero.org/google-docs/?yWpPCE" TargetMode="External"/><Relationship Id="rId69" Type="http://schemas.openxmlformats.org/officeDocument/2006/relationships/hyperlink" Target="https://www.zotero.org/google-docs/?yWpPCE" TargetMode="External"/><Relationship Id="rId113" Type="http://schemas.openxmlformats.org/officeDocument/2006/relationships/hyperlink" Target="https://www.zotero.org/google-docs/?yWpPCE" TargetMode="External"/><Relationship Id="rId118" Type="http://schemas.openxmlformats.org/officeDocument/2006/relationships/hyperlink" Target="https://www.zotero.org/google-docs/?yWpPCE" TargetMode="External"/><Relationship Id="rId134" Type="http://schemas.openxmlformats.org/officeDocument/2006/relationships/hyperlink" Target="https://www.zotero.org/google-docs/?yWpPCE" TargetMode="External"/><Relationship Id="rId80" Type="http://schemas.openxmlformats.org/officeDocument/2006/relationships/hyperlink" Target="https://www.zotero.org/google-docs/?yWpPCE" TargetMode="External"/><Relationship Id="rId85" Type="http://schemas.openxmlformats.org/officeDocument/2006/relationships/hyperlink" Target="https://www.zotero.org/google-docs/?yWpPCE" TargetMode="External"/><Relationship Id="rId12" Type="http://schemas.openxmlformats.org/officeDocument/2006/relationships/hyperlink" Target="https://www.zotero.org/google-docs/?cvAPLP" TargetMode="External"/><Relationship Id="rId17" Type="http://schemas.openxmlformats.org/officeDocument/2006/relationships/hyperlink" Target="https://www.zotero.org/google-docs/?JkRdHj" TargetMode="External"/><Relationship Id="rId33" Type="http://schemas.openxmlformats.org/officeDocument/2006/relationships/hyperlink" Target="https://www.zotero.org/google-docs/?NSZjuE" TargetMode="External"/><Relationship Id="rId38" Type="http://schemas.openxmlformats.org/officeDocument/2006/relationships/hyperlink" Target="https://www.zotero.org/google-docs/?WXg0uG" TargetMode="External"/><Relationship Id="rId59" Type="http://schemas.openxmlformats.org/officeDocument/2006/relationships/hyperlink" Target="https://www.zotero.org/google-docs/?yWpPCE" TargetMode="External"/><Relationship Id="rId103" Type="http://schemas.openxmlformats.org/officeDocument/2006/relationships/hyperlink" Target="https://www.zotero.org/google-docs/?yWpPCE" TargetMode="External"/><Relationship Id="rId108" Type="http://schemas.openxmlformats.org/officeDocument/2006/relationships/hyperlink" Target="https://www.zotero.org/google-docs/?yWpPCE" TargetMode="External"/><Relationship Id="rId124" Type="http://schemas.openxmlformats.org/officeDocument/2006/relationships/hyperlink" Target="https://www.zotero.org/google-docs/?yWpPCE" TargetMode="External"/><Relationship Id="rId129" Type="http://schemas.openxmlformats.org/officeDocument/2006/relationships/hyperlink" Target="https://www.zotero.org/google-docs/?yWpPCE" TargetMode="External"/><Relationship Id="rId54" Type="http://schemas.openxmlformats.org/officeDocument/2006/relationships/hyperlink" Target="https://www.zotero.org/google-docs/?iQrfB6" TargetMode="External"/><Relationship Id="rId70" Type="http://schemas.openxmlformats.org/officeDocument/2006/relationships/hyperlink" Target="https://www.zotero.org/google-docs/?yWpPCE" TargetMode="External"/><Relationship Id="rId75" Type="http://schemas.openxmlformats.org/officeDocument/2006/relationships/hyperlink" Target="https://www.zotero.org/google-docs/?yWpPCE" TargetMode="External"/><Relationship Id="rId91" Type="http://schemas.openxmlformats.org/officeDocument/2006/relationships/hyperlink" Target="https://www.zotero.org/google-docs/?yWpPCE" TargetMode="External"/><Relationship Id="rId96" Type="http://schemas.openxmlformats.org/officeDocument/2006/relationships/hyperlink" Target="https://www.zotero.org/google-docs/?yWpPCE" TargetMode="External"/><Relationship Id="rId1" Type="http://schemas.openxmlformats.org/officeDocument/2006/relationships/numbering" Target="numbering.xml"/><Relationship Id="rId6" Type="http://schemas.openxmlformats.org/officeDocument/2006/relationships/hyperlink" Target="https://www.zotero.org/google-docs/?WFqRdx" TargetMode="External"/><Relationship Id="rId23" Type="http://schemas.openxmlformats.org/officeDocument/2006/relationships/hyperlink" Target="https://www.zotero.org/google-docs/?Qa1Z6b" TargetMode="External"/><Relationship Id="rId28" Type="http://schemas.openxmlformats.org/officeDocument/2006/relationships/hyperlink" Target="https://www.zotero.org/google-docs/?Gf8oDJ" TargetMode="External"/><Relationship Id="rId49" Type="http://schemas.openxmlformats.org/officeDocument/2006/relationships/hyperlink" Target="https://www.zotero.org/google-docs/?nj68kN" TargetMode="External"/><Relationship Id="rId114" Type="http://schemas.openxmlformats.org/officeDocument/2006/relationships/hyperlink" Target="https://www.zotero.org/google-docs/?yWpPCE" TargetMode="External"/><Relationship Id="rId119" Type="http://schemas.openxmlformats.org/officeDocument/2006/relationships/hyperlink" Target="https://www.zotero.org/google-docs/?yWpPCE" TargetMode="External"/><Relationship Id="rId44" Type="http://schemas.openxmlformats.org/officeDocument/2006/relationships/hyperlink" Target="https://www.zotero.org/google-docs/?LVbO6f" TargetMode="External"/><Relationship Id="rId60" Type="http://schemas.openxmlformats.org/officeDocument/2006/relationships/hyperlink" Target="https://www.zotero.org/google-docs/?yWpPCE" TargetMode="External"/><Relationship Id="rId65" Type="http://schemas.openxmlformats.org/officeDocument/2006/relationships/hyperlink" Target="https://www.zotero.org/google-docs/?yWpPCE" TargetMode="External"/><Relationship Id="rId81" Type="http://schemas.openxmlformats.org/officeDocument/2006/relationships/hyperlink" Target="https://www.zotero.org/google-docs/?yWpPCE" TargetMode="External"/><Relationship Id="rId86" Type="http://schemas.openxmlformats.org/officeDocument/2006/relationships/hyperlink" Target="https://www.zotero.org/google-docs/?yWpPCE" TargetMode="External"/><Relationship Id="rId130" Type="http://schemas.openxmlformats.org/officeDocument/2006/relationships/hyperlink" Target="https://www.zotero.org/google-docs/?yWpPCE" TargetMode="External"/><Relationship Id="rId135" Type="http://schemas.openxmlformats.org/officeDocument/2006/relationships/hyperlink" Target="https://www.zotero.org/google-docs/?yWpPCE" TargetMode="External"/><Relationship Id="rId13" Type="http://schemas.openxmlformats.org/officeDocument/2006/relationships/hyperlink" Target="https://www.zotero.org/google-docs/?NNYBd9" TargetMode="External"/><Relationship Id="rId18" Type="http://schemas.openxmlformats.org/officeDocument/2006/relationships/hyperlink" Target="https://www.zotero.org/google-docs/?GzZSji" TargetMode="External"/><Relationship Id="rId39" Type="http://schemas.openxmlformats.org/officeDocument/2006/relationships/hyperlink" Target="https://www.zotero.org/google-docs/?bnyEak" TargetMode="External"/><Relationship Id="rId109" Type="http://schemas.openxmlformats.org/officeDocument/2006/relationships/hyperlink" Target="https://www.zotero.org/google-docs/?yWpPCE" TargetMode="External"/><Relationship Id="rId34" Type="http://schemas.openxmlformats.org/officeDocument/2006/relationships/hyperlink" Target="https://www.zotero.org/google-docs/?stUmSO" TargetMode="External"/><Relationship Id="rId50" Type="http://schemas.openxmlformats.org/officeDocument/2006/relationships/hyperlink" Target="https://www.zotero.org/google-docs/?vbJVPG" TargetMode="External"/><Relationship Id="rId55" Type="http://schemas.openxmlformats.org/officeDocument/2006/relationships/hyperlink" Target="https://www.zotero.org/google-docs/?1Qz5QO" TargetMode="External"/><Relationship Id="rId76" Type="http://schemas.openxmlformats.org/officeDocument/2006/relationships/hyperlink" Target="https://www.zotero.org/google-docs/?yWpPCE" TargetMode="External"/><Relationship Id="rId97" Type="http://schemas.openxmlformats.org/officeDocument/2006/relationships/hyperlink" Target="https://www.zotero.org/google-docs/?yWpPCE" TargetMode="External"/><Relationship Id="rId104" Type="http://schemas.openxmlformats.org/officeDocument/2006/relationships/hyperlink" Target="https://www.zotero.org/google-docs/?yWpPCE" TargetMode="External"/><Relationship Id="rId120" Type="http://schemas.openxmlformats.org/officeDocument/2006/relationships/hyperlink" Target="https://www.zotero.org/google-docs/?yWpPCE" TargetMode="External"/><Relationship Id="rId125" Type="http://schemas.openxmlformats.org/officeDocument/2006/relationships/hyperlink" Target="https://www.zotero.org/google-docs/?yWpPCE" TargetMode="External"/><Relationship Id="rId7" Type="http://schemas.openxmlformats.org/officeDocument/2006/relationships/hyperlink" Target="https://www.zotero.org/google-docs/?03WaxI" TargetMode="External"/><Relationship Id="rId71" Type="http://schemas.openxmlformats.org/officeDocument/2006/relationships/hyperlink" Target="https://www.zotero.org/google-docs/?yWpPCE" TargetMode="External"/><Relationship Id="rId92" Type="http://schemas.openxmlformats.org/officeDocument/2006/relationships/hyperlink" Target="https://www.zotero.org/google-docs/?yWpPCE" TargetMode="External"/><Relationship Id="rId2" Type="http://schemas.openxmlformats.org/officeDocument/2006/relationships/styles" Target="styles.xml"/><Relationship Id="rId29" Type="http://schemas.openxmlformats.org/officeDocument/2006/relationships/hyperlink" Target="https://www.zotero.org/google-docs/?IYtmSg" TargetMode="External"/><Relationship Id="rId24" Type="http://schemas.openxmlformats.org/officeDocument/2006/relationships/hyperlink" Target="https://www.zotero.org/google-docs/?hPCaPf" TargetMode="External"/><Relationship Id="rId40" Type="http://schemas.openxmlformats.org/officeDocument/2006/relationships/hyperlink" Target="https://www.zotero.org/google-docs/?DqCQPj" TargetMode="External"/><Relationship Id="rId45" Type="http://schemas.openxmlformats.org/officeDocument/2006/relationships/hyperlink" Target="https://www.zotero.org/google-docs/?mE5D23" TargetMode="External"/><Relationship Id="rId66" Type="http://schemas.openxmlformats.org/officeDocument/2006/relationships/hyperlink" Target="https://www.zotero.org/google-docs/?yWpPCE" TargetMode="External"/><Relationship Id="rId87" Type="http://schemas.openxmlformats.org/officeDocument/2006/relationships/hyperlink" Target="https://www.zotero.org/google-docs/?yWpPCE" TargetMode="External"/><Relationship Id="rId110" Type="http://schemas.openxmlformats.org/officeDocument/2006/relationships/hyperlink" Target="https://www.zotero.org/google-docs/?yWpPCE" TargetMode="External"/><Relationship Id="rId115" Type="http://schemas.openxmlformats.org/officeDocument/2006/relationships/hyperlink" Target="https://www.zotero.org/google-docs/?yWpPCE" TargetMode="External"/><Relationship Id="rId131" Type="http://schemas.openxmlformats.org/officeDocument/2006/relationships/hyperlink" Target="https://www.zotero.org/google-docs/?yWpPCE" TargetMode="External"/><Relationship Id="rId136" Type="http://schemas.openxmlformats.org/officeDocument/2006/relationships/hyperlink" Target="https://www.zotero.org/google-docs/?yWpPCE" TargetMode="External"/><Relationship Id="rId61" Type="http://schemas.openxmlformats.org/officeDocument/2006/relationships/hyperlink" Target="https://www.zotero.org/google-docs/?yWpPCE" TargetMode="External"/><Relationship Id="rId82" Type="http://schemas.openxmlformats.org/officeDocument/2006/relationships/hyperlink" Target="https://www.zotero.org/google-docs/?yWpPCE" TargetMode="External"/><Relationship Id="rId19" Type="http://schemas.openxmlformats.org/officeDocument/2006/relationships/hyperlink" Target="https://www.zotero.org/google-docs/?khkdWM" TargetMode="External"/><Relationship Id="rId14" Type="http://schemas.openxmlformats.org/officeDocument/2006/relationships/hyperlink" Target="https://www.zotero.org/google-docs/?Pk24R9" TargetMode="External"/><Relationship Id="rId30" Type="http://schemas.openxmlformats.org/officeDocument/2006/relationships/hyperlink" Target="https://www.zotero.org/google-docs/?jEpBHB" TargetMode="External"/><Relationship Id="rId35" Type="http://schemas.openxmlformats.org/officeDocument/2006/relationships/hyperlink" Target="https://www.zotero.org/google-docs/?u44HRT" TargetMode="External"/><Relationship Id="rId56" Type="http://schemas.openxmlformats.org/officeDocument/2006/relationships/hyperlink" Target="https://www.zotero.org/google-docs/?pK54p3" TargetMode="External"/><Relationship Id="rId77" Type="http://schemas.openxmlformats.org/officeDocument/2006/relationships/hyperlink" Target="https://www.zotero.org/google-docs/?yWpPCE" TargetMode="External"/><Relationship Id="rId100" Type="http://schemas.openxmlformats.org/officeDocument/2006/relationships/hyperlink" Target="https://www.zotero.org/google-docs/?yWpPCE" TargetMode="External"/><Relationship Id="rId105" Type="http://schemas.openxmlformats.org/officeDocument/2006/relationships/hyperlink" Target="https://www.zotero.org/google-docs/?yWpPCE" TargetMode="External"/><Relationship Id="rId126" Type="http://schemas.openxmlformats.org/officeDocument/2006/relationships/hyperlink" Target="https://www.zotero.org/google-docs/?yWpPCE" TargetMode="External"/><Relationship Id="rId8" Type="http://schemas.openxmlformats.org/officeDocument/2006/relationships/hyperlink" Target="https://www.zotero.org/google-docs/?6DtmuO" TargetMode="External"/><Relationship Id="rId51" Type="http://schemas.openxmlformats.org/officeDocument/2006/relationships/hyperlink" Target="https://www.zotero.org/google-docs/?Zrzhuy" TargetMode="External"/><Relationship Id="rId72" Type="http://schemas.openxmlformats.org/officeDocument/2006/relationships/hyperlink" Target="https://www.zotero.org/google-docs/?yWpPCE" TargetMode="External"/><Relationship Id="rId93" Type="http://schemas.openxmlformats.org/officeDocument/2006/relationships/hyperlink" Target="https://www.zotero.org/google-docs/?yWpPCE" TargetMode="External"/><Relationship Id="rId98" Type="http://schemas.openxmlformats.org/officeDocument/2006/relationships/hyperlink" Target="https://www.zotero.org/google-docs/?yWpPCE" TargetMode="External"/><Relationship Id="rId121" Type="http://schemas.openxmlformats.org/officeDocument/2006/relationships/hyperlink" Target="https://www.zotero.org/google-docs/?yWpPCE" TargetMode="External"/><Relationship Id="rId3" Type="http://schemas.openxmlformats.org/officeDocument/2006/relationships/settings" Target="settings.xml"/><Relationship Id="rId25" Type="http://schemas.openxmlformats.org/officeDocument/2006/relationships/hyperlink" Target="https://www.zotero.org/google-docs/?03DgBp" TargetMode="External"/><Relationship Id="rId46" Type="http://schemas.openxmlformats.org/officeDocument/2006/relationships/hyperlink" Target="https://www.zotero.org/google-docs/?9lD46P" TargetMode="External"/><Relationship Id="rId67" Type="http://schemas.openxmlformats.org/officeDocument/2006/relationships/hyperlink" Target="https://www.zotero.org/google-docs/?yWpPCE" TargetMode="External"/><Relationship Id="rId116" Type="http://schemas.openxmlformats.org/officeDocument/2006/relationships/hyperlink" Target="https://www.zotero.org/google-docs/?yWpPCE" TargetMode="External"/><Relationship Id="rId137" Type="http://schemas.openxmlformats.org/officeDocument/2006/relationships/fontTable" Target="fontTable.xml"/><Relationship Id="rId20" Type="http://schemas.openxmlformats.org/officeDocument/2006/relationships/hyperlink" Target="https://www.zotero.org/google-docs/?MoW4Ef" TargetMode="External"/><Relationship Id="rId41" Type="http://schemas.openxmlformats.org/officeDocument/2006/relationships/hyperlink" Target="https://www.zotero.org/google-docs/?yakBpV" TargetMode="External"/><Relationship Id="rId62" Type="http://schemas.openxmlformats.org/officeDocument/2006/relationships/hyperlink" Target="https://www.zotero.org/google-docs/?yWpPCE" TargetMode="External"/><Relationship Id="rId83" Type="http://schemas.openxmlformats.org/officeDocument/2006/relationships/hyperlink" Target="https://www.zotero.org/google-docs/?yWpPCE" TargetMode="External"/><Relationship Id="rId88" Type="http://schemas.openxmlformats.org/officeDocument/2006/relationships/hyperlink" Target="https://www.zotero.org/google-docs/?yWpPCE" TargetMode="External"/><Relationship Id="rId111" Type="http://schemas.openxmlformats.org/officeDocument/2006/relationships/hyperlink" Target="https://www.zotero.org/google-docs/?yWpPCE" TargetMode="External"/><Relationship Id="rId132" Type="http://schemas.openxmlformats.org/officeDocument/2006/relationships/hyperlink" Target="https://www.zotero.org/google-docs/?yWpPCE" TargetMode="External"/><Relationship Id="rId15" Type="http://schemas.openxmlformats.org/officeDocument/2006/relationships/hyperlink" Target="https://www.zotero.org/google-docs/?V8iwwM" TargetMode="External"/><Relationship Id="rId36" Type="http://schemas.openxmlformats.org/officeDocument/2006/relationships/hyperlink" Target="https://www.zotero.org/google-docs/?W3dbBs" TargetMode="External"/><Relationship Id="rId57" Type="http://schemas.openxmlformats.org/officeDocument/2006/relationships/hyperlink" Target="https://www.zotero.org/google-docs/?b5aZCy" TargetMode="External"/><Relationship Id="rId106" Type="http://schemas.openxmlformats.org/officeDocument/2006/relationships/hyperlink" Target="https://www.zotero.org/google-docs/?yWpPCE" TargetMode="External"/><Relationship Id="rId127" Type="http://schemas.openxmlformats.org/officeDocument/2006/relationships/hyperlink" Target="https://www.zotero.org/google-docs/?yWpPCE" TargetMode="External"/><Relationship Id="rId10" Type="http://schemas.openxmlformats.org/officeDocument/2006/relationships/hyperlink" Target="https://www.zotero.org/google-docs/?II27lC" TargetMode="External"/><Relationship Id="rId31" Type="http://schemas.openxmlformats.org/officeDocument/2006/relationships/hyperlink" Target="https://www.zotero.org/google-docs/?esvcM5" TargetMode="External"/><Relationship Id="rId52" Type="http://schemas.openxmlformats.org/officeDocument/2006/relationships/hyperlink" Target="https://www.zotero.org/google-docs/?0J2Eoz" TargetMode="External"/><Relationship Id="rId73" Type="http://schemas.openxmlformats.org/officeDocument/2006/relationships/hyperlink" Target="https://www.zotero.org/google-docs/?yWpPCE" TargetMode="External"/><Relationship Id="rId78" Type="http://schemas.openxmlformats.org/officeDocument/2006/relationships/hyperlink" Target="https://www.zotero.org/google-docs/?yWpPCE" TargetMode="External"/><Relationship Id="rId94" Type="http://schemas.openxmlformats.org/officeDocument/2006/relationships/hyperlink" Target="https://www.zotero.org/google-docs/?yWpPCE" TargetMode="External"/><Relationship Id="rId99" Type="http://schemas.openxmlformats.org/officeDocument/2006/relationships/hyperlink" Target="https://www.zotero.org/google-docs/?yWpPCE" TargetMode="External"/><Relationship Id="rId101" Type="http://schemas.openxmlformats.org/officeDocument/2006/relationships/hyperlink" Target="https://www.zotero.org/google-docs/?yWpPCE" TargetMode="External"/><Relationship Id="rId122" Type="http://schemas.openxmlformats.org/officeDocument/2006/relationships/hyperlink" Target="https://www.zotero.org/google-docs/?yWpPCE" TargetMode="External"/><Relationship Id="rId4" Type="http://schemas.openxmlformats.org/officeDocument/2006/relationships/webSettings" Target="webSettings.xml"/><Relationship Id="rId9" Type="http://schemas.openxmlformats.org/officeDocument/2006/relationships/hyperlink" Target="https://www.zotero.org/google-docs/?N4yfP0" TargetMode="External"/><Relationship Id="rId26" Type="http://schemas.openxmlformats.org/officeDocument/2006/relationships/hyperlink" Target="https://www.zotero.org/google-docs/?JCsd7Q" TargetMode="External"/><Relationship Id="rId47" Type="http://schemas.openxmlformats.org/officeDocument/2006/relationships/hyperlink" Target="https://www.zotero.org/google-docs/?cf5UWD" TargetMode="External"/><Relationship Id="rId68" Type="http://schemas.openxmlformats.org/officeDocument/2006/relationships/hyperlink" Target="https://www.zotero.org/google-docs/?yWpPCE" TargetMode="External"/><Relationship Id="rId89" Type="http://schemas.openxmlformats.org/officeDocument/2006/relationships/hyperlink" Target="https://www.zotero.org/google-docs/?yWpPCE" TargetMode="External"/><Relationship Id="rId112" Type="http://schemas.openxmlformats.org/officeDocument/2006/relationships/hyperlink" Target="https://www.zotero.org/google-docs/?yWpPCE" TargetMode="External"/><Relationship Id="rId133" Type="http://schemas.openxmlformats.org/officeDocument/2006/relationships/hyperlink" Target="https://www.zotero.org/google-docs/?yWpPC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6152</Words>
  <Characters>35072</Characters>
  <Application>Microsoft Office Word</Application>
  <DocSecurity>0</DocSecurity>
  <Lines>292</Lines>
  <Paragraphs>82</Paragraphs>
  <ScaleCrop>false</ScaleCrop>
  <Company/>
  <LinksUpToDate>false</LinksUpToDate>
  <CharactersWithSpaces>41142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Haroun - STUDENT</cp:lastModifiedBy>
  <cp:revision>2</cp:revision>
  <dcterms:created xsi:type="dcterms:W3CDTF">2026-06-15T16:17:00Z</dcterms:created>
  <dcterms:modified xsi:type="dcterms:W3CDTF">2026-06-15T16:17:00Z</dcterms:modified>
</cp:coreProperties>
</file>