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Faculty of Information Technology (FIT) – Ho Chi Minh City University of Science (HCMUS)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CS423 / CSC13003 – Software Testing (AI-augmented ·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AI POLICY · TEMPLATES — 2026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Privacy &amp; Responsible AI Use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Run through this checklist before submitting any AI-assisted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18"/>
          <w:szCs w:val="18"/>
          <w:rtl w:val="0"/>
        </w:rPr>
        <w:t xml:space="preserve">Adapted from Med Kharbach, PhD (2026) — AI Use Policy Templates for Higher Education. CC BY-NC-SA 4.0. This adaptation is prepared for FIT@HCMUS – CS423 / CSC13003 Software Testing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Before I use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confirmed the AI Use Category assigned to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have declared which AI tool(s) I will use in my prompt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have read the AI Use Agreement for this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understand which artifacts MUST NOT be AI-generated.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While I am using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did not enter personal data of classmates, customers, or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did not paste copyrighted reading materials wholesale into the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did not paste proprietary employer or open-source license-restricted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logged each prompt + AI response into prompt_log.md with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Before I submit my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All AI-generated artifacts are tagged in the AI Audit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All citations from AI have been verified (sources actually exist).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All AI-generated code has been executed and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My 200-300-word AI Critique is included in appendix/ai_critique.md and referenced from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The Mandatory Disclosure is documented in AI-02 and referenced from the main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attached the AI Use Disclosure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 am ready for a 5–7-min random oral defense the week after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Submission note: Requirement 3 execution videos are intentionally skipped and disclosed in execution_videos/youtube_links.txt; all other AI-assisted artifacts are documented in the prompt log and audit materials.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Final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Final responsibility for the accuracy, originality, and integrity of this submission rests with me. Any undisclosed AI use is treated as academic misconduct.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Signature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8"/>
        <w:gridCol w:w="6520"/>
        <w:tblGridChange w:id="0">
          <w:tblGrid>
            <w:gridCol w:w="3118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name (printed):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rtl w:val="0"/>
              </w:rPr>
              <w:t xml:space="preserve">Nguyễn Minh Khôi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23127070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Class / Cohort: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KTPM1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CS423 / CSC13003 - Software Testing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PGS.TS</w:t>
              </w:r>
            </w:hyperlink>
            <w:r w:rsidDel="00000000" w:rsidR="00000000" w:rsidRPr="00000000">
              <w:rPr>
                <w:rtl w:val="0"/>
              </w:rPr>
              <w:t xml:space="preserve"> Lâm Quang Vũ</w:t>
              <w:br w:type="textWrapping"/>
              <w:t xml:space="preserve">ThS Hồ Tuấn Thanh</w:t>
              <w:br w:type="textWrapping"/>
              <w:t xml:space="preserve">ThS Trương Phước Lộc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02/06/2026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Nguyễn Minh Khôi 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Kharbach, M. (2026). AI Use Policy Templates for Higher Education. CC BY-NC-SA 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ISTQB Foundation Level Syllabus (latest 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Hardman, P. (2025). A Post-AI Learning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Fuster Rabella, M. (2025). OECD Education Working Paper No. 338.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Perkins, M., Roe, J., &amp; Furze, L. (2025). AI Assessment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(2025). Building reliable AI test agents — engineering blog.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DeepEval &amp; Promptfoo documentation — testing frameworks for LLM systems.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gs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