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PlaceboPharama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(All quoted directly from management brief)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investing in advanced cybersecurity measures to safeguard data and reduce risk of potential breaches.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strengthening its third-party risk management in order to: secure its supply chain, data management, protect its proprietary research, and maintain high standards of excellence which make it the leader in the pharmaceutical industry.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HIPAA: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Insurance Portability and Accountability Act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U.S law enacted in 1996 to protect sensitive patient health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would companies want to implement this? Are there fines? What is the business impact on implementing or not implementing this?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national standards for handling protected health information (PHI)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key rules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Privacy rule: Regulates how PHI is used and disclosed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rule: Sets standards for protecting electronic PHI (ePHI)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Specifics: (Stuff that we already do to comply with hipaa, pick and choose from this list to write in reports)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Administrative Safeguards: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Analysis (§164.308(a)(1)(ii)(A)): Perform a periodic risk analysis to identify vulnerabilities.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Management (§164.308(a)(1)(ii)(B)): Implement measures to mitigate identified risks.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Workforce Training (§164.308(a)(5)): Train all employees on HIPAA policies and PHI protection.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Safeguards: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Workstation Use (§164.310(b)): Define policies on workstation security and usage.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Safeguards: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Control (§164.312(a)): Implement unique user IDs, automatic logoff, and encryption for ePHI.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 Controls (§164.312(b)): Monitor and log system activity.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Transmission Security (§164.312(e)): Encrypt ePHI during transmission over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HITECH: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Information Technology for Economic and Clinical Health Act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U.S law enacted in 2009 to promote the best practices in using electronic health records (EHRs)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would companies want to implement this? Are there fines? What is the business impact on implementing or not implementing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Builds upon and strengthens HIPAA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stricter penalties for not following HIPAA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Expands scope of HIPAA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Introduces “Breach Notification Rules” requiring entities to notify individuals and government of data breaches involving PHI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