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HealthConnect Experience Lab</w:t>
      </w:r>
    </w:p>
    <w:p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 xml:space="preserve">Week 6 Project Summary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Data Science Track | AnalystLab Africa Experience Lab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6900"/>
          </w:tcPr>
          <w:p>
            <w:r>
              <w:t xml:space="preserve">AnalystLab Africa Experience Lab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6900"/>
          </w:tcPr>
          <w:p>
            <w:r>
              <w:t xml:space="preserve">Week 6 - Integration, Advanced Development &amp; Validation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900"/>
          </w:tcPr>
          <w:p>
            <w:r>
              <w:t xml:space="preserve">HealthConnect Clinic Experience Lab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Track</w:t>
            </w:r>
          </w:p>
        </w:tc>
        <w:tc>
          <w:tcPr>
            <w:tcW w:type="dxa" w:w="6900"/>
          </w:tcPr>
          <w:p>
            <w:r>
              <w:t xml:space="preserve">Data Science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6900"/>
          </w:tcPr>
          <w:p>
            <w:r>
              <w:t xml:space="preserve">week6_model_improvement.ipynb (companion notebook)</w:t>
            </w:r>
          </w:p>
        </w:tc>
      </w:tr>
    </w:tbl>
    <w:p>
      <w:pPr>
        <w:pStyle w:val="Heading1"/>
        <w:spacing w:after="140" w:before="280"/>
      </w:pPr>
      <w:r>
        <w:t xml:space="preserve">Week 6 Project Summary</w:t>
      </w:r>
    </w:p>
    <w:p>
      <w:pPr>
        <w:spacing w:after="160"/>
      </w:pPr>
      <w:r>
        <w:rPr>
          <w:b/>
          <w:bCs/>
          <w:color w:val="2E74B5"/>
        </w:rPr>
        <w:t xml:space="preserve">1. What was planned. </w:t>
      </w:r>
      <w:r>
        <w:t xml:space="preserve">Move the Week 5 baseline forward through the Integration → Advanced Development → Validation cycle: analyse where the Week 5 baseline actually failed, fix the sentinel-value issue it had flagged, bring in a cross-track input, develop and cross-validate an improved model, and validate the result against defined requirements rather than repeating the Week 5 EDA or baseline training.</w:t>
      </w:r>
    </w:p>
    <w:p>
      <w:pPr>
        <w:spacing w:after="160"/>
      </w:pPr>
      <w:r>
        <w:rPr>
          <w:b/>
          <w:bCs/>
          <w:color w:val="2E74B5"/>
        </w:rPr>
        <w:t xml:space="preserve">2. What was completed. </w:t>
      </w:r>
      <w:r>
        <w:t xml:space="preserve">Reproduced the Week 5 baseline exactly to analyse its errors on real numbers; confirmed and fixed the personal_noshow_rate sentinel-value distortion; added a Data-Analytics-informed reminder_channel feature; ran 5-fold patient-grouped cross-validation; tuned a Random Forest and a Gradient Boosting model via RandomizedSearchCV; compared four models on the same held-out test set; ran segment-level error analysis on the final candidate; and documented the assumptions, limitations and Week 7 requirements.</w:t>
      </w:r>
    </w:p>
    <w:p>
      <w:pPr>
        <w:spacing w:after="160"/>
      </w:pPr>
      <w:r>
        <w:rPr>
          <w:b/>
          <w:bCs/>
          <w:color w:val="2E74B5"/>
        </w:rPr>
        <w:t xml:space="preserve">3. What was improved from Week 5. </w:t>
      </w:r>
      <w:r>
        <w:t xml:space="preserve">The personal_noshow_rate feature no longer uses an out-of-range sentinel value for new patients – its correlation with is_new_patient dropped from -0.723 to ~0.002, removing a real coefficient-distortion issue rather than just noting it as a limitation. Model selection also moved from a single train/test split with default hyperparameters to 5-fold patient-grouped cross-validation with tuned hyperparameters, giving more trustworthy performance estimates.</w:t>
      </w:r>
    </w:p>
    <w:p>
      <w:pPr>
        <w:spacing w:after="160"/>
      </w:pPr>
      <w:r>
        <w:rPr>
          <w:b/>
          <w:bCs/>
          <w:color w:val="2E74B5"/>
        </w:rPr>
        <w:t xml:space="preserve">4. What was integrated. </w:t>
      </w:r>
      <w:r>
        <w:t xml:space="preserve">The reminder_channel field – previously unused beyond the binary reminder_sent flag – was added to the feature set after a Data-Analytics-style breakdown showed a real spread in no-show rate across channels. Every non-baseline model in Week 6 was retrained with this feature included.</w:t>
      </w:r>
    </w:p>
    <w:p>
      <w:pPr>
        <w:spacing w:after="160"/>
      </w:pPr>
      <w:r>
        <w:rPr>
          <w:b/>
          <w:bCs/>
          <w:color w:val="2E74B5"/>
        </w:rPr>
        <w:t xml:space="preserve">5. Track(s) collaborated with. </w:t>
      </w:r>
      <w:r>
        <w:t xml:space="preserve">Data Analytics.</w:t>
      </w:r>
    </w:p>
    <w:p>
      <w:pPr>
        <w:spacing w:after="160"/>
      </w:pPr>
      <w:r>
        <w:rPr>
          <w:b/>
          <w:bCs/>
          <w:color w:val="2E74B5"/>
        </w:rPr>
        <w:t xml:space="preserve">6. What was exchanged. </w:t>
      </w:r>
      <w:r>
        <w:t xml:space="preserve">Received (conceptually, from the Analytics perspective): a no-show-rate-by-reminder-channel breakdown. Provided (to the Analytics perspective): the corrected personal_noshow_rate definition, so both tracks describe patient risk rate consistently, plus the measured effect of adding reminder_channel to a predictive model.</w:t>
      </w:r>
    </w:p>
    <w:p>
      <w:pPr>
        <w:spacing w:after="160"/>
      </w:pPr>
      <w:r>
        <w:rPr>
          <w:b/>
          <w:bCs/>
          <w:color w:val="2E74B5"/>
        </w:rPr>
        <w:t xml:space="preserve">7. What changed as a result. </w:t>
      </w:r>
      <w:r>
        <w:t xml:space="preserve">reminder_channel is now part of the modelled feature set in every Week 6 model, which the Week 5 baseline did not have access to. This is a concrete change to the model artefact, not just a shared observation.</w:t>
      </w:r>
    </w:p>
    <w:p>
      <w:pPr>
        <w:spacing w:after="160"/>
      </w:pPr>
      <w:r>
        <w:rPr>
          <w:b/>
          <w:bCs/>
          <w:color w:val="2E74B5"/>
        </w:rPr>
        <w:t xml:space="preserve">8. Key findings / development outcomes. </w:t>
      </w:r>
      <w:r>
        <w:t xml:space="preserve">The tuned Gradient Boosting model improved recall to 65.2% and F1-score to 0.645, against the Week 5 baseline's 64.6% recall and 0.634 F1 – a modest but real gain. Patients with 3+ prior no-shows are almost never missed (4.8% false-negative rate); patients with zero prior no-shows drive most of the missed predictions, since they carry the least historical signal. Specialist Consultation appointments and the 65+ age group show the highest overall error rates.</w:t>
      </w:r>
    </w:p>
    <w:p>
      <w:pPr>
        <w:spacing w:after="160"/>
      </w:pPr>
      <w:r>
        <w:rPr>
          <w:b/>
          <w:bCs/>
          <w:color w:val="2E74B5"/>
        </w:rPr>
        <w:t xml:space="preserve">9. Major challenges. </w:t>
      </w:r>
      <w:r>
        <w:t xml:space="preserve">No live Data Analytics teammate was available this week, so the cross-track finding used for integration (Part 8 of the notebook) was computed directly rather than received from another person – documented transparently as provisional rather than presented as a genuine handoff. Isolating the effect of the sentinel-value fix from the effect of switching models also required retraining the same algorithm (Logistic Regression) on both feature sets before trying new algorithms, to avoid conflating two separate changes.</w:t>
      </w:r>
    </w:p>
    <w:p>
      <w:pPr>
        <w:spacing w:after="160"/>
      </w:pPr>
      <w:r>
        <w:rPr>
          <w:b/>
          <w:bCs/>
          <w:color w:val="2E74B5"/>
        </w:rPr>
        <w:t xml:space="preserve">10. Important decisions. </w:t>
      </w:r>
      <w:r>
        <w:t xml:space="preserve">Chose to impute the new-patient no-show rate with the training-set mean (computed from patients with history only, to avoid leakage) rather than dropping the feature or using a different sentinel. Chose Gradient Boosting over Random Forest as the Week 7 candidate because HealthConnect's use case penalises missed no-shows (false negatives) more than unnecessary follow-up calls (false positives), favouring the model with better recall even though Random Forest had a marginally higher ROC-AUC.</w:t>
      </w:r>
    </w:p>
    <w:p>
      <w:pPr>
        <w:spacing w:after="160"/>
      </w:pPr>
      <w:r>
        <w:rPr>
          <w:b/>
          <w:bCs/>
          <w:color w:val="2E74B5"/>
        </w:rPr>
        <w:t xml:space="preserve">11. Remaining issues. </w:t>
      </w:r>
      <w:r>
        <w:t xml:space="preserve">personal_noshow_rate_v2 still carries a counter-intuitive negative coefficient in the linear model due to a newly discovered multicollinearity with the raw previous_no_shows and previous_appointments counts it is derived from. waiting_time_minutes remains excluded pending confirmation from the data dictionary. No real HealthConnect cost data exists yet to confirm the recall-over-precision assumption behind the Week 7 candidate recommendation.</w:t>
      </w:r>
    </w:p>
    <w:p>
      <w:pPr>
        <w:spacing w:after="160"/>
      </w:pPr>
      <w:r>
        <w:rPr>
          <w:b/>
          <w:bCs/>
          <w:color w:val="2E74B5"/>
        </w:rPr>
        <w:t xml:space="preserve">12. Contribution to the overall HealthConnect project. </w:t>
      </w:r>
      <w:r>
        <w:t xml:space="preserve">Delivers a candidate predictive model that is measurably more reliable than the Week 5 baseline, with its remaining weaknesses (specific patient segments, a feature multicollinearity issue) explicitly identified rather than hidden – giving Project Management and the ML Engineering track a documented, integration-ready component with known boundaries for Week 7 testing, and giving Data Analytics a validated definition of patient risk rate to align dashboard KPIs against.</w:t>
      </w:r>
    </w:p>
    <w:p>
      <w:pPr>
        <w:spacing w:after="160"/>
      </w:pPr>
      <w:r>
        <w:rPr>
          <w:b/>
          <w:bCs/>
          <w:color w:val="2E74B5"/>
        </w:rPr>
        <w:t xml:space="preserve">13. Proposed focus for Week 7. </w:t>
      </w:r>
      <w:r>
        <w:t xml:space="preserve">Segment-level performance testing for Specialist Consultation and the 65+ age group with confidence intervals; resolving the personal_noshow_rate_v2 multicollinearity by testing removal of one or more of the raw count features; verifying the reminder_channel finding against an actual Data Analytics deliverable if one becomes available; threshold analysis beyond the default 0.5 cutoff; and a stability check against a different random train/test split.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2026-09-13T14:26:25.066Z</dcterms:created>
  <dcterms:modified xsi:type="dcterms:W3CDTF">2026-09-13T14:26:25.075Z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