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 xml:space="preserve">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 Une meilleure prise en compte de la complexité des systèmes urbains par des modèles de simulation au sein de jumeaux numériques reste à développer (Caldarelli et al., 2023).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 xml:space="preserve">Le concept théorique reste tout de même très riche, et la figure 1 permet d’illustrer la diversité des approches pouvant être comprises au sens large comme des jumeaux numériques urbains en termes d’échelles spatiales et de fonctionnalités : maquettes 3D à haute résolution pour la conservation du patrimoine (IGN, 2024) ; simulation des enveloppes constructibles autorisées par le Plan Local d’Urbanisme par le modèle SimPLU3D (Brasebin et al., 2017) ; simulation de l’impact de grand projets de transport à l’échelle nationale du Royaume-Uni en termes de relocalisation de population et d’emplois par le modèle QUANT d’interactions spatiales (Batty &amp; Milton, 2021) ; </w:t>
      </w:r>
    </w:p>
    <w:p>
      <w:pPr>
        <w:pStyle w:val="Normal"/>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 xml:space="preserve">Figure 1. Diversité des potentiels Jumeaux Numériques Urbains : (a) modèle 3D de la cathédrale de Périgueux, source : (IGN, 2024) ; (b) simulation d’enveloppes constructibles, source : (SimPLU3D, 2024) ; (c) interactions spatiales à l’échelle nationale pour simuler l’équilibre entre actifs, emplois, et accessibilité, source : (QUANT, 2021) ; (d) </w:t>
      </w:r>
      <w:r>
        <w:rPr/>
        <w:t>prise en compte des retours utilisateurs sur données spatiales (</w:t>
      </w:r>
      <w:r>
        <w:rPr>
          <w:i/>
          <w:iCs/>
        </w:rPr>
        <w:t>Geospatial User Feedback</w:t>
      </w:r>
      <w:r>
        <w:rPr/>
        <w:t>) dans le cas de données de bâtiments pour l’étude de la densification périurbaine,</w:t>
      </w:r>
      <w:r>
        <w:rPr/>
        <w:t xml:space="preserve"> source : (Bucher et al., 2024)</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sz w:val="22"/>
          <w:szCs w:val="22"/>
        </w:rPr>
        <w:t xml:space="preserve">, conjointement avec l’INRIA et le CEREMA (IGN, 2024), </w:t>
      </w:r>
      <w:r>
        <w:rPr/>
        <w:t xml:space="preserve">avec l’ambition d’être un socle pour la conception de politiques durables en planification urbaine et territoriale. Au vu des enjeux mobilisés par l’amplitude d’un tel projet et ses implications potentielles sur les territoires, et plus généralement  un point de vue critique </w:t>
      </w:r>
    </w:p>
    <w:p>
      <w:pPr>
        <w:pStyle w:val="Normal"/>
        <w:jc w:val="both"/>
        <w:rPr/>
      </w:pPr>
      <w:r>
        <w:rPr/>
      </w:r>
    </w:p>
    <w:p>
      <w:pPr>
        <w:pStyle w:val="Normal"/>
        <w:jc w:val="both"/>
        <w:rPr/>
      </w:pPr>
      <w:r>
        <w:rPr/>
      </w:r>
    </w:p>
    <w:p>
      <w:pPr>
        <w:pStyle w:val="Normal"/>
        <w:jc w:val="both"/>
        <w:rPr/>
      </w:pPr>
      <w:r>
        <w:rPr/>
      </w:r>
    </w:p>
    <w:p>
      <w:pPr>
        <w:pStyle w:val="Normal"/>
        <w:jc w:val="both"/>
        <w:rPr/>
      </w:pPr>
      <w:r>
        <w:rPr/>
        <w:t>Au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(iv) La prise en compte du temps long est enfin un aspect très peu considéré dans les exemples existants de jumeaux territoriaux. La compréhension des dynamiques territoriales et urbaines sur des échelles spatiales et temporelles étendues, par l’utilisation de modèles et théories urbaines appropriées (Wan et al., 2024),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 xml:space="preserve">Juste Raimbault, </w:t>
      </w:r>
      <w:r>
        <w:rPr/>
        <w:t>octobre</w:t>
      </w:r>
      <w:r>
        <w:rPr/>
        <w:t xml:space="preserv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 Digital twins in city planning.</w:t>
      </w:r>
      <w:r>
        <w:rPr>
          <w:i/>
        </w:rPr>
        <w:t xml:space="preserve"> Nature Computational Science, </w:t>
      </w:r>
      <w:r>
        <w:rPr/>
        <w:t>4(3), 192-199.</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Batty, M., &amp; Milton, R. (2021). A new framework for very large-scale urban modelling. </w:t>
      </w:r>
      <w:r>
        <w:rPr>
          <w:b w:val="false"/>
          <w:i/>
          <w:color w:val="222222"/>
          <w:spacing w:val="0"/>
          <w:sz w:val="22"/>
          <w:szCs w:val="22"/>
        </w:rPr>
        <w:t>Urban Studies</w:t>
      </w:r>
      <w:r>
        <w:rPr>
          <w:b w:val="false"/>
          <w:i w:val="false"/>
          <w:caps w:val="false"/>
          <w:smallCaps w:val="false"/>
          <w:color w:val="222222"/>
          <w:spacing w:val="0"/>
          <w:sz w:val="22"/>
          <w:szCs w:val="22"/>
        </w:rPr>
        <w:t>, </w:t>
      </w:r>
      <w:r>
        <w:rPr>
          <w:b w:val="false"/>
          <w:i/>
          <w:color w:val="222222"/>
          <w:spacing w:val="0"/>
          <w:sz w:val="22"/>
          <w:szCs w:val="22"/>
        </w:rPr>
        <w:t>58</w:t>
      </w:r>
      <w:r>
        <w:rPr>
          <w:b w:val="false"/>
          <w:i w:val="false"/>
          <w:caps w:val="false"/>
          <w:smallCaps w:val="false"/>
          <w:color w:val="222222"/>
          <w:spacing w:val="0"/>
          <w:sz w:val="22"/>
          <w:szCs w:val="22"/>
        </w:rPr>
        <w:t>(15), 3071-3094.</w:t>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rPr>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sz w:val="22"/>
          <w:szCs w:val="22"/>
        </w:rPr>
        <w:t>Brasebin, M., Chapron, P., Chérel, G., Leclaire, M., Lokhat, I., Perret, J., &amp; Reuillon, R. (2017, November). Apports des méthodes d'exploration et de distribution appliquées à la simulation des droits à bâtir. In </w:t>
      </w:r>
      <w:r>
        <w:rPr>
          <w:b w:val="false"/>
          <w:i/>
          <w:caps w:val="false"/>
          <w:smallCaps w:val="false"/>
          <w:color w:val="222222"/>
          <w:spacing w:val="0"/>
          <w:sz w:val="22"/>
          <w:szCs w:val="22"/>
        </w:rPr>
        <w:t>Spatial Analysis and GEOmatics 2017</w:t>
      </w:r>
      <w:r>
        <w:rPr>
          <w:b w:val="false"/>
          <w:i w:val="false"/>
          <w:caps w:val="false"/>
          <w:smallCaps w:val="false"/>
          <w:color w:val="222222"/>
          <w:spacing w:val="0"/>
          <w:sz w:val="22"/>
          <w:szCs w:val="22"/>
        </w:rPr>
        <w:t>.</w:t>
      </w:r>
    </w:p>
    <w:p>
      <w:pPr>
        <w:pStyle w:val="Normal"/>
        <w:rPr/>
      </w:pPr>
      <w:r>
        <w:rPr/>
      </w:r>
    </w:p>
    <w:p>
      <w:pPr>
        <w:pStyle w:val="Normal"/>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lang w:val="en-US"/>
        </w:rPr>
      </w:r>
    </w:p>
    <w:p>
      <w:pPr>
        <w:pStyle w:val="Normal"/>
        <w:rPr>
          <w:sz w:val="22"/>
          <w:szCs w:val="22"/>
        </w:rPr>
      </w:pPr>
      <w:r>
        <w:rPr>
          <w:rFonts w:ascii="Arial;Helvetica;sans-serif" w:hAnsi="Arial;Helvetica;sans-serif"/>
          <w:b w:val="false"/>
          <w:i w:val="false"/>
          <w:caps w:val="false"/>
          <w:smallCaps w:val="false"/>
          <w:color w:val="222222"/>
          <w:spacing w:val="0"/>
          <w:sz w:val="22"/>
          <w:szCs w:val="22"/>
          <w:lang w:val="en-US"/>
        </w:rPr>
        <w:t xml:space="preserve">Bucher, B., Ndim, M., Olteanu-Raimond, A., Raimbault, J., Perret, J. et al. (2024). Conceptualising a co-operative building evolution dashboard on city regions over the past decades for densification studies. </w:t>
      </w:r>
      <w:r>
        <w:rPr>
          <w:rFonts w:ascii="Arial;Helvetica;sans-serif" w:hAnsi="Arial;Helvetica;sans-serif"/>
          <w:b w:val="false"/>
          <w:i/>
          <w:color w:val="222222"/>
          <w:spacing w:val="0"/>
          <w:sz w:val="22"/>
          <w:szCs w:val="22"/>
          <w:lang w:val="en-US"/>
        </w:rPr>
        <w:t>27th AGILE Conference on Geographic Information Science, "Geographic Information Science for a Sustainable Future"</w:t>
      </w:r>
      <w:r>
        <w:rPr>
          <w:rFonts w:ascii="Arial;Helvetica;sans-serif" w:hAnsi="Arial;Helvetica;sans-serif"/>
          <w:b w:val="false"/>
          <w:i w:val="false"/>
          <w:caps w:val="false"/>
          <w:smallCaps w:val="false"/>
          <w:color w:val="222222"/>
          <w:spacing w:val="0"/>
          <w:sz w:val="22"/>
          <w:szCs w:val="22"/>
          <w:lang w:val="en-US"/>
        </w:rPr>
        <w:t>, Glasgow.</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IGN (2024). La recherche au défi du jumeau numérique de la France. Page web </w:t>
      </w:r>
      <w:r>
        <w:rPr>
          <w:lang w:val="fr-BJ"/>
        </w:rPr>
        <w:t>archivée</w:t>
      </w:r>
      <w:r>
        <w:rPr>
          <w:lang w:val="en-US"/>
        </w:rPr>
        <w:t xml:space="preserve"> à http://web.archive.org/web/20240326103453/https://www.ign.fr/reperes/la-recherche-au-defi-du-jumeau-numerique-de-la-france</w:t>
      </w:r>
    </w:p>
    <w:p>
      <w:pPr>
        <w:pStyle w:val="Normal"/>
        <w:rPr>
          <w:lang w:val="en-US"/>
        </w:rPr>
      </w:pPr>
      <w:r>
        <w:rPr>
          <w:lang w:val="en-US"/>
        </w:rPr>
      </w:r>
    </w:p>
    <w:p>
      <w:pPr>
        <w:pStyle w:val="Normal"/>
        <w:rPr>
          <w:lang w:val="en-US"/>
        </w:rPr>
      </w:pPr>
      <w:r>
        <w:rPr>
          <w:lang w:val="fr-BE"/>
        </w:rPr>
        <w:t>Kitchin</w:t>
      </w:r>
      <w:r>
        <w:rPr>
          <w:lang w:val="en-US"/>
        </w:rPr>
        <w:t xml:space="preserve">,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lang w:val="en-US"/>
        </w:rPr>
      </w:r>
    </w:p>
    <w:p>
      <w:pPr>
        <w:pStyle w:val="Normal"/>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lang w:val="en-US"/>
        </w:rPr>
      </w:r>
    </w:p>
    <w:p>
      <w:pPr>
        <w:pStyle w:val="Normal"/>
        <w:rPr/>
      </w:pPr>
      <w:r>
        <w:rPr>
          <w:lang w:val="en-US"/>
        </w:rPr>
        <w:t xml:space="preserve">QUANT (2021). QUANT, Simulating the Impacts of Large Scale Change in UK. Page web </w:t>
      </w:r>
      <w:r>
        <w:rPr>
          <w:lang w:val="fr-BJ"/>
        </w:rPr>
        <w:t>archivée</w:t>
      </w:r>
      <w:r>
        <w:rPr>
          <w:lang w:val="en-US"/>
        </w:rPr>
        <w:t xml:space="preserve"> à http://web.archive.org/web/20211127211903/http://quant.casa.ucl.ac.uk/explore.aspx</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SimPLU3D (2024). SimPLU3D. Page web </w:t>
      </w:r>
      <w:r>
        <w:rPr>
          <w:lang w:val="fr-BJ"/>
        </w:rPr>
        <w:t>archivée</w:t>
      </w:r>
      <w:r>
        <w:rPr>
          <w:lang w:val="en-US"/>
        </w:rPr>
        <w:t xml:space="preserve"> à </w:t>
      </w:r>
      <w:r>
        <w:rPr/>
        <w:t>http://web.archive.org/web/20240427161147/https://simplu3d.github.io/</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Wan, L., Jin, Y., Echenique, M., Batty, M., &amp; Wegener, M. (2024). From urban modelling to city digital twins–Reflections from the applied urban modelling (AUM) symposia. </w:t>
      </w:r>
      <w:r>
        <w:rPr>
          <w:b w:val="false"/>
          <w:i/>
          <w:color w:val="222222"/>
          <w:spacing w:val="0"/>
          <w:sz w:val="22"/>
          <w:szCs w:val="22"/>
        </w:rPr>
        <w:t>Environment and Planning B: Urban Analytics and City Science</w:t>
      </w:r>
      <w:r>
        <w:rPr>
          <w:b w:val="false"/>
          <w:i w:val="false"/>
          <w:caps w:val="false"/>
          <w:smallCaps w:val="false"/>
          <w:color w:val="222222"/>
          <w:spacing w:val="0"/>
          <w:sz w:val="22"/>
          <w:szCs w:val="22"/>
        </w:rPr>
        <w:t>, 23998083241279601.</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FootnoteReference" w:customStyle="1">
    <w:name w:val="Footnote Reference"/>
    <w:qFormat/>
    <w:rPr>
      <w:vertAlign w:val="superscript"/>
    </w:rPr>
  </w:style>
  <w:style w:type="character" w:styleId="LineNumber" w:customStyle="1">
    <w:name w:val="Line Number"/>
    <w:qFormat/>
    <w:rPr/>
  </w:style>
  <w:style w:type="character" w:styleId="EndnoteReference" w:customStyle="1">
    <w:name w:val="Endnote Reference"/>
    <w:qFormat/>
    <w:rPr>
      <w:vertAlign w:val="superscript"/>
    </w:rPr>
  </w:style>
  <w:style w:type="character" w:styleId="Caractresdenotedefin" w:customStyle="1">
    <w:name w:val="Caractères de note de fin"/>
    <w:qFormat/>
    <w:rPr/>
  </w:style>
  <w:style w:type="character" w:styleId="FootnoteCharacters">
    <w:name w:val="Footnote Characters"/>
    <w:qForma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EndnoteCharacters">
    <w:name w:val="Endnote Characters"/>
    <w:qFormat/>
    <w:rPr/>
  </w:style>
  <w:style w:type="paragraph" w:styleId="Titre">
    <w:name w:val="Titre"/>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Text">
    <w:name w:val="Footnote Text"/>
    <w:basedOn w:val="Normal"/>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6971</TotalTime>
  <Application>LibreOffice/24.2.5.2$Linux_X86_64 LibreOffice_project/420$Build-2</Application>
  <AppVersion>15.0000</AppVersion>
  <Pages>5</Pages>
  <Words>1557</Words>
  <Characters>9311</Characters>
  <CharactersWithSpaces>10841</CharactersWithSpaces>
  <Paragraphs>31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2024-10-03T17:41:22Z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