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CTQG2021papertitle"/>
        <w:spacing w:lineRule="auto" w:line="276" w:before="0" w:after="0"/>
        <w:contextualSpacing/>
        <w:rPr/>
      </w:pPr>
      <w:r>
        <w:rPr>
          <w:lang w:val="en-GB"/>
        </w:rPr>
        <w:t>A c</w:t>
      </w:r>
      <w:r>
        <w:rPr>
          <w:lang w:val="en-GB"/>
        </w:rPr>
        <w:t>ollaborative dashboard to study periurban densification</w:t>
      </w:r>
    </w:p>
    <w:p>
      <w:pPr>
        <w:pStyle w:val="Normal"/>
        <w:spacing w:lineRule="auto" w:line="276" w:before="0" w:after="0"/>
        <w:contextualSpacing/>
        <w:rPr>
          <w:lang w:val="en-GB"/>
        </w:rPr>
      </w:pPr>
      <w:r>
        <w:rPr>
          <w:lang w:val="en-GB"/>
        </w:rPr>
      </w:r>
    </w:p>
    <w:p>
      <w:pPr>
        <w:pStyle w:val="ECTQG2021author"/>
        <w:spacing w:lineRule="auto" w:line="276" w:before="0" w:after="0"/>
        <w:contextualSpacing/>
        <w:rPr/>
      </w:pPr>
      <w:r>
        <w:rPr>
          <w:u w:val="single"/>
          <w:lang w:val="en-GB"/>
        </w:rPr>
        <w:t>Mouhamadou Ndi</w:t>
      </w:r>
      <w:r>
        <w:rPr>
          <w:u w:val="single"/>
          <w:lang w:val="en-GB"/>
        </w:rPr>
        <w:t>m</w:t>
      </w:r>
      <w:r>
        <w:rPr>
          <w:rStyle w:val="Camusssuperscript"/>
          <w:u w:val="none"/>
          <w:vertAlign w:val="superscript"/>
          <w:lang w:val="en-GB"/>
        </w:rPr>
        <w:t>1</w:t>
      </w:r>
      <w:r>
        <w:rPr>
          <w:b w:val="false"/>
          <w:bCs w:val="false"/>
          <w:u w:val="none"/>
          <w:lang w:val="en-GB"/>
        </w:rPr>
        <w:t xml:space="preserve">, Juste Raimbault </w:t>
      </w:r>
      <w:r>
        <w:rPr>
          <w:rStyle w:val="Camusssuperscript"/>
          <w:bCs w:val="false"/>
          <w:u w:val="none"/>
          <w:vertAlign w:val="superscript"/>
          <w:lang w:val="en-GB"/>
        </w:rPr>
        <w:t>1,*</w:t>
      </w:r>
      <w:r>
        <w:rPr>
          <w:b w:val="false"/>
          <w:bCs w:val="false"/>
          <w:u w:val="none"/>
          <w:lang w:val="en-GB"/>
        </w:rPr>
        <w:t>, Bénédicte Bucher</w:t>
      </w:r>
      <w:r>
        <w:rPr>
          <w:rStyle w:val="Camusssuperscript"/>
          <w:bCs w:val="false"/>
          <w:u w:val="none"/>
          <w:vertAlign w:val="superscript"/>
          <w:lang w:val="en-GB"/>
        </w:rPr>
        <w:t>1</w:t>
      </w:r>
      <w:r>
        <w:rPr>
          <w:b w:val="false"/>
          <w:bCs w:val="false"/>
          <w:u w:val="none"/>
          <w:lang w:val="en-GB"/>
        </w:rPr>
        <w:t>, Ana-Maria Raimond</w:t>
      </w:r>
      <w:r>
        <w:rPr>
          <w:rStyle w:val="Camusssuperscript"/>
          <w:bCs w:val="false"/>
          <w:u w:val="none"/>
          <w:vertAlign w:val="superscript"/>
          <w:lang w:val="en-GB"/>
        </w:rPr>
        <w:t>1</w:t>
      </w:r>
      <w:r>
        <w:rPr>
          <w:b w:val="false"/>
          <w:bCs w:val="false"/>
          <w:u w:val="none"/>
          <w:lang w:val="en-GB"/>
        </w:rPr>
        <w:t>, Julien Perret</w:t>
      </w:r>
      <w:r>
        <w:rPr>
          <w:rStyle w:val="Camusssuperscript"/>
          <w:bCs w:val="false"/>
          <w:u w:val="none"/>
          <w:vertAlign w:val="superscript"/>
          <w:lang w:val="en-GB"/>
        </w:rPr>
        <w:t>1</w:t>
      </w:r>
    </w:p>
    <w:p>
      <w:pPr>
        <w:pStyle w:val="Normal"/>
        <w:spacing w:lineRule="auto" w:line="276" w:before="0" w:after="0"/>
        <w:contextualSpacing/>
        <w:rPr>
          <w:lang w:val="en-GB"/>
        </w:rPr>
      </w:pPr>
      <w:r>
        <w:rPr>
          <w:lang w:val="en-GB"/>
        </w:rPr>
      </w:r>
    </w:p>
    <w:p>
      <w:pPr>
        <w:pStyle w:val="ECTQG2021authorsdetails"/>
        <w:spacing w:lineRule="auto" w:line="276" w:before="0" w:after="0"/>
        <w:contextualSpacing/>
        <w:rPr/>
      </w:pPr>
      <w:r>
        <w:rPr>
          <w:rStyle w:val="Camusssuperscript"/>
          <w:lang w:val="en-GB"/>
        </w:rPr>
        <w:t xml:space="preserve">1 </w:t>
      </w:r>
      <w:r>
        <w:rPr>
          <w:lang w:val="en-GB"/>
        </w:rPr>
        <w:t>LASTIG, Univ. Gustave Eiffel, IGN-ENSG, France</w:t>
      </w:r>
    </w:p>
    <w:p>
      <w:pPr>
        <w:pStyle w:val="ECTQG2021authorsdetails"/>
        <w:spacing w:lineRule="auto" w:line="276" w:before="0" w:after="0"/>
        <w:contextualSpacing/>
        <w:rPr/>
      </w:pPr>
      <w:r>
        <w:rPr>
          <w:lang w:val="en-GB"/>
        </w:rPr>
        <w:t>* juste.raimbault@ign.fr (corresponding author)</w:t>
      </w:r>
    </w:p>
    <w:p>
      <w:pPr>
        <w:pStyle w:val="Normal"/>
        <w:spacing w:lineRule="auto" w:line="276" w:before="0" w:after="0"/>
        <w:contextualSpacing/>
        <w:rPr>
          <w:lang w:val="en-GB"/>
        </w:rPr>
      </w:pPr>
      <w:r>
        <w:rPr>
          <w:lang w:val="en-GB"/>
        </w:rPr>
      </w:r>
    </w:p>
    <w:p>
      <w:pPr>
        <w:pStyle w:val="ECTQG2021keywords"/>
        <w:spacing w:lineRule="auto" w:line="276" w:before="0" w:after="0"/>
        <w:contextualSpacing/>
        <w:jc w:val="center"/>
        <w:rPr/>
      </w:pPr>
      <w:r>
        <w:rPr>
          <w:rStyle w:val="Bold"/>
          <w:sz w:val="22"/>
          <w:lang w:val="en-GB"/>
        </w:rPr>
        <w:t>Keywords</w:t>
      </w:r>
      <w:r>
        <w:rPr>
          <w:rStyle w:val="Bold"/>
          <w:b w:val="false"/>
          <w:sz w:val="22"/>
          <w:lang w:val="en-GB"/>
        </w:rPr>
        <w:t>:</w:t>
      </w:r>
      <w:r>
        <w:rPr>
          <w:sz w:val="22"/>
          <w:lang w:val="en-GB"/>
        </w:rPr>
        <w:t xml:space="preserve"> </w:t>
      </w:r>
      <w:r>
        <w:rPr>
          <w:sz w:val="22"/>
          <w:lang w:val="en-GB"/>
        </w:rPr>
        <w:t>Suburban densification, collaborative dashboard, data heterogeneity and integration</w:t>
      </w:r>
    </w:p>
    <w:p>
      <w:pPr>
        <w:pStyle w:val="Normal"/>
        <w:spacing w:lineRule="auto" w:line="276" w:before="0" w:after="120"/>
        <w:contextualSpacing/>
        <w:jc w:val="left"/>
        <w:rPr>
          <w:lang w:val="en-GB"/>
        </w:rPr>
      </w:pPr>
      <w:r>
        <w:rPr>
          <w:lang w:val="en-GB"/>
        </w:rPr>
      </w:r>
    </w:p>
    <w:p>
      <w:pPr>
        <w:pStyle w:val="Normal"/>
        <w:spacing w:lineRule="auto" w:line="276" w:before="0" w:after="120"/>
        <w:contextualSpacing/>
        <w:jc w:val="both"/>
        <w:rPr/>
      </w:pPr>
      <w:r>
        <w:rPr>
          <w:lang w:val="en-GB"/>
        </w:rPr>
        <w:t xml:space="preserve">Suburban densification </w:t>
      </w:r>
      <w:r>
        <w:rPr>
          <w:lang w:val="en-GB"/>
        </w:rPr>
        <w:t>is an opportunity for more s</w:t>
      </w:r>
      <w:r>
        <w:rPr>
          <w:lang w:val="en-GB"/>
        </w:rPr>
        <w:t>ustainable citie</w:t>
      </w:r>
      <w:r>
        <w:rPr>
          <w:lang w:val="en-GB"/>
        </w:rPr>
        <w:t>s</w:t>
      </w:r>
      <w:r>
        <w:rPr>
          <w:lang w:val="en-GB"/>
        </w:rPr>
        <w:t xml:space="preserve"> while avoiding many negative externalities linked to </w:t>
      </w:r>
      <w:r>
        <w:rPr>
          <w:lang w:val="en-GB"/>
        </w:rPr>
        <w:t>centre</w:t>
      </w:r>
      <w:r>
        <w:rPr>
          <w:lang w:val="en-GB"/>
        </w:rPr>
        <w:t xml:space="preserve"> densification, </w:t>
      </w:r>
      <w:r>
        <w:rPr>
          <w:lang w:val="en-GB"/>
        </w:rPr>
        <w:t xml:space="preserve">such as </w:t>
      </w:r>
      <w:r>
        <w:rPr>
          <w:lang w:val="en-GB"/>
        </w:rPr>
        <w:t xml:space="preserve">scarcity of space, price increase, </w:t>
      </w:r>
      <w:r>
        <w:rPr>
          <w:lang w:val="en-GB"/>
        </w:rPr>
        <w:t>or</w:t>
      </w:r>
      <w:r>
        <w:rPr>
          <w:lang w:val="en-GB"/>
        </w:rPr>
        <w:t xml:space="preserve"> housing shortage </w:t>
      </w:r>
      <w:r>
        <w:rPr>
          <w:lang w:val="en-GB"/>
        </w:rPr>
        <w:t xml:space="preserve">(Jehling et al., 2020). However, considerable planning challenges are met when confronting the multiple rationalities of involved stakeholders. </w:t>
      </w:r>
      <w:r>
        <w:rPr>
          <w:lang w:val="en-GB"/>
        </w:rPr>
        <w:t xml:space="preserve">The SubDense European project aims </w:t>
      </w:r>
      <w:r>
        <w:rPr>
          <w:lang w:val="en-GB"/>
        </w:rPr>
        <w:t xml:space="preserve">in that context </w:t>
      </w:r>
      <w:r>
        <w:rPr>
          <w:lang w:val="en-GB"/>
        </w:rPr>
        <w:t xml:space="preserve">at better understanding the polyrationalities of space, actors and policies on suburban densification, by exploring how diverse strategies of land policy interact with landowners' and local stakeholders' interest and agency to shape suburban densification and their impact on suburbia across different planning systems (France, Germany, UK). </w:t>
      </w:r>
      <w:r>
        <w:rPr>
          <w:lang w:val="en-GB"/>
        </w:rPr>
        <w:t>The project combines</w:t>
      </w:r>
      <w:r>
        <w:rPr>
          <w:lang w:val="en-GB"/>
        </w:rPr>
        <w:t xml:space="preserve"> quantitative approaches (geodata analysis and geosimulation) with qualitative approaches (social and policy science and planning).</w:t>
      </w:r>
    </w:p>
    <w:p>
      <w:pPr>
        <w:pStyle w:val="Normal"/>
        <w:spacing w:lineRule="auto" w:line="276" w:before="0" w:after="120"/>
        <w:contextualSpacing/>
        <w:jc w:val="both"/>
        <w:rPr>
          <w:lang w:val="en-GB"/>
        </w:rPr>
      </w:pPr>
      <w:r>
        <w:rPr/>
      </w:r>
    </w:p>
    <w:p>
      <w:pPr>
        <w:pStyle w:val="Normal"/>
        <w:spacing w:lineRule="auto" w:line="276" w:before="0" w:after="120"/>
        <w:contextualSpacing/>
        <w:jc w:val="both"/>
        <w:rPr/>
      </w:pPr>
      <w:r>
        <w:rPr>
          <w:lang w:val="en-GB"/>
        </w:rPr>
        <w:t xml:space="preserve">When working on such diverse case studies at a large scale, many issues arise, such as </w:t>
      </w:r>
      <w:r>
        <w:rPr>
          <w:lang w:val="en-GB"/>
        </w:rPr>
        <w:t xml:space="preserve">how to share analysis and methods for reproduction on other case studies, </w:t>
      </w:r>
      <w:r>
        <w:rPr>
          <w:lang w:val="en-GB"/>
        </w:rPr>
        <w:t xml:space="preserve">or </w:t>
      </w:r>
      <w:r>
        <w:rPr>
          <w:lang w:val="en-GB"/>
        </w:rPr>
        <w:t xml:space="preserve">how to </w:t>
      </w:r>
      <w:r>
        <w:rPr>
          <w:lang w:val="en-GB"/>
        </w:rPr>
        <w:t>integrate</w:t>
      </w:r>
      <w:r>
        <w:rPr>
          <w:lang w:val="en-GB"/>
        </w:rPr>
        <w:t xml:space="preserve"> knowledge on data specification </w:t>
      </w:r>
      <w:r>
        <w:rPr>
          <w:lang w:val="en-GB"/>
        </w:rPr>
        <w:t xml:space="preserve">which changes can strongly bias the densification analysis. There is also a need for sharing tools and methods for building change detection, such as polygon matching algorithms. We propose to tackle these difficulties by constructing a </w:t>
      </w:r>
      <w:r>
        <w:rPr>
          <w:lang w:val="en-GB"/>
        </w:rPr>
        <w:t xml:space="preserve">collaborative dashboard, </w:t>
      </w:r>
      <w:r>
        <w:rPr>
          <w:lang w:val="en-GB"/>
        </w:rPr>
        <w:t>which will act</w:t>
      </w:r>
      <w:r>
        <w:rPr>
          <w:lang w:val="en-GB"/>
        </w:rPr>
        <w:t xml:space="preserve"> as a medium to facilitate collaboration between </w:t>
      </w:r>
      <w:r>
        <w:rPr>
          <w:lang w:val="en-GB"/>
        </w:rPr>
        <w:t>project</w:t>
      </w:r>
      <w:r>
        <w:rPr>
          <w:lang w:val="en-GB"/>
        </w:rPr>
        <w:t xml:space="preserve"> partners, </w:t>
      </w:r>
      <w:r>
        <w:rPr>
          <w:lang w:val="en-GB"/>
        </w:rPr>
        <w:t xml:space="preserve">will enable the </w:t>
      </w:r>
      <w:r>
        <w:rPr>
          <w:lang w:val="en-GB"/>
        </w:rPr>
        <w:t>shar</w:t>
      </w:r>
      <w:r>
        <w:rPr>
          <w:lang w:val="en-GB"/>
        </w:rPr>
        <w:t>ing of</w:t>
      </w:r>
      <w:r>
        <w:rPr>
          <w:lang w:val="en-GB"/>
        </w:rPr>
        <w:t xml:space="preserve"> methods, data and metadata </w:t>
      </w:r>
      <w:r>
        <w:rPr>
          <w:lang w:val="en-GB"/>
        </w:rPr>
        <w:t xml:space="preserve">(Bucher et al, </w:t>
      </w:r>
      <w:r>
        <w:rPr>
          <w:rFonts w:ascii="Times New Roman" w:hAnsi="Times New Roman"/>
          <w:b w:val="false"/>
          <w:i w:val="false"/>
          <w:caps w:val="false"/>
          <w:smallCaps w:val="false"/>
          <w:color w:val="222222"/>
          <w:spacing w:val="0"/>
          <w:sz w:val="24"/>
          <w:szCs w:val="24"/>
          <w:lang w:val="en-GB"/>
        </w:rPr>
        <w:t>2020</w:t>
      </w:r>
      <w:r>
        <w:rPr>
          <w:lang w:val="en-GB"/>
        </w:rPr>
        <w:t>)</w:t>
      </w:r>
      <w:r>
        <w:rPr>
          <w:lang w:val="en-GB"/>
        </w:rPr>
        <w:t xml:space="preserve">, and </w:t>
      </w:r>
      <w:r>
        <w:rPr>
          <w:lang w:val="en-GB"/>
        </w:rPr>
        <w:t xml:space="preserve">will </w:t>
      </w:r>
      <w:r>
        <w:rPr>
          <w:lang w:val="en-GB"/>
        </w:rPr>
        <w:t>allow</w:t>
      </w:r>
      <w:r>
        <w:rPr>
          <w:lang w:val="en-GB"/>
        </w:rPr>
        <w:t xml:space="preserve"> reproducibility.</w:t>
      </w:r>
    </w:p>
    <w:p>
      <w:pPr>
        <w:pStyle w:val="Normal"/>
        <w:spacing w:lineRule="auto" w:line="276" w:before="0" w:after="120"/>
        <w:contextualSpacing/>
        <w:jc w:val="both"/>
        <w:rPr>
          <w:lang w:val="en-GB"/>
        </w:rPr>
      </w:pPr>
      <w:r>
        <w:rPr/>
      </w:r>
    </w:p>
    <w:p>
      <w:pPr>
        <w:pStyle w:val="Normal"/>
        <w:spacing w:lineRule="auto" w:line="276" w:before="0" w:after="120"/>
        <w:contextualSpacing/>
        <w:jc w:val="both"/>
        <w:rPr/>
      </w:pPr>
      <w:r>
        <w:rPr>
          <w:lang w:val="en-GB"/>
        </w:rPr>
        <w:t xml:space="preserve">We use a </w:t>
      </w:r>
      <w:r>
        <w:rPr>
          <w:lang w:val="en-GB"/>
        </w:rPr>
        <w:t xml:space="preserve">git-based architecture for the core dashboard </w:t>
      </w:r>
      <w:r>
        <w:rPr>
          <w:lang w:val="en-GB"/>
        </w:rPr>
        <w:t xml:space="preserve">to </w:t>
      </w:r>
      <w:r>
        <w:rPr>
          <w:lang w:val="en-GB"/>
        </w:rPr>
        <w:t xml:space="preserve">ensure tractability, full history, reproducibility, flexibility, and collaboration through branching </w:t>
      </w:r>
      <w:r>
        <w:rPr>
          <w:lang w:val="en-GB"/>
        </w:rPr>
        <w:t>and a</w:t>
      </w:r>
      <w:r>
        <w:rPr>
          <w:lang w:val="en-GB"/>
        </w:rPr>
        <w:t xml:space="preserve"> shared remote repository (https://github.com/subdense). Clients will implement interactions with the core and functionalities needed by partners for data analysis and integration (running change detection algorithms, adding data, exploring results and maps). An iterative process to produce user stories </w:t>
      </w:r>
      <w:r>
        <w:rPr>
          <w:lang w:val="en-GB"/>
        </w:rPr>
        <w:t>is currently implemented</w:t>
      </w:r>
      <w:r>
        <w:rPr>
          <w:lang w:val="en-GB"/>
        </w:rPr>
        <w:t xml:space="preserve">, </w:t>
      </w:r>
      <w:r>
        <w:rPr>
          <w:lang w:val="en-GB"/>
        </w:rPr>
        <w:t>to</w:t>
      </w:r>
      <w:r>
        <w:rPr>
          <w:lang w:val="en-GB"/>
        </w:rPr>
        <w:t xml:space="preserve"> finally </w:t>
      </w:r>
      <w:r>
        <w:rPr>
          <w:lang w:val="en-GB"/>
        </w:rPr>
        <w:t>lead</w:t>
      </w:r>
      <w:r>
        <w:rPr>
          <w:lang w:val="en-GB"/>
        </w:rPr>
        <w:t xml:space="preserve"> to </w:t>
      </w:r>
      <w:r>
        <w:rPr>
          <w:lang w:val="en-GB"/>
        </w:rPr>
        <w:t>final</w:t>
      </w:r>
      <w:r>
        <w:rPr>
          <w:lang w:val="en-GB"/>
        </w:rPr>
        <w:t xml:space="preserve"> specifications for the core architecture and functionalities of clients. </w:t>
      </w:r>
      <w:r>
        <w:rPr>
          <w:lang w:val="en-GB"/>
        </w:rPr>
        <w:t>A first version of the dashboard has already been deployed, through which partners have shared first densification analysis and data expertises.</w:t>
      </w:r>
    </w:p>
    <w:p>
      <w:pPr>
        <w:pStyle w:val="Normal"/>
        <w:spacing w:lineRule="auto" w:line="276" w:before="0" w:after="120"/>
        <w:contextualSpacing/>
        <w:jc w:val="both"/>
        <w:rPr>
          <w:lang w:val="en-GB"/>
        </w:rPr>
      </w:pPr>
      <w:r>
        <w:rPr/>
      </w:r>
    </w:p>
    <w:p>
      <w:pPr>
        <w:pStyle w:val="Normal"/>
        <w:spacing w:lineRule="auto" w:line="276" w:before="0" w:after="120"/>
        <w:contextualSpacing/>
        <w:jc w:val="both"/>
        <w:rPr/>
      </w:pPr>
      <w:r>
        <w:rPr>
          <w:lang w:val="en-GB"/>
        </w:rPr>
        <w:t xml:space="preserve">Future developments and analysis to be integrated through the dashboard will include </w:t>
      </w:r>
      <w:r>
        <w:rPr>
          <w:lang w:val="en-GB"/>
        </w:rPr>
        <w:t xml:space="preserve">heterogeneous data integration </w:t>
      </w:r>
      <w:r>
        <w:rPr>
          <w:lang w:val="en-GB"/>
        </w:rPr>
        <w:t>(Bucher et al., 2021)</w:t>
      </w:r>
      <w:r>
        <w:rPr>
          <w:lang w:val="en-GB"/>
        </w:rPr>
        <w:t xml:space="preserve">, to couple densification analysis with socio-economic data, </w:t>
      </w:r>
      <w:r>
        <w:rPr>
          <w:lang w:val="en-GB"/>
        </w:rPr>
        <w:t xml:space="preserve">and the </w:t>
      </w:r>
      <w:r>
        <w:rPr>
          <w:lang w:val="en-GB"/>
        </w:rPr>
        <w:t>develop</w:t>
      </w:r>
      <w:r>
        <w:rPr>
          <w:lang w:val="en-GB"/>
        </w:rPr>
        <w:t>ment</w:t>
      </w:r>
      <w:r>
        <w:rPr>
          <w:lang w:val="en-GB"/>
        </w:rPr>
        <w:t xml:space="preserve"> and explor</w:t>
      </w:r>
      <w:r>
        <w:rPr>
          <w:lang w:val="en-GB"/>
        </w:rPr>
        <w:t>ation of</w:t>
      </w:r>
      <w:r>
        <w:rPr>
          <w:lang w:val="en-GB"/>
        </w:rPr>
        <w:t xml:space="preserve"> simulation models for the impact of policies on densification processes. </w:t>
      </w:r>
      <w:r>
        <w:rPr>
          <w:lang w:val="en-GB"/>
        </w:rPr>
        <w:t xml:space="preserve">These models will act as bridges between quantitative analysis and </w:t>
      </w:r>
      <w:r>
        <w:rPr>
          <w:lang w:val="en-GB"/>
        </w:rPr>
        <w:t>the qualitative data obtained through interviews during the project.</w:t>
      </w:r>
    </w:p>
    <w:p>
      <w:pPr>
        <w:pStyle w:val="Normal"/>
        <w:spacing w:lineRule="auto" w:line="276" w:before="0" w:after="120"/>
        <w:contextualSpacing/>
        <w:jc w:val="both"/>
        <w:rPr>
          <w:lang w:val="en-GB"/>
        </w:rPr>
      </w:pPr>
      <w:r>
        <w:rPr/>
      </w:r>
    </w:p>
    <w:p>
      <w:pPr>
        <w:pStyle w:val="Normal"/>
        <w:spacing w:lineRule="auto" w:line="276" w:before="0" w:after="120"/>
        <w:contextualSpacing/>
        <w:jc w:val="both"/>
        <w:rPr>
          <w:rStyle w:val="Camussreferencesauthor"/>
          <w:b/>
          <w:b/>
          <w:lang w:val="en-GB"/>
        </w:rPr>
      </w:pPr>
      <w:r>
        <w:rPr>
          <w:b/>
          <w:lang w:val="en-GB"/>
        </w:rPr>
      </w:r>
    </w:p>
    <w:p>
      <w:pPr>
        <w:pStyle w:val="ECTQG2021heading"/>
        <w:spacing w:lineRule="auto" w:line="276" w:before="0" w:after="120"/>
        <w:contextualSpacing/>
        <w:rPr>
          <w:rStyle w:val="Camussreferencesauthor"/>
          <w:b/>
          <w:b/>
          <w:lang w:val="en-GB"/>
        </w:rPr>
      </w:pPr>
      <w:r>
        <w:rPr>
          <w:lang w:val="en-GB"/>
        </w:rPr>
        <w:t>References</w:t>
      </w:r>
    </w:p>
    <w:p>
      <w:pPr>
        <w:pStyle w:val="Normal"/>
        <w:spacing w:lineRule="auto" w:line="276" w:before="0" w:after="120"/>
        <w:contextualSpacing/>
        <w:jc w:val="left"/>
        <w:rPr>
          <w:rFonts w:ascii="Times New Roman" w:hAnsi="Times New Roman"/>
          <w:sz w:val="24"/>
          <w:szCs w:val="24"/>
        </w:rPr>
      </w:pPr>
      <w:r>
        <w:rPr>
          <w:rFonts w:ascii="Times New Roman" w:hAnsi="Times New Roman"/>
          <w:b w:val="false"/>
          <w:i w:val="false"/>
          <w:caps w:val="false"/>
          <w:smallCaps w:val="false"/>
          <w:color w:val="222222"/>
          <w:spacing w:val="0"/>
          <w:sz w:val="24"/>
          <w:szCs w:val="24"/>
        </w:rPr>
        <w:t>Bucher, B., Tiainen, E., Ellett von Brasch, T., Janssen, P., Kotzinos, D., Čeh, M. &amp; Zhral, M. (2020). Conciliating perspectives from mapping agencies and web of data on successful European SDIs: Toward a European geographic knowledge graph. </w:t>
      </w:r>
      <w:r>
        <w:rPr>
          <w:rFonts w:ascii="Times New Roman" w:hAnsi="Times New Roman"/>
          <w:b w:val="false"/>
          <w:i/>
          <w:caps w:val="false"/>
          <w:smallCaps w:val="false"/>
          <w:color w:val="222222"/>
          <w:spacing w:val="0"/>
          <w:sz w:val="24"/>
          <w:szCs w:val="24"/>
        </w:rPr>
        <w:t>ISPRS international journal of geo-information</w:t>
      </w:r>
      <w:r>
        <w:rPr>
          <w:rFonts w:ascii="Times New Roman" w:hAnsi="Times New Roman"/>
          <w:b w:val="false"/>
          <w:i w:val="false"/>
          <w:caps w:val="false"/>
          <w:smallCaps w:val="false"/>
          <w:color w:val="222222"/>
          <w:spacing w:val="0"/>
          <w:sz w:val="24"/>
          <w:szCs w:val="24"/>
        </w:rPr>
        <w:t>, </w:t>
      </w:r>
      <w:r>
        <w:rPr>
          <w:rFonts w:ascii="Times New Roman" w:hAnsi="Times New Roman"/>
          <w:b w:val="false"/>
          <w:i/>
          <w:caps w:val="false"/>
          <w:smallCaps w:val="false"/>
          <w:color w:val="222222"/>
          <w:spacing w:val="0"/>
          <w:sz w:val="24"/>
          <w:szCs w:val="24"/>
        </w:rPr>
        <w:t>9</w:t>
      </w:r>
      <w:r>
        <w:rPr>
          <w:rFonts w:ascii="Times New Roman" w:hAnsi="Times New Roman"/>
          <w:b w:val="false"/>
          <w:i w:val="false"/>
          <w:caps w:val="false"/>
          <w:smallCaps w:val="false"/>
          <w:color w:val="222222"/>
          <w:spacing w:val="0"/>
          <w:sz w:val="24"/>
          <w:szCs w:val="24"/>
        </w:rPr>
        <w:t>(2), 62.</w:t>
      </w:r>
    </w:p>
    <w:p>
      <w:pPr>
        <w:pStyle w:val="Normal"/>
        <w:spacing w:lineRule="auto" w:line="276" w:before="0" w:after="120"/>
        <w:contextualSpacing/>
        <w:jc w:val="left"/>
        <w:rPr>
          <w:b w:val="false"/>
          <w:b w:val="false"/>
          <w:i w:val="false"/>
          <w:i w:val="false"/>
          <w:caps w:val="false"/>
          <w:smallCaps w:val="false"/>
          <w:color w:val="222222"/>
          <w:spacing w:val="0"/>
        </w:rPr>
      </w:pPr>
      <w:r>
        <w:rPr>
          <w:rFonts w:ascii="Times New Roman" w:hAnsi="Times New Roman"/>
          <w:sz w:val="24"/>
          <w:szCs w:val="24"/>
        </w:rPr>
      </w:r>
    </w:p>
    <w:p>
      <w:pPr>
        <w:pStyle w:val="Normal"/>
        <w:spacing w:lineRule="auto" w:line="276" w:before="0" w:after="120"/>
        <w:contextualSpacing/>
        <w:jc w:val="left"/>
        <w:rPr>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sz w:val="24"/>
          <w:szCs w:val="24"/>
        </w:rPr>
        <w:t>Bucher, B., Hein, C., Raines, D., &amp; Gouet Brunet, V. (2021). Towards Culture-Aware Smart and Sustainable Cities: Integrating Historical Sources in Spatial Information Infrastructures. </w:t>
      </w:r>
      <w:r>
        <w:rPr>
          <w:rFonts w:ascii="Times New Roman" w:hAnsi="Times New Roman"/>
          <w:b w:val="false"/>
          <w:i/>
          <w:caps w:val="false"/>
          <w:smallCaps w:val="false"/>
          <w:color w:val="222222"/>
          <w:spacing w:val="0"/>
          <w:sz w:val="24"/>
          <w:szCs w:val="24"/>
        </w:rPr>
        <w:t>ISPRS International Journal of Geo-Information</w:t>
      </w:r>
      <w:r>
        <w:rPr>
          <w:rFonts w:ascii="Times New Roman" w:hAnsi="Times New Roman"/>
          <w:b w:val="false"/>
          <w:i w:val="false"/>
          <w:caps w:val="false"/>
          <w:smallCaps w:val="false"/>
          <w:color w:val="222222"/>
          <w:spacing w:val="0"/>
          <w:sz w:val="24"/>
          <w:szCs w:val="24"/>
        </w:rPr>
        <w:t>, </w:t>
      </w:r>
      <w:r>
        <w:rPr>
          <w:rFonts w:ascii="Times New Roman" w:hAnsi="Times New Roman"/>
          <w:b w:val="false"/>
          <w:i/>
          <w:caps w:val="false"/>
          <w:smallCaps w:val="false"/>
          <w:color w:val="222222"/>
          <w:spacing w:val="0"/>
          <w:sz w:val="24"/>
          <w:szCs w:val="24"/>
        </w:rPr>
        <w:t>10</w:t>
      </w:r>
      <w:r>
        <w:rPr>
          <w:rFonts w:ascii="Times New Roman" w:hAnsi="Times New Roman"/>
          <w:b w:val="false"/>
          <w:i w:val="false"/>
          <w:caps w:val="false"/>
          <w:smallCaps w:val="false"/>
          <w:color w:val="222222"/>
          <w:spacing w:val="0"/>
          <w:sz w:val="24"/>
          <w:szCs w:val="24"/>
        </w:rPr>
        <w:t>(9), 588.</w:t>
      </w:r>
    </w:p>
    <w:p>
      <w:pPr>
        <w:pStyle w:val="Normal"/>
        <w:spacing w:lineRule="auto" w:line="276" w:before="0" w:after="120"/>
        <w:contextualSpacing/>
        <w:jc w:val="left"/>
        <w:rPr>
          <w:b w:val="false"/>
          <w:b w:val="false"/>
          <w:i w:val="false"/>
          <w:i w:val="false"/>
          <w:caps w:val="false"/>
          <w:smallCaps w:val="false"/>
          <w:color w:val="222222"/>
          <w:spacing w:val="0"/>
        </w:rPr>
      </w:pPr>
      <w:r>
        <w:rPr>
          <w:rFonts w:ascii="Times New Roman" w:hAnsi="Times New Roman"/>
          <w:sz w:val="24"/>
          <w:szCs w:val="24"/>
        </w:rPr>
      </w:r>
    </w:p>
    <w:p>
      <w:pPr>
        <w:pStyle w:val="Normal"/>
        <w:spacing w:lineRule="auto" w:line="276" w:before="0" w:after="120"/>
        <w:contextualSpacing/>
        <w:jc w:val="left"/>
        <w:rPr>
          <w:rFonts w:ascii="Times New Roman" w:hAnsi="Times New Roman"/>
          <w:sz w:val="24"/>
          <w:szCs w:val="24"/>
        </w:rPr>
      </w:pPr>
      <w:r>
        <w:rPr>
          <w:rFonts w:ascii="Times New Roman" w:hAnsi="Times New Roman"/>
          <w:b w:val="false"/>
          <w:i w:val="false"/>
          <w:caps w:val="false"/>
          <w:smallCaps w:val="false"/>
          <w:color w:val="222222"/>
          <w:spacing w:val="0"/>
          <w:sz w:val="24"/>
          <w:szCs w:val="24"/>
        </w:rPr>
        <w:t>Jehling, M., Schorcht, M., &amp; Hartmann, T. (2020). Densification in suburban Germany: approaching policy and space through concepts of justice. </w:t>
      </w:r>
      <w:r>
        <w:rPr>
          <w:rFonts w:ascii="Times New Roman" w:hAnsi="Times New Roman"/>
          <w:b w:val="false"/>
          <w:i/>
          <w:caps w:val="false"/>
          <w:smallCaps w:val="false"/>
          <w:color w:val="222222"/>
          <w:spacing w:val="0"/>
          <w:sz w:val="24"/>
          <w:szCs w:val="24"/>
        </w:rPr>
        <w:t>TPR: Town Planning Review</w:t>
      </w:r>
      <w:r>
        <w:rPr>
          <w:rFonts w:ascii="Times New Roman" w:hAnsi="Times New Roman"/>
          <w:b w:val="false"/>
          <w:i w:val="false"/>
          <w:caps w:val="false"/>
          <w:smallCaps w:val="false"/>
          <w:color w:val="222222"/>
          <w:spacing w:val="0"/>
          <w:sz w:val="24"/>
          <w:szCs w:val="24"/>
        </w:rPr>
        <w:t>, </w:t>
      </w:r>
      <w:r>
        <w:rPr>
          <w:rFonts w:ascii="Times New Roman" w:hAnsi="Times New Roman"/>
          <w:b w:val="false"/>
          <w:i/>
          <w:caps w:val="false"/>
          <w:smallCaps w:val="false"/>
          <w:color w:val="222222"/>
          <w:spacing w:val="0"/>
          <w:sz w:val="24"/>
          <w:szCs w:val="24"/>
        </w:rPr>
        <w:t>91</w:t>
      </w:r>
      <w:r>
        <w:rPr>
          <w:rFonts w:ascii="Times New Roman" w:hAnsi="Times New Roman"/>
          <w:b w:val="false"/>
          <w:i w:val="false"/>
          <w:caps w:val="false"/>
          <w:smallCaps w:val="false"/>
          <w:color w:val="222222"/>
          <w:spacing w:val="0"/>
          <w:sz w:val="24"/>
          <w:szCs w:val="24"/>
        </w:rPr>
        <w:t>(3).</w:t>
      </w:r>
    </w:p>
    <w:p>
      <w:pPr>
        <w:pStyle w:val="Normal"/>
        <w:spacing w:lineRule="auto" w:line="276" w:before="0" w:after="120"/>
        <w:contextualSpacing/>
        <w:jc w:val="left"/>
        <w:rPr>
          <w:b w:val="false"/>
          <w:b w:val="false"/>
          <w:i w:val="false"/>
          <w:i w:val="false"/>
          <w:caps w:val="false"/>
          <w:smallCaps w:val="false"/>
          <w:color w:val="222222"/>
          <w:spacing w:val="0"/>
        </w:rPr>
      </w:pPr>
      <w:r>
        <w:rPr>
          <w:rFonts w:ascii="Times New Roman" w:hAnsi="Times New Roman"/>
          <w:sz w:val="24"/>
          <w:szCs w:val="24"/>
        </w:rPr>
      </w:r>
    </w:p>
    <w:p>
      <w:pPr>
        <w:pStyle w:val="Normal"/>
        <w:spacing w:lineRule="auto" w:line="276" w:before="0" w:after="120"/>
        <w:contextualSpacing/>
        <w:jc w:val="left"/>
        <w:rPr/>
      </w:pPr>
      <w:r>
        <w:rPr>
          <w:u w:val="single"/>
          <w:lang w:val="en-GB"/>
        </w:rPr>
        <w:t>Special Session</w:t>
      </w:r>
      <w:r>
        <w:rPr>
          <w:lang w:val="en-GB"/>
        </w:rPr>
        <w:t xml:space="preserve">: </w:t>
      </w:r>
      <w:r>
        <w:rPr>
          <w:lang w:val="en-GB"/>
        </w:rPr>
        <w:t>Uncovering intra-urban spatial patterns</w:t>
      </w:r>
    </w:p>
    <w:p>
      <w:pPr>
        <w:pStyle w:val="Normal"/>
        <w:spacing w:lineRule="auto" w:line="276" w:before="0" w:after="120"/>
        <w:contextualSpacing/>
        <w:jc w:val="left"/>
        <w:rPr>
          <w:lang w:val="en-GB"/>
        </w:rPr>
      </w:pPr>
      <w:r>
        <w:rPr>
          <w:lang w:val="en-GB"/>
        </w:rPr>
      </w:r>
    </w:p>
    <w:p>
      <w:pPr>
        <w:pStyle w:val="Normal"/>
        <w:spacing w:lineRule="auto" w:line="276" w:before="0" w:after="120"/>
        <w:contextualSpacing/>
        <w:jc w:val="left"/>
        <w:rPr/>
      </w:pPr>
      <w:r>
        <w:rPr/>
      </w:r>
    </w:p>
    <w:sectPr>
      <w:headerReference w:type="default" r:id="rId2"/>
      <w:footerReference w:type="default" r:id="rId3"/>
      <w:type w:val="nextPage"/>
      <w:pgSz w:w="11906" w:h="16838"/>
      <w:pgMar w:left="1080" w:right="1080" w:header="709" w:top="1440" w:footer="709"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9881269"/>
    </w:sdtPr>
    <w:sdtContent>
      <w:p>
        <w:pPr>
          <w:pStyle w:val="Footer"/>
          <w:rPr>
            <w:sz w:val="16"/>
            <w:szCs w:val="16"/>
            <w:lang w:val="en-GB"/>
          </w:rPr>
        </w:pPr>
        <w:r>
          <w:rPr>
            <w:rFonts w:cs="Arial"/>
            <w:i/>
            <w:sz w:val="16"/>
            <w:szCs w:val="16"/>
            <w:lang w:val="en-GB"/>
          </w:rPr>
          <w:t xml:space="preserve">Book of Abstracts of ECTQG2023, Braga, Portugal, 14 to 17 September 2023 </w:t>
          <w:tab/>
          <w:tab/>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i/>
        <w:sz w:val="16"/>
        <w:szCs w:val="16"/>
        <w:lang w:val="en-US"/>
      </w:rPr>
      <w:t>M. Ndim  et al.</w:t>
    </w:r>
    <w:r>
      <w:rPr>
        <w:i/>
        <w:sz w:val="16"/>
        <w:szCs w:val="16"/>
        <w:lang w:val="en-US"/>
      </w:rPr>
      <w:t xml:space="preserve">, </w:t>
    </w:r>
    <w:r>
      <w:rPr>
        <w:i/>
        <w:sz w:val="16"/>
        <w:szCs w:val="16"/>
        <w:lang w:val="en-US"/>
      </w:rPr>
      <w:t>A collaborative dashboard</w:t>
    </w:r>
  </w:p>
</w:hdr>
</file>

<file path=word/settings.xml><?xml version="1.0" encoding="utf-8"?>
<w:settings xmlns:w="http://schemas.openxmlformats.org/wordprocessingml/2006/main">
  <w:zoom w:percent="6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pt-PT" w:bidi="ar-SA"/>
      </w:rPr>
    </w:rPrDefault>
    <w:pPrDefault>
      <w:pPr/>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e69e0"/>
    <w:pPr>
      <w:widowControl/>
      <w:suppressAutoHyphens w:val="true"/>
      <w:bidi w:val="0"/>
      <w:spacing w:lineRule="auto" w:line="360" w:before="0" w:after="120"/>
      <w:contextualSpacing/>
      <w:jc w:val="both"/>
    </w:pPr>
    <w:rPr>
      <w:rFonts w:ascii="Times New Roman" w:hAnsi="Times New Roman" w:eastAsia="Times New Roman" w:cs="Times New Roman"/>
      <w:color w:val="00000A"/>
      <w:kern w:val="0"/>
      <w:sz w:val="24"/>
      <w:szCs w:val="24"/>
      <w:lang w:val="pt-PT" w:eastAsia="pt-PT" w:bidi="ar-SA"/>
    </w:rPr>
  </w:style>
  <w:style w:type="paragraph" w:styleId="Heading1">
    <w:name w:val="Heading 1"/>
    <w:basedOn w:val="Normal"/>
    <w:next w:val="Normal"/>
    <w:link w:val="Heading1Char"/>
    <w:uiPriority w:val="9"/>
    <w:qFormat/>
    <w:rsid w:val="00ee69e0"/>
    <w:pPr>
      <w:outlineLvl w:val="0"/>
    </w:pPr>
    <w:rPr>
      <w:b/>
      <w:sz w:val="28"/>
    </w:rPr>
  </w:style>
  <w:style w:type="paragraph" w:styleId="Heading2">
    <w:name w:val="Heading 2"/>
    <w:basedOn w:val="Normal"/>
    <w:next w:val="Normal"/>
    <w:qFormat/>
    <w:rsid w:val="00f2287a"/>
    <w:pPr>
      <w:widowControl w:val="false"/>
      <w:bidi w:val="0"/>
      <w:jc w:val="left"/>
      <w:outlineLvl w:val="1"/>
    </w:pPr>
    <w:rPr>
      <w:rFonts w:ascii="Times New Roman" w:hAnsi="Times New Roman" w:eastAsia="Times New Roman" w:cs="Times New Roman"/>
      <w:color w:val="00000A"/>
      <w:kern w:val="0"/>
      <w:sz w:val="24"/>
      <w:szCs w:val="20"/>
      <w:lang w:val="pt-PT" w:eastAsia="pt-PT" w:bidi="ar-SA"/>
    </w:rPr>
  </w:style>
  <w:style w:type="paragraph" w:styleId="Heading6">
    <w:name w:val="Heading 6"/>
    <w:basedOn w:val="Heading2"/>
    <w:next w:val="Normal"/>
    <w:qFormat/>
    <w:rsid w:val="00f2287a"/>
    <w:pPr>
      <w:outlineLvl w:val="5"/>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ee69e0"/>
    <w:rPr>
      <w:b/>
      <w:sz w:val="28"/>
      <w:szCs w:val="24"/>
    </w:rPr>
  </w:style>
  <w:style w:type="character" w:styleId="Bold" w:customStyle="1">
    <w:name w:val="bold"/>
    <w:basedOn w:val="DefaultParagraphFont"/>
    <w:uiPriority w:val="1"/>
    <w:qFormat/>
    <w:rsid w:val="00553b56"/>
    <w:rPr>
      <w:b/>
    </w:rPr>
  </w:style>
  <w:style w:type="character" w:styleId="Camusssuperscript" w:customStyle="1">
    <w:name w:val="camuss-superscript"/>
    <w:basedOn w:val="DefaultParagraphFont"/>
    <w:uiPriority w:val="1"/>
    <w:qFormat/>
    <w:rsid w:val="00754d7f"/>
    <w:rPr>
      <w:b w:val="false"/>
      <w:i w:val="false"/>
      <w:strike w:val="false"/>
      <w:dstrike w:val="false"/>
      <w:vertAlign w:val="superscript"/>
    </w:rPr>
  </w:style>
  <w:style w:type="character" w:styleId="Italic" w:customStyle="1">
    <w:name w:val="italic"/>
    <w:basedOn w:val="DefaultParagraphFont"/>
    <w:uiPriority w:val="1"/>
    <w:qFormat/>
    <w:rsid w:val="00553b56"/>
    <w:rPr>
      <w:i/>
      <w:lang w:val="en-US"/>
    </w:rPr>
  </w:style>
  <w:style w:type="character" w:styleId="Camussreferencesauthor" w:customStyle="1">
    <w:name w:val="camuss-references-author"/>
    <w:basedOn w:val="DefaultParagraphFont"/>
    <w:uiPriority w:val="1"/>
    <w:qFormat/>
    <w:rsid w:val="00553b56"/>
    <w:rPr>
      <w:b/>
    </w:rPr>
  </w:style>
  <w:style w:type="character" w:styleId="BalloonTextChar" w:customStyle="1">
    <w:name w:val="Balloon Text Char"/>
    <w:basedOn w:val="DefaultParagraphFont"/>
    <w:link w:val="BalloonText"/>
    <w:uiPriority w:val="99"/>
    <w:semiHidden/>
    <w:qFormat/>
    <w:rsid w:val="00953962"/>
    <w:rPr>
      <w:rFonts w:ascii="Tahoma" w:hAnsi="Tahoma" w:cs="Tahoma"/>
      <w:sz w:val="16"/>
      <w:szCs w:val="16"/>
    </w:rPr>
  </w:style>
  <w:style w:type="character" w:styleId="Annotationreference">
    <w:name w:val="annotation reference"/>
    <w:basedOn w:val="DefaultParagraphFont"/>
    <w:uiPriority w:val="99"/>
    <w:semiHidden/>
    <w:unhideWhenUsed/>
    <w:qFormat/>
    <w:rsid w:val="00a95dfd"/>
    <w:rPr>
      <w:sz w:val="16"/>
      <w:szCs w:val="16"/>
    </w:rPr>
  </w:style>
  <w:style w:type="character" w:styleId="CommentTextChar" w:customStyle="1">
    <w:name w:val="Comment Text Char"/>
    <w:basedOn w:val="DefaultParagraphFont"/>
    <w:link w:val="Annotationtext"/>
    <w:uiPriority w:val="99"/>
    <w:semiHidden/>
    <w:qFormat/>
    <w:rsid w:val="00a95dfd"/>
    <w:rPr/>
  </w:style>
  <w:style w:type="character" w:styleId="CommentSubjectChar" w:customStyle="1">
    <w:name w:val="Comment Subject Char"/>
    <w:basedOn w:val="CommentTextChar"/>
    <w:link w:val="Annotationsubject"/>
    <w:uiPriority w:val="99"/>
    <w:semiHidden/>
    <w:qFormat/>
    <w:rsid w:val="00a95dfd"/>
    <w:rPr>
      <w:b/>
      <w:bCs/>
    </w:rPr>
  </w:style>
  <w:style w:type="character" w:styleId="HeaderChar" w:customStyle="1">
    <w:name w:val="Header Char"/>
    <w:basedOn w:val="DefaultParagraphFont"/>
    <w:uiPriority w:val="99"/>
    <w:qFormat/>
    <w:rsid w:val="00097ad1"/>
    <w:rPr>
      <w:sz w:val="18"/>
      <w:szCs w:val="24"/>
    </w:rPr>
  </w:style>
  <w:style w:type="character" w:styleId="FooterChar" w:customStyle="1">
    <w:name w:val="Footer Char"/>
    <w:basedOn w:val="DefaultParagraphFont"/>
    <w:uiPriority w:val="99"/>
    <w:qFormat/>
    <w:rsid w:val="00097ad1"/>
    <w:rPr>
      <w:sz w:val="18"/>
      <w:szCs w:val="24"/>
    </w:rPr>
  </w:style>
  <w:style w:type="character" w:styleId="LienInternet">
    <w:name w:val="Lien Internet"/>
    <w:basedOn w:val="DefaultParagraphFont"/>
    <w:uiPriority w:val="99"/>
    <w:unhideWhenUsed/>
    <w:qFormat/>
    <w:rsid w:val="00df2556"/>
    <w:rPr>
      <w:color w:val="0000FF" w:themeColor="hyperlink"/>
      <w:u w:val="single"/>
    </w:rPr>
  </w:style>
  <w:style w:type="character" w:styleId="UnresolvedMention">
    <w:name w:val="Unresolved Mention"/>
    <w:basedOn w:val="DefaultParagraphFont"/>
    <w:uiPriority w:val="99"/>
    <w:semiHidden/>
    <w:unhideWhenUsed/>
    <w:qFormat/>
    <w:rsid w:val="002c7c96"/>
    <w:rPr>
      <w:color w:val="605E5C"/>
      <w:shd w:fill="E1DFDD" w:val="clear"/>
    </w:rPr>
  </w:style>
  <w:style w:type="character" w:styleId="Accentuationforte">
    <w:name w:val="Accentuation forte"/>
    <w:qFormat/>
    <w:rPr>
      <w:b/>
      <w:bCs/>
    </w:rPr>
  </w:style>
  <w:style w:type="character" w:styleId="ListLabel1">
    <w:name w:val="ListLabel 1"/>
    <w:qFormat/>
    <w:rPr>
      <w:rFonts w:cs="Wingding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StrongEmphasis">
    <w:name w:val="Strong Emphasis"/>
    <w:qFormat/>
    <w:rPr>
      <w:b/>
      <w:bCs/>
    </w:rPr>
  </w:style>
  <w:style w:type="paragraph" w:styleId="Heading">
    <w:name w:val="Heading"/>
    <w:basedOn w:val="Normal"/>
    <w:next w:val="TextBody"/>
    <w:qFormat/>
    <w:pPr>
      <w:keepNext w:val="true"/>
      <w:spacing w:before="240" w:after="120"/>
      <w:contextualSpacing/>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qFormat/>
    <w:pPr>
      <w:keepNext w:val="true"/>
      <w:spacing w:before="240" w:after="120"/>
      <w:contextualSpacing/>
    </w:pPr>
    <w:rPr>
      <w:rFonts w:ascii="Liberation Sans" w:hAnsi="Liberation Sans" w:eastAsia="Noto Sans CJK SC" w:cs="Lohit Devanagari"/>
      <w:sz w:val="28"/>
      <w:szCs w:val="28"/>
    </w:rPr>
  </w:style>
  <w:style w:type="paragraph" w:styleId="ECTQG2021figure" w:customStyle="1">
    <w:name w:val="ECTQG2021-figure"/>
    <w:basedOn w:val="Normal"/>
    <w:next w:val="Normal"/>
    <w:qFormat/>
    <w:rsid w:val="006644ab"/>
    <w:pPr>
      <w:widowControl w:val="false"/>
      <w:overflowPunct w:val="false"/>
      <w:jc w:val="center"/>
      <w:textAlignment w:val="baseline"/>
    </w:pPr>
    <w:rPr>
      <w:szCs w:val="20"/>
    </w:rPr>
  </w:style>
  <w:style w:type="paragraph" w:styleId="BalloonText">
    <w:name w:val="Balloon Text"/>
    <w:basedOn w:val="Normal"/>
    <w:link w:val="BalloonTextChar"/>
    <w:uiPriority w:val="99"/>
    <w:semiHidden/>
    <w:unhideWhenUsed/>
    <w:qFormat/>
    <w:rsid w:val="00953962"/>
    <w:pPr/>
    <w:rPr>
      <w:rFonts w:ascii="Tahoma" w:hAnsi="Tahoma" w:cs="Tahoma"/>
      <w:sz w:val="16"/>
      <w:szCs w:val="16"/>
    </w:rPr>
  </w:style>
  <w:style w:type="paragraph" w:styleId="NormalWeb">
    <w:name w:val="Normal (Web)"/>
    <w:basedOn w:val="Normal"/>
    <w:uiPriority w:val="99"/>
    <w:semiHidden/>
    <w:unhideWhenUsed/>
    <w:qFormat/>
    <w:rsid w:val="00877ae3"/>
    <w:pPr>
      <w:spacing w:before="0" w:after="64"/>
      <w:contextualSpacing/>
    </w:pPr>
    <w:rPr/>
  </w:style>
  <w:style w:type="paragraph" w:styleId="Annotationtext">
    <w:name w:val="annotation text"/>
    <w:basedOn w:val="Normal"/>
    <w:link w:val="CommentTextChar"/>
    <w:uiPriority w:val="99"/>
    <w:semiHidden/>
    <w:unhideWhenUsed/>
    <w:qFormat/>
    <w:rsid w:val="00a95dfd"/>
    <w:pPr/>
    <w:rPr>
      <w:szCs w:val="20"/>
    </w:rPr>
  </w:style>
  <w:style w:type="paragraph" w:styleId="Annotationsubject">
    <w:name w:val="annotation subject"/>
    <w:basedOn w:val="Annotationtext"/>
    <w:link w:val="CommentSubjectChar"/>
    <w:uiPriority w:val="99"/>
    <w:semiHidden/>
    <w:unhideWhenUsed/>
    <w:qFormat/>
    <w:rsid w:val="00a95dfd"/>
    <w:pPr/>
    <w:rPr>
      <w:b/>
      <w:bCs/>
    </w:rPr>
  </w:style>
  <w:style w:type="paragraph" w:styleId="ECTQG2021papertitle" w:customStyle="1">
    <w:name w:val="ECTQG2021-paper-title"/>
    <w:next w:val="Normal"/>
    <w:qFormat/>
    <w:rsid w:val="00ee69e0"/>
    <w:pPr>
      <w:widowControl/>
      <w:suppressAutoHyphens w:val="true"/>
      <w:bidi w:val="0"/>
      <w:spacing w:before="0" w:after="240"/>
      <w:jc w:val="center"/>
    </w:pPr>
    <w:rPr>
      <w:rFonts w:ascii="Times New Roman" w:hAnsi="Times New Roman" w:eastAsia="Times New Roman" w:cs="Times New Roman"/>
      <w:b/>
      <w:color w:val="00000A"/>
      <w:kern w:val="0"/>
      <w:sz w:val="40"/>
      <w:szCs w:val="28"/>
      <w:lang w:val="en-US" w:eastAsia="pt-PT" w:bidi="ar-SA"/>
    </w:rPr>
  </w:style>
  <w:style w:type="paragraph" w:styleId="ECTQG2021papersubtitle" w:customStyle="1">
    <w:name w:val="ECTQG2021-paper-subtitle"/>
    <w:basedOn w:val="ECTQG2021tablefigurecaption"/>
    <w:next w:val="Normal"/>
    <w:qFormat/>
    <w:rsid w:val="00e8117b"/>
    <w:pPr/>
    <w:rPr>
      <w:sz w:val="24"/>
    </w:rPr>
  </w:style>
  <w:style w:type="paragraph" w:styleId="ECTQG2021author" w:customStyle="1">
    <w:name w:val="ECTQG2021-author"/>
    <w:basedOn w:val="Normal"/>
    <w:next w:val="Normal"/>
    <w:qFormat/>
    <w:rsid w:val="00ee69e0"/>
    <w:pPr>
      <w:spacing w:before="0" w:after="0"/>
      <w:contextualSpacing/>
      <w:jc w:val="center"/>
    </w:pPr>
    <w:rPr>
      <w:rFonts w:eastAsia="MS Mincho"/>
      <w:b/>
      <w:szCs w:val="20"/>
      <w:lang w:val="en-US"/>
    </w:rPr>
  </w:style>
  <w:style w:type="paragraph" w:styleId="ECTQG2021heading" w:customStyle="1">
    <w:name w:val="ECTQG2021-heading"/>
    <w:next w:val="Normal"/>
    <w:qFormat/>
    <w:rsid w:val="00e8117b"/>
    <w:pPr>
      <w:widowControl/>
      <w:suppressAutoHyphens w:val="true"/>
      <w:bidi w:val="0"/>
      <w:spacing w:before="320" w:after="120"/>
      <w:jc w:val="left"/>
    </w:pPr>
    <w:rPr>
      <w:rFonts w:ascii="Times New Roman" w:hAnsi="Times New Roman" w:eastAsia="Times New Roman" w:cs="Times New Roman"/>
      <w:b/>
      <w:color w:val="00000A"/>
      <w:kern w:val="0"/>
      <w:sz w:val="24"/>
      <w:szCs w:val="20"/>
      <w:lang w:val="en-US" w:eastAsia="pt-PT" w:bidi="ar-SA"/>
    </w:rPr>
  </w:style>
  <w:style w:type="paragraph" w:styleId="ECTQG2021list" w:customStyle="1">
    <w:name w:val="ECTQG2021-list"/>
    <w:next w:val="Normal"/>
    <w:qFormat/>
    <w:rsid w:val="00e8117b"/>
    <w:pPr>
      <w:widowControl/>
      <w:suppressAutoHyphens w:val="true"/>
      <w:bidi w:val="0"/>
      <w:spacing w:before="0" w:after="0"/>
      <w:jc w:val="both"/>
    </w:pPr>
    <w:rPr>
      <w:rFonts w:ascii="Times New Roman" w:hAnsi="Times New Roman" w:eastAsia="Times New Roman" w:cs="Times New Roman"/>
      <w:color w:val="00000A"/>
      <w:kern w:val="0"/>
      <w:sz w:val="18"/>
      <w:szCs w:val="20"/>
      <w:lang w:val="en-US" w:eastAsia="pt-PT" w:bidi="ar-SA"/>
    </w:rPr>
  </w:style>
  <w:style w:type="paragraph" w:styleId="ECTQG2021subheading" w:customStyle="1">
    <w:name w:val="ECTQG2021-subheading"/>
    <w:basedOn w:val="ECTQG2021heading"/>
    <w:qFormat/>
    <w:rsid w:val="00ee69e0"/>
    <w:pPr>
      <w:spacing w:lineRule="auto" w:line="360" w:before="0" w:after="120"/>
    </w:pPr>
    <w:rPr>
      <w:b w:val="false"/>
      <w:i/>
    </w:rPr>
  </w:style>
  <w:style w:type="paragraph" w:styleId="ECTQG2021tablefigurecaption" w:customStyle="1">
    <w:name w:val="ECTQG2021-table/figure-caption"/>
    <w:next w:val="Normal"/>
    <w:qFormat/>
    <w:rsid w:val="00ee69e0"/>
    <w:pPr>
      <w:widowControl/>
      <w:suppressAutoHyphens w:val="true"/>
      <w:bidi w:val="0"/>
      <w:spacing w:before="120" w:after="120"/>
      <w:jc w:val="center"/>
    </w:pPr>
    <w:rPr>
      <w:rFonts w:ascii="Times New Roman" w:hAnsi="Times New Roman" w:eastAsia="Times New Roman" w:cs="Times New Roman"/>
      <w:color w:val="00000A"/>
      <w:kern w:val="0"/>
      <w:sz w:val="20"/>
      <w:szCs w:val="16"/>
      <w:lang w:val="en-US" w:eastAsia="pt-PT" w:bidi="ar-SA"/>
    </w:rPr>
  </w:style>
  <w:style w:type="paragraph" w:styleId="ECTQG2021references" w:customStyle="1">
    <w:name w:val="ECTQG2021-references"/>
    <w:next w:val="Normal"/>
    <w:qFormat/>
    <w:rsid w:val="00e8117b"/>
    <w:pPr>
      <w:widowControl/>
      <w:suppressAutoHyphens w:val="true"/>
      <w:bidi w:val="0"/>
      <w:spacing w:before="0" w:after="0"/>
      <w:ind w:left="357" w:hanging="357"/>
      <w:jc w:val="both"/>
    </w:pPr>
    <w:rPr>
      <w:rFonts w:ascii="Times New Roman" w:hAnsi="Times New Roman" w:eastAsia="Times New Roman" w:cs="Times New Roman"/>
      <w:color w:val="00000A"/>
      <w:kern w:val="0"/>
      <w:sz w:val="20"/>
      <w:szCs w:val="16"/>
      <w:lang w:val="en-US" w:eastAsia="pt-PT" w:bidi="ar-SA"/>
    </w:rPr>
  </w:style>
  <w:style w:type="paragraph" w:styleId="ECTQG2021authorsdetails" w:customStyle="1">
    <w:name w:val="ECTQG2021-authors-details"/>
    <w:basedOn w:val="Normal"/>
    <w:next w:val="Normal"/>
    <w:qFormat/>
    <w:rsid w:val="00ee69e0"/>
    <w:pPr>
      <w:jc w:val="center"/>
    </w:pPr>
    <w:rPr>
      <w:rFonts w:eastAsia="MS Mincho"/>
      <w:sz w:val="20"/>
    </w:rPr>
  </w:style>
  <w:style w:type="paragraph" w:styleId="ECTQG2021keywords" w:customStyle="1">
    <w:name w:val="ECTQG2021-keywords"/>
    <w:basedOn w:val="Normal"/>
    <w:next w:val="Normal"/>
    <w:qFormat/>
    <w:rsid w:val="00e8117b"/>
    <w:pPr>
      <w:spacing w:before="240" w:after="120"/>
      <w:contextualSpacing/>
    </w:pPr>
    <w:rPr/>
  </w:style>
  <w:style w:type="paragraph" w:styleId="Entteetpieddepage">
    <w:name w:val="En-tête et pied de page"/>
    <w:basedOn w:val="Normal"/>
    <w:qFormat/>
    <w:pPr/>
    <w:rPr/>
  </w:style>
  <w:style w:type="paragraph" w:styleId="Header">
    <w:name w:val="Header"/>
    <w:basedOn w:val="Normal"/>
    <w:link w:val="HeaderChar"/>
    <w:uiPriority w:val="99"/>
    <w:unhideWhenUsed/>
    <w:rsid w:val="00097ad1"/>
    <w:pPr>
      <w:tabs>
        <w:tab w:val="center" w:pos="4252" w:leader="none"/>
        <w:tab w:val="right" w:pos="8504" w:leader="none"/>
      </w:tabs>
      <w:spacing w:before="0" w:after="0"/>
      <w:contextualSpacing/>
    </w:pPr>
    <w:rPr/>
  </w:style>
  <w:style w:type="paragraph" w:styleId="Footer">
    <w:name w:val="Footer"/>
    <w:basedOn w:val="Normal"/>
    <w:link w:val="FooterChar"/>
    <w:uiPriority w:val="99"/>
    <w:unhideWhenUsed/>
    <w:rsid w:val="00097ad1"/>
    <w:pPr>
      <w:tabs>
        <w:tab w:val="center" w:pos="4252" w:leader="none"/>
        <w:tab w:val="right" w:pos="8504" w:leader="none"/>
      </w:tabs>
      <w:spacing w:before="0" w:after="0"/>
      <w:contextualSpacing/>
    </w:pPr>
    <w:rPr/>
  </w:style>
  <w:style w:type="paragraph" w:styleId="ListParagraph">
    <w:name w:val="List Paragraph"/>
    <w:basedOn w:val="Normal"/>
    <w:uiPriority w:val="34"/>
    <w:qFormat/>
    <w:rsid w:val="00541b17"/>
    <w:pPr>
      <w:ind w:lef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StyleNumbers" w:customStyle="1">
    <w:name w:val="Style Numbers"/>
    <w:qFormat/>
    <w:rsid w:val="00743e2d"/>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Estilo1">
    <w:name w:val="Estilo1"/>
    <w:basedOn w:val="TableNormal"/>
    <w:uiPriority w:val="99"/>
    <w:rsid w:val="001d376c"/>
    <w:tblPr>
      <w:tblBorders>
        <w:top w:val="single" w:color="auto" w:sz="4" w:space="0"/>
        <w:bottom w:val="single" w:color="auto" w:sz="4" w:space="0"/>
        <w:insideH w:val="single" w:color="auto" w:sz="4" w:space="0"/>
      </w:tblBorders>
    </w:tblPr>
  </w:style>
  <w:style w:type="table" w:customStyle="1" w:styleId="7vct-table">
    <w:name w:val="7vct-table"/>
    <w:basedOn w:val="TableNormal"/>
    <w:uiPriority w:val="99"/>
    <w:rsid w:val="001d376c"/>
    <w:tblPr>
      <w:tblBorders>
        <w:top w:val="single" w:color="auto" w:sz="4" w:space="0"/>
        <w:bottom w:val="single" w:color="auto" w:sz="4" w:space="0"/>
        <w:insideH w:val="single" w:color="auto" w:sz="4" w:space="0"/>
      </w:tblBorders>
    </w:tblPr>
  </w:style>
  <w:style w:type="table" w:styleId="TableGrid">
    <w:name w:val="Table Grid"/>
    <w:basedOn w:val="TableNormal"/>
    <w:rsid w:val="003f06cd"/>
    <w:rPr>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1FA4A-447C-0349-9D36-FD856534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LibreOffice/5.4.6.2$MacOSX_X86_64 LibreOffice_project/4014ce260a04f1026ba855d3b8d91541c224eab8</Application>
  <Pages>2</Pages>
  <Words>544</Words>
  <Characters>3447</Characters>
  <CharactersWithSpaces>3979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2023-03-20T15:21:00Z</dcterms:created>
  <dc:creator/>
  <dc:description/>
  <dc:language>fr-FR</dc:language>
  <cp:lastModifiedBy/>
  <dcterms:modified xsi:type="dcterms:W3CDTF">2023-05-26T23:00:46Z</dcterms:modified>
  <cp:revision>10</cp:revision>
  <dc:subject/>
  <dc:title>ECTQG2021 Extended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