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Кейс №2 Идентификация сотрудников по лицу на проходных предприятия</w:t>
      </w:r>
    </w:p>
    <w:p>
      <w:r>
        <w:rPr>
          <w:b/>
        </w:rPr>
        <w:t>Состав команды:</w:t>
      </w:r>
      <w:r>
        <w:t xml:space="preserve"> Недиков Михаил Олегович, единственный автор.</w:t>
      </w:r>
    </w:p>
    <w:p>
      <w:r>
        <w:rPr>
          <w:b/>
        </w:rPr>
        <w:t>Роли автора:</w:t>
      </w:r>
      <w:r>
        <w:t xml:space="preserve"> Product Owner, Data Engineer, Data Scientist, Software Architect, Data Architect.</w:t>
      </w:r>
    </w:p>
    <w:p>
      <w:r>
        <w:rPr>
          <w:b/>
        </w:rPr>
        <w:t>Дизайн ML-системы:</w:t>
      </w:r>
      <w:r>
        <w:t xml:space="preserve"> «Контур доступа», MVP 1 и целевая production-система.</w:t>
      </w:r>
    </w:p>
    <w:p>
      <w:r>
        <w:rPr>
          <w:b/>
        </w:rPr>
        <w:t>Версия документа:</w:t>
      </w:r>
      <w:r>
        <w:t xml:space="preserve"> 1.0 от 25.09.2026. </w:t>
      </w:r>
      <w:r>
        <w:rPr>
          <w:b/>
        </w:rPr>
        <w:t>Форма работы:</w:t>
      </w:r>
      <w:r>
        <w:t xml:space="preserve"> проектная документация.</w:t>
      </w:r>
    </w:p>
    <w:p>
      <w:r>
        <w:t>Система предназначена для проверки личности сотрудников промышленного предприятия на 10 проходных по базе примерно из 5000 человек. Она связывает распознавание лица, проверку признаков живого присутствия, действующие права доступа и регистрацию прохода. Цель — сократить ручные проверки и очереди, сохранив возможность пройти по пропуску через охранника. Распознавание человека само по себе не означает разрешение входа.</w:t>
      </w:r>
    </w:p>
    <w:p>
      <w:r>
        <w:t xml:space="preserve">Масштаб предприятия и исходный процесс взяты из кейса. Все остальные численные значения ниже являются </w:t>
      </w:r>
      <w:r>
        <w:rPr>
          <w:b/>
        </w:rPr>
        <w:t>проектными допущениями и критериями будущих испытаний</w:t>
      </w:r>
      <w:r>
        <w:t>. EDA, обучение, измерение точности и пилот ещё не проводились. Работа включает проект внедрения, а не утверждение о готовности системы к промышленной эксплуатации.</w:t>
      </w:r>
    </w:p>
    <w:p>
      <w:pPr>
        <w:pStyle w:val="Heading1"/>
      </w:pPr>
      <w:r>
        <w:t>1 Цели и предпосылки</w:t>
      </w:r>
    </w:p>
    <w:p>
      <w:pPr>
        <w:pStyle w:val="Heading2"/>
      </w:pPr>
      <w:r>
        <w:t>1.1 Зачем разрабатывается продукт</w:t>
      </w:r>
    </w:p>
    <w:p>
      <w:r>
        <w:t>Сейчас охранник сканирует пластиковый пропуск и визуально сравнивает сотрудника с фотографией в профиле. Существующая СКУД уже считывает идентификатор; ручным является сопоставление лица с фотографией. В часы начала смены это создаёт задержки, а качество проверки зависит от внимания охранника, освещения и давности снимка.</w:t>
      </w:r>
    </w:p>
    <w:p>
      <w:r>
        <w:t>ML переводит сравнение изображений в воспроизводимую процедуру: вычисляет представление лица, ищет наиболее похожего сотрудника и отказывается от решения при недостаточной уверенности. Проверка живого присутствия уменьшает риск предъявления фотографии или экрана. Правила доступа остаются явными и независимыми от ML. Охранник рассматривает спорные случаи и обслуживает альтернативный проход.</w:t>
      </w:r>
    </w:p>
    <w:p>
      <w:r>
        <w:t>Бизнес-цель итерации — проверить, возможно ли уменьшить медианное время обслуживания на 30% относительно измеренного AS-IS без ухудшения контроля допуска. Успех не измеряется сокращением штата: наблюдение за проходной и разбор исключений остаются необходимыми.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7066"/>
      </w:tblGrid>
      <w:tr>
        <w:trPr>
          <w:cantSplit/>
          <w:tblHeader/>
        </w:trPr>
        <w:tc>
          <w:tcPr>
            <w:tcW w:type="dxa" w:w="3028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Роль автора</w:t>
            </w:r>
          </w:p>
        </w:tc>
        <w:tc>
          <w:tcPr>
            <w:tcW w:type="dxa" w:w="7066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Ответственность и результат</w:t>
            </w:r>
          </w:p>
        </w:tc>
      </w:tr>
      <w:tr>
        <w:trPr>
          <w:cantSplit/>
        </w:trPr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Product Owner</w:t>
            </w:r>
          </w:p>
        </w:tc>
        <w:tc>
          <w:tcPr>
            <w:tcW w:type="dxa" w:w="706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Бизнес-требования, границы MVP, критерии пилота</w:t>
            </w:r>
          </w:p>
        </w:tc>
      </w:tr>
      <w:tr>
        <w:trPr>
          <w:cantSplit/>
        </w:trPr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Data Engineer</w:t>
            </w:r>
          </w:p>
        </w:tc>
        <w:tc>
          <w:tcPr>
            <w:tcW w:type="dxa" w:w="706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Источники, качество данных, синхронизация и жизненный цикл</w:t>
            </w:r>
          </w:p>
        </w:tc>
      </w:tr>
      <w:tr>
        <w:trPr>
          <w:cantSplit/>
        </w:trPr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Data Scientist</w:t>
            </w:r>
          </w:p>
        </w:tc>
        <w:tc>
          <w:tcPr>
            <w:tcW w:type="dxa" w:w="706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Baseline, выбор модели, протокол оценки, пороги</w:t>
            </w:r>
          </w:p>
        </w:tc>
      </w:tr>
      <w:tr>
        <w:trPr>
          <w:cantSplit/>
        </w:trPr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Software Architect</w:t>
            </w:r>
          </w:p>
        </w:tc>
        <w:tc>
          <w:tcPr>
            <w:tcW w:type="dxa" w:w="706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Компоненты, интерфейсы, отказоустойчивость</w:t>
            </w:r>
          </w:p>
        </w:tc>
      </w:tr>
      <w:tr>
        <w:trPr>
          <w:cantSplit/>
        </w:trPr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Data Architect</w:t>
            </w:r>
          </w:p>
        </w:tc>
        <w:tc>
          <w:tcPr>
            <w:tcW w:type="dxa" w:w="706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ER-модель, разделение хранилищ, целостность и доступ</w:t>
            </w:r>
          </w:p>
        </w:tc>
      </w:tr>
    </w:tbl>
    <w:p>
      <w:pPr>
        <w:spacing w:after="0"/>
      </w:pPr>
    </w:p>
    <w:p>
      <w:pPr>
        <w:pStyle w:val="Heading2"/>
      </w:pPr>
      <w:r>
        <w:t>1.2 Бизнес-требования и ограничения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4"/>
        <w:gridCol w:w="4542"/>
        <w:gridCol w:w="3028"/>
      </w:tblGrid>
      <w:tr>
        <w:trPr>
          <w:cantSplit/>
          <w:tblHeader/>
        </w:trPr>
        <w:tc>
          <w:tcPr>
            <w:tcW w:type="dxa" w:w="2524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4542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Требование</w:t>
            </w:r>
          </w:p>
        </w:tc>
        <w:tc>
          <w:tcPr>
            <w:tcW w:type="dxa" w:w="3028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Проверка при приёмке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БТ-01</w:t>
            </w:r>
          </w:p>
        </w:tc>
        <w:tc>
          <w:tcPr>
            <w:tcW w:type="dxa" w:w="454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Уменьшить время обслуживания сотрудника</w:t>
            </w:r>
          </w:p>
        </w:tc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Медиана не выше 70% AS-IS на сопоставимых сменах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БТ-02</w:t>
            </w:r>
          </w:p>
        </w:tc>
        <w:tc>
          <w:tcPr>
            <w:tcW w:type="dxa" w:w="454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Не допускать вход по чужой или отозванной учётной записи</w:t>
            </w:r>
          </w:p>
        </w:tc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Отдельные проверки неизвестных лиц, отзыва прав и атак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БТ-03</w:t>
            </w:r>
          </w:p>
        </w:tc>
        <w:tc>
          <w:tcPr>
            <w:tcW w:type="dxa" w:w="454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Сохранить проход без биометрии</w:t>
            </w:r>
          </w:p>
        </w:tc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Пропуск и проверка охранником доступны весь рабочий период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БТ-04</w:t>
            </w:r>
          </w:p>
        </w:tc>
        <w:tc>
          <w:tcPr>
            <w:tcW w:type="dxa" w:w="454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Обслуживать 5000 сотрудников на 10 КПП</w:t>
            </w:r>
          </w:p>
        </w:tc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Нагрузочное испытание полной галереи и всех узлов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БТ-05</w:t>
            </w:r>
          </w:p>
        </w:tc>
        <w:tc>
          <w:tcPr>
            <w:tcW w:type="dxa" w:w="454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Объяснять каждое решение</w:t>
            </w:r>
          </w:p>
        </w:tc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Причина, версии модели и правил, результат СКУД в журнале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БТ-06</w:t>
            </w:r>
          </w:p>
        </w:tc>
        <w:tc>
          <w:tcPr>
            <w:tcW w:type="dxa" w:w="454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Управлять биометрией и отзывом согласия</w:t>
            </w:r>
          </w:p>
        </w:tc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Блокировка обработки, подтверждения удаления с узлов</w:t>
            </w:r>
          </w:p>
        </w:tc>
      </w:tr>
    </w:tbl>
    <w:p>
      <w:pPr>
        <w:spacing w:after="0"/>
      </w:pPr>
    </w:p>
    <w:p>
      <w:r>
        <w:t>Функциональные требования:</w:t>
      </w:r>
    </w:p>
    <w:p>
      <w:pPr>
        <w:pStyle w:val="ListBullet"/>
      </w:pPr>
      <w:r>
        <w:rPr>
          <w:b/>
        </w:rPr>
        <w:t>ФТ-01:</w:t>
      </w:r>
      <w:r>
        <w:t xml:space="preserve"> регистрировать сотрудника после подтверждения личности и основания обработки; получать 3 качественных эталонных изображения в разные моменты.</w:t>
      </w:r>
    </w:p>
    <w:p>
      <w:pPr>
        <w:pStyle w:val="ListBullet"/>
      </w:pPr>
      <w:r>
        <w:rPr>
          <w:b/>
        </w:rPr>
        <w:t>ФТ-02:</w:t>
      </w:r>
      <w:r>
        <w:t xml:space="preserve"> проверять наличие ровно одного лица, качество кадра и живое присутствие, выполнять поиск 1:N с возможностью ответа «не найден».</w:t>
      </w:r>
    </w:p>
    <w:p>
      <w:pPr>
        <w:pStyle w:val="ListBullet"/>
      </w:pPr>
      <w:r>
        <w:rPr>
          <w:b/>
        </w:rPr>
        <w:t>ФТ-03:</w:t>
      </w:r>
      <w:r>
        <w:t xml:space="preserve"> проверять активность сотрудника, разрешение конкретного КПП, расписание, срок действия прав и свежесть локальной политики.</w:t>
      </w:r>
    </w:p>
    <w:p>
      <w:pPr>
        <w:pStyle w:val="ListBullet"/>
      </w:pPr>
      <w:r>
        <w:rPr>
          <w:b/>
        </w:rPr>
        <w:t>ФТ-04:</w:t>
      </w:r>
      <w:r>
        <w:t xml:space="preserve"> выдавать одно из решений ALLOW, DENY, MANUAL; после ALLOW отдельно получать подтверждение исполнения от контроллера.</w:t>
      </w:r>
    </w:p>
    <w:p>
      <w:pPr>
        <w:pStyle w:val="ListBullet"/>
      </w:pPr>
      <w:r>
        <w:rPr>
          <w:b/>
        </w:rPr>
        <w:t>ФТ-05:</w:t>
      </w:r>
      <w:r>
        <w:t xml:space="preserve"> регистрировать попытку, фактический проход и ручное решение раздельно; повтор команды не должен повторно открывать турникет.</w:t>
      </w:r>
    </w:p>
    <w:p>
      <w:pPr>
        <w:pStyle w:val="ListBullet"/>
      </w:pPr>
      <w:r>
        <w:rPr>
          <w:b/>
        </w:rPr>
        <w:t>ФТ-06:</w:t>
      </w:r>
      <w:r>
        <w:t xml:space="preserve"> доставлять на КПП совместимые версии модели, галереи и правил; отзывать права и удалять шаблоны.</w:t>
      </w:r>
    </w:p>
    <w:p>
      <w:pPr>
        <w:pStyle w:val="ListBullet"/>
      </w:pPr>
      <w:r>
        <w:rPr>
          <w:b/>
        </w:rPr>
        <w:t>ФТ-07:</w:t>
      </w:r>
      <w:r>
        <w:t xml:space="preserve"> показывать охраннику причину исключения; администратору — здоровье узлов; аналитику — агрегированные показатели.</w:t>
      </w:r>
    </w:p>
    <w:p>
      <w:r>
        <w:t xml:space="preserve">Нефункциональные требования </w:t>
      </w:r>
      <w:r>
        <w:rPr>
          <w:b/>
        </w:rPr>
        <w:t>НФТ-01–НФТ-06</w:t>
      </w:r>
      <w:r>
        <w:t>: p95 решения до 1 с; p95 обслуживания до 3 с без ожидания в очереди; 2 попытки/с на КПП в нагрузочном тесте; месячная доступность автоматического пути на каждом КПП 99,5%; шифрование и разграничение доступа; воспроизводимость решения по версиям и журналу. Точки измерения приведены в разделе 4.3.</w:t>
      </w:r>
    </w:p>
    <w:p>
      <w:r>
        <w:t>Ограничения: территория одной организации, штатные сотрудники, контролируемая зона съёмки, отсутствие массового видеонаблюдения. Гости, распознавание в толпе и дисциплинарные выводы по лицу не входят в MVP. Покрытие лица обязательными СИЗ не устраняется ради удобства модели: используется альтернативный проход.</w:t>
      </w:r>
    </w:p>
    <w:p>
      <w:r>
        <w:rPr>
          <w:b/>
        </w:rPr>
        <w:t>Правовая граница проекта.</w:t>
      </w:r>
      <w:r>
        <w:t xml:space="preserve"> Локальный поиск 1:N ниже — техническая учебная модель. Для внедрения в РФ одного согласия недостаточно: режим автоматической биометрической идентификации на КПП необходимо проверить по 152-ФЗ и 572-ФЗ. Статья 13 последнего регулирует проход на территории организаций, а статья 15 ограничивает обработку вне ЕБС. Поэтому автоматическое открытие на реальном объекте допускается только после определения применимого правового режима. Если требуется ЕБС, локальный идентификатор заменяется адаптером разрешённого решения, а хранение и показатели пересматриваются. Теневой пилот также требует законного основания обработки. </w:t>
      </w:r>
      <w:hyperlink r:id="rId11">
        <w:r>
          <w:rPr>
            <w:color w:val="23567C"/>
          </w:rPr>
          <w:t>152-ФЗ, ст. 11</w:t>
        </w:r>
      </w:hyperlink>
      <w:r>
        <w:t xml:space="preserve">, </w:t>
      </w:r>
      <w:hyperlink r:id="rId12">
        <w:r>
          <w:rPr>
            <w:color w:val="23567C"/>
          </w:rPr>
          <w:t>572-ФЗ, ст. 13</w:t>
        </w:r>
      </w:hyperlink>
      <w:r>
        <w:t xml:space="preserve">, </w:t>
      </w:r>
      <w:hyperlink r:id="rId13">
        <w:r>
          <w:rPr>
            <w:color w:val="23567C"/>
          </w:rPr>
          <w:t>ст. 15</w:t>
        </w:r>
      </w:hyperlink>
      <w:r>
        <w:t>.</w:t>
      </w:r>
    </w:p>
    <w:p>
      <w:r>
        <w:t>Пилот проходит на двух КПП: сначала измерение AS-IS, затем теневое вычисление без команд турникету, затем ограниченный режим с подтверждением охранника. К самостоятельному открытию переходят только после выполнения технических, правовых и организационных критериев. Ошибка идентификации не является автоматическим основанием для санкций в отношении сотрудника.</w:t>
      </w:r>
    </w:p>
    <w:p>
      <w:pPr>
        <w:pStyle w:val="Heading2"/>
      </w:pPr>
      <w:r>
        <w:t>1.3 Границы MVP и технический долг</w:t>
      </w:r>
    </w:p>
    <w:p>
      <w:r>
        <w:t>В MVP входят БТ-01–БТ-06 в масштабе двух КПП, регистрация сотрудников, лицензированный экстрактор признаков, точный поиск по галерее, PAD, правила допуска, ручной маршрут, версии и аудит. До пилота обязательны отзыв прав, защита биометрии, тест неизвестных лиц, защита команд от повторения и подтверждение законности обработки.</w:t>
      </w:r>
    </w:p>
    <w:p>
      <w:r>
        <w:t>В технический долг вынесены автоматизированное развёртывание сразу на 10 КПП, расширенные панели аналитики, обучение своей модели при подтверждённой потребности, адаптация к новым камерам, автоматизация расследования деградации. Эти пункты не включают критические меры безопасности. Поддержка гостей и нескольких предприятий — отдельные будущие итерации.</w:t>
      </w:r>
    </w:p>
    <w:p>
      <w:r>
        <w:t xml:space="preserve">Результатом разработки MVP должны стать контейнерные сборки с фиксированными зависимостями, конфигурации порогов, подписанные манифесты моделей и набор проверок. Для воспроизводимости фиксируются хеши весов, seed эксперимента, версия датасета, список разбиения по людям и сессиям, preprocessing, пороги и оборудование. В данной работе эти артефакты </w:t>
      </w:r>
      <w:r>
        <w:rPr>
          <w:b/>
        </w:rPr>
        <w:t>спроектированы</w:t>
      </w:r>
      <w:r>
        <w:t>, но приложение и веса не создаются.</w:t>
      </w:r>
    </w:p>
    <w:p>
      <w:pPr>
        <w:pStyle w:val="Heading2"/>
      </w:pPr>
      <w:r>
        <w:t>1.4 Предпосылки и процессы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7066"/>
      </w:tblGrid>
      <w:tr>
        <w:trPr>
          <w:cantSplit/>
          <w:tblHeader/>
        </w:trPr>
        <w:tc>
          <w:tcPr>
            <w:tcW w:type="dxa" w:w="3028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7066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Значение и статус</w:t>
            </w:r>
          </w:p>
        </w:tc>
      </w:tr>
      <w:tr>
        <w:trPr>
          <w:cantSplit/>
        </w:trPr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Сотрудники и КПП</w:t>
            </w:r>
          </w:p>
        </w:tc>
        <w:tc>
          <w:tcPr>
            <w:tcW w:type="dxa" w:w="706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Около 5000 и 10, факты кейса</w:t>
            </w:r>
          </w:p>
        </w:tc>
      </w:tr>
      <w:tr>
        <w:trPr>
          <w:cantSplit/>
        </w:trPr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Поток</w:t>
            </w:r>
          </w:p>
        </w:tc>
        <w:tc>
          <w:tcPr>
            <w:tcW w:type="dxa" w:w="706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2 прохода на сотрудника в сутки, допущение: 10 000 попыток без повторов</w:t>
            </w:r>
          </w:p>
        </w:tc>
      </w:tr>
      <w:tr>
        <w:trPr>
          <w:cantSplit/>
        </w:trPr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Час пик</w:t>
            </w:r>
          </w:p>
        </w:tc>
        <w:tc>
          <w:tcPr>
            <w:tcW w:type="dxa" w:w="706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3500 приходов за 30 минут, допущение для расчёта</w:t>
            </w:r>
          </w:p>
        </w:tc>
      </w:tr>
      <w:tr>
        <w:trPr>
          <w:cantSplit/>
        </w:trPr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Галерея</w:t>
            </w:r>
          </w:p>
        </w:tc>
        <w:tc>
          <w:tcPr>
            <w:tcW w:type="dxa" w:w="706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До 3 шаблонов на сотрудника, 15 000 векторов по 512 float32</w:t>
            </w:r>
          </w:p>
        </w:tc>
      </w:tr>
      <w:tr>
        <w:trPr>
          <w:cantSplit/>
        </w:trPr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Съёмка</w:t>
            </w:r>
          </w:p>
        </w:tc>
        <w:tc>
          <w:tcPr>
            <w:tcW w:type="dxa" w:w="706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Один человек перед RGB+IR/глубинной камерой, проверяется на обследовании</w:t>
            </w:r>
          </w:p>
        </w:tc>
      </w:tr>
      <w:tr>
        <w:trPr>
          <w:cantSplit/>
        </w:trPr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Актуальность прав</w:t>
            </w:r>
          </w:p>
        </w:tc>
        <w:tc>
          <w:tcPr>
            <w:tcW w:type="dxa" w:w="706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Подтверждённая версия не старше 60 с, проектный предел</w:t>
            </w:r>
          </w:p>
        </w:tc>
      </w:tr>
      <w:tr>
        <w:trPr>
          <w:cantSplit/>
        </w:trPr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Период пилота</w:t>
            </w:r>
          </w:p>
        </w:tc>
        <w:tc>
          <w:tcPr>
            <w:tcW w:type="dxa" w:w="706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8 недель работ, календарный план зависит от готовности данных</w:t>
            </w:r>
          </w:p>
        </w:tc>
      </w:tr>
    </w:tbl>
    <w:p>
      <w:pPr>
        <w:spacing w:after="0"/>
      </w:pPr>
    </w:p>
    <w:p>
      <w:r>
        <w:rPr>
          <w:b/>
        </w:rPr>
        <w:t>AS-IS:</w:t>
      </w:r>
      <w:r>
        <w:t xml:space="preserve"> предъявить пропуск → получить профиль и права → охранник визуально сравнивает лицо → разрешить или отказать → зарегистрировать проход. Проблемы: ручное сравнение каждой попытки, неодинаковая скорость, ограниченная измеримость ошибок.</w:t>
      </w:r>
    </w:p>
    <w:p>
      <w:pPr>
        <w:pStyle w:val="Caption"/>
      </w:pPr>
      <w:r>
        <w:t>Рисунок 1 — IDEF0 AS-IS (приложение А).</w:t>
      </w:r>
    </w:p>
    <w:p>
      <w:hyperlink r:id="rId14">
        <w:r>
          <w:rPr>
            <w:color w:val="23567C"/>
          </w:rPr>
          <w:t>Описание AS-IS и правила чтения IDEF0</w:t>
        </w:r>
      </w:hyperlink>
      <w:r>
        <w:t>.</w:t>
      </w:r>
    </w:p>
    <w:p>
      <w:r>
        <w:rPr>
          <w:b/>
        </w:rPr>
        <w:t>TO-BE:</w:t>
      </w:r>
      <w:r>
        <w:t xml:space="preserve"> получить допустимый кадр и проверить PAD → идентифицировать сотрудника → проверить права и принять решение → исполнить команду и зафиксировать факт. При низком качестве, неоднозначном совпадении или техническом сбое сотрудник направляется к охраннику. При явном запрете доступа система выдаёт DENY; охранник может лишь инициировать предусмотренную процедуру проверки, а не отменить запрет одной кнопкой.</w:t>
      </w:r>
    </w:p>
    <w:p>
      <w:pPr>
        <w:pStyle w:val="Caption"/>
      </w:pPr>
      <w:r>
        <w:t>Рисунок 2 — IDEF0 TO-BE (приложение А).</w:t>
      </w:r>
    </w:p>
    <w:p>
      <w:hyperlink r:id="rId15">
        <w:r>
          <w:rPr>
            <w:color w:val="23567C"/>
          </w:rPr>
          <w:t>Описание TO-BE и изменения процесса</w:t>
        </w:r>
      </w:hyperlink>
      <w:r>
        <w:t>.</w:t>
      </w:r>
    </w:p>
    <w:p>
      <w:pPr>
        <w:pStyle w:val="Heading1"/>
      </w:pPr>
      <w:r>
        <w:t>2 Методология</w:t>
      </w:r>
    </w:p>
    <w:p>
      <w:pPr>
        <w:pStyle w:val="Heading2"/>
      </w:pPr>
      <w:r>
        <w:t>2.1 Постановка ML-задачи</w:t>
      </w:r>
    </w:p>
    <w:p>
      <w:r>
        <w:t xml:space="preserve">Задача — </w:t>
      </w:r>
      <w:r>
        <w:rPr>
          <w:b/>
        </w:rPr>
        <w:t>идентификация открытого множества 1:N</w:t>
      </w:r>
      <w:r>
        <w:t>: для изображения определить сотрудника среди зарегистрированных либо вернуть неизвестное лицо. Это отличается от верификации 1:1, когда предъявленный пропуск заранее задаёт одну личность. Второй независимый ML-блок — PAD, то есть обнаружение предъявления фотографии, экрана или другой подделки.</w:t>
      </w:r>
    </w:p>
    <w:p>
      <w:r>
        <w:t xml:space="preserve">Предлагается предварительно обученный экстрактор представлений семейства ArcFace и L2-нормированные 512-мерные векторы. ArcFace задаёт способ обучения различимых представлений лиц; конкретные веса и их пригодность выбираются экспериментально. </w:t>
      </w:r>
      <w:hyperlink r:id="rId16">
        <w:r>
          <w:rPr>
            <w:color w:val="23567C"/>
          </w:rPr>
          <w:t>Исходная статья ArcFace</w:t>
        </w:r>
      </w:hyperlink>
      <w:r>
        <w:t>.</w:t>
      </w:r>
    </w:p>
    <w:p>
      <w:r>
        <w:t xml:space="preserve">Для запроса q и шаблонов сотрудника e вычисляется </w:t>
      </w:r>
      <w:r>
        <w:rPr>
          <w:rFonts w:ascii="Consolas" w:hAnsi="Consolas"/>
          <w:sz w:val="18"/>
        </w:rPr>
        <w:t>score(e) = max(q · t)</w:t>
      </w:r>
      <w:r>
        <w:t xml:space="preserve"> по его активным шаблонам. Кандидаты ранжируются </w:t>
      </w:r>
      <w:r>
        <w:rPr>
          <w:b/>
        </w:rPr>
        <w:t>по сотрудникам</w:t>
      </w:r>
      <w:r>
        <w:t xml:space="preserve">, поэтому три шаблона одного человека не занимают три места в top-2. Кандидат принимается, если </w:t>
      </w:r>
      <w:r>
        <w:rPr>
          <w:rFonts w:ascii="Consolas" w:hAnsi="Consolas"/>
          <w:sz w:val="18"/>
        </w:rPr>
        <w:t>score1 &gt;= tau</w:t>
      </w:r>
      <w:r>
        <w:t xml:space="preserve"> и </w:t>
      </w:r>
      <w:r>
        <w:rPr>
          <w:rFonts w:ascii="Consolas" w:hAnsi="Consolas"/>
          <w:sz w:val="18"/>
        </w:rPr>
        <w:t>score1 - score2 &gt;= delta</w:t>
      </w:r>
      <w:r>
        <w:t>. Иначе результат — MANUAL. Порог tau и отступ delta выбираются на валидации; численное значение без данных не назначается. Сходство не трактуется как вероятность.</w:t>
      </w:r>
    </w:p>
    <w:p>
      <w:r>
        <w:t>Точный перебор 15 000 векторов выбран вместо приближённого поиска: объём мал, а исключение случайного пропуска кандидата упрощает оценку безопасности. Замена версии экстрактора требует пересчёта всей галереи; смешивать векторы разных моделей нельзя. Автоматическое дообучение на результатах самой модели запрещено из-за риска накопления ложных меток.</w:t>
      </w:r>
    </w:p>
    <w:p>
      <w:pPr>
        <w:pStyle w:val="Heading2"/>
      </w:pPr>
      <w:r>
        <w:t>2.2 Блок-схемы baseline и MVP</w:t>
      </w:r>
    </w:p>
    <w:p>
      <w:r>
        <w:rPr>
          <w:b/>
        </w:rPr>
        <w:t>Бизнес-baseline</w:t>
      </w:r>
      <w:r>
        <w:t xml:space="preserve"> — действующий пропуск и визуальная проверка. </w:t>
      </w:r>
      <w:r>
        <w:rPr>
          <w:b/>
        </w:rPr>
        <w:t>ML-baseline</w:t>
      </w:r>
      <w:r>
        <w:t xml:space="preserve"> — один эталон на сотрудника, фиксированный экстрактор, точный поиск 1:N и один порог. Он измеряется только офлайн/в тени и не управляет турникетом: без PAD и правил допуска оценка сходства недостаточна для реального входа.</w:t>
      </w:r>
    </w:p>
    <w:p>
      <w:pPr>
        <w:pStyle w:val="Caption"/>
      </w:pPr>
      <w:r>
        <w:t>Рисунок 3 — ML-baseline (приложение А).</w:t>
      </w:r>
    </w:p>
    <w:p>
      <w:r>
        <w:t>MVP использует до трёх эталонов, контроль качества, PAD, отступ между top-1 и top-2, действующие права и журнал с подтверждением СКУД. Обе системы сравниваются на одном замороженном тесте, включая неизвестных людей и сложные условия. Дополнительные блоки принимаются только при измеримой пользе.</w:t>
      </w:r>
    </w:p>
    <w:p>
      <w:pPr>
        <w:pStyle w:val="Caption"/>
      </w:pPr>
      <w:r>
        <w:t>Рисунок 4 — Алгоритм MVP (приложение А).</w:t>
      </w:r>
    </w:p>
    <w:p>
      <w:pPr>
        <w:pStyle w:val="Heading2"/>
      </w:pPr>
      <w:r>
        <w:t>2.3 Этапы решения задачи</w:t>
      </w:r>
    </w:p>
    <w:p>
      <w:pPr>
        <w:pStyle w:val="Heading3"/>
      </w:pPr>
      <w:r>
        <w:t>Этап 1 Подготовка данных и EDA</w:t>
      </w:r>
    </w:p>
    <w:p>
      <w:r>
        <w:t>Нельзя решить задачу без эталонов с подтверждённой личностью, независимых контрольных съёмок, актуальных прав доступа и разрешённого основания обработки. Для оценки отказа необходимы лица, отсутствующие в галерее; для оценки PAD — контролируемые предъявления атак. Данные сотрудников не выгружаются в публичные сервисы или GitHub.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4"/>
        <w:gridCol w:w="3331"/>
        <w:gridCol w:w="2524"/>
        <w:gridCol w:w="1716"/>
      </w:tblGrid>
      <w:tr>
        <w:trPr>
          <w:cantSplit/>
          <w:tblHeader/>
        </w:trPr>
        <w:tc>
          <w:tcPr>
            <w:tcW w:type="dxa" w:w="2524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Данные для целевых переменных</w:t>
            </w:r>
          </w:p>
        </w:tc>
        <w:tc>
          <w:tcPr>
            <w:tcW w:type="dxa" w:w="3331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Источник и наличие</w:t>
            </w:r>
          </w:p>
        </w:tc>
        <w:tc>
          <w:tcPr>
            <w:tcW w:type="dxa" w:w="2524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Ресурс получения</w:t>
            </w:r>
          </w:p>
        </w:tc>
        <w:tc>
          <w:tcPr>
            <w:tcW w:type="dxa" w:w="1716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Качество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employee_id или UNKNOWN</w:t>
            </w:r>
          </w:p>
        </w:tc>
        <w:tc>
          <w:tcPr>
            <w:tcW w:type="dxa" w:w="333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Кадровый реестр; доступ не предоставлен</w:t>
            </w:r>
          </w:p>
        </w:tc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Кадровик и DE, проверка документов</w:t>
            </w:r>
          </w:p>
        </w:tc>
        <w:tc>
          <w:tcPr>
            <w:tcW w:type="dxa" w:w="171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Не проверено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bona_fide / attack и тип атаки</w:t>
            </w:r>
          </w:p>
        </w:tc>
        <w:tc>
          <w:tcPr>
            <w:tcW w:type="dxa" w:w="333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Контролируемые испытания; нужно собрать</w:t>
            </w:r>
          </w:p>
        </w:tc>
        <w:tc>
          <w:tcPr>
            <w:tcW w:type="dxa" w:w="252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DS и служба безопасности</w:t>
            </w:r>
          </w:p>
        </w:tc>
        <w:tc>
          <w:tcPr>
            <w:tcW w:type="dxa" w:w="171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Не проверено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Правомерный ALLOW / DENY</w:t>
            </w:r>
          </w:p>
        </w:tc>
        <w:tc>
          <w:tcPr>
            <w:tcW w:type="dxa" w:w="333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Права СКУД и независимый разбор</w:t>
            </w:r>
          </w:p>
        </w:tc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Владелец СКУД и охрана</w:t>
            </w:r>
          </w:p>
        </w:tc>
        <w:tc>
          <w:tcPr>
            <w:tcW w:type="dxa" w:w="171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Не проверено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Время обслуживания и факт прохода</w:t>
            </w:r>
          </w:p>
        </w:tc>
        <w:tc>
          <w:tcPr>
            <w:tcW w:type="dxa" w:w="333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Журнал КПП; выгрузка не предоставлена</w:t>
            </w:r>
          </w:p>
        </w:tc>
        <w:tc>
          <w:tcPr>
            <w:tcW w:type="dxa" w:w="252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DE и руководитель охраны</w:t>
            </w:r>
          </w:p>
        </w:tc>
        <w:tc>
          <w:tcPr>
            <w:tcW w:type="dxa" w:w="171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Не проверено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4"/>
        <w:gridCol w:w="3331"/>
        <w:gridCol w:w="2524"/>
        <w:gridCol w:w="1716"/>
      </w:tblGrid>
      <w:tr>
        <w:trPr>
          <w:cantSplit/>
          <w:tblHeader/>
        </w:trPr>
        <w:tc>
          <w:tcPr>
            <w:tcW w:type="dxa" w:w="2524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Признаки и служебные данные</w:t>
            </w:r>
          </w:p>
        </w:tc>
        <w:tc>
          <w:tcPr>
            <w:tcW w:type="dxa" w:w="3331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Источник и наличие</w:t>
            </w:r>
          </w:p>
        </w:tc>
        <w:tc>
          <w:tcPr>
            <w:tcW w:type="dxa" w:w="2524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Ресурс получения</w:t>
            </w:r>
          </w:p>
        </w:tc>
        <w:tc>
          <w:tcPr>
            <w:tcW w:type="dxa" w:w="1716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Качество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Эталонные фото, метки сессий</w:t>
            </w:r>
          </w:p>
        </w:tc>
        <w:tc>
          <w:tcPr>
            <w:tcW w:type="dxa" w:w="333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Профили из кейса; пригодность неизвестна</w:t>
            </w:r>
          </w:p>
        </w:tc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Оператор регистрации, DE</w:t>
            </w:r>
          </w:p>
        </w:tc>
        <w:tc>
          <w:tcPr>
            <w:tcW w:type="dxa" w:w="171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Нужна повторная съёмка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Независимые RGB и IR/глубина</w:t>
            </w:r>
          </w:p>
        </w:tc>
        <w:tc>
          <w:tcPr>
            <w:tcW w:type="dxa" w:w="333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Камеры пилотных КПП; требуется обследование</w:t>
            </w:r>
          </w:p>
        </w:tc>
        <w:tc>
          <w:tcPr>
            <w:tcW w:type="dxa" w:w="252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Инженер СКУД, DS</w:t>
            </w:r>
          </w:p>
        </w:tc>
        <w:tc>
          <w:tcPr>
            <w:tcW w:type="dxa" w:w="171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Не проверено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Поза, резкость, засветка, число лиц</w:t>
            </w:r>
          </w:p>
        </w:tc>
        <w:tc>
          <w:tcPr>
            <w:tcW w:type="dxa" w:w="333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Вычисляются из кадров</w:t>
            </w:r>
          </w:p>
        </w:tc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DS</w:t>
            </w:r>
          </w:p>
        </w:tc>
        <w:tc>
          <w:tcPr>
            <w:tcW w:type="dxa" w:w="171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Пороги после EDA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КПП, время, версия камеры</w:t>
            </w:r>
          </w:p>
        </w:tc>
        <w:tc>
          <w:tcPr>
            <w:tcW w:type="dxa" w:w="3331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Метаданные съёмки</w:t>
            </w:r>
          </w:p>
        </w:tc>
        <w:tc>
          <w:tcPr>
            <w:tcW w:type="dxa" w:w="252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DE</w:t>
            </w:r>
          </w:p>
        </w:tc>
        <w:tc>
          <w:tcPr>
            <w:tcW w:type="dxa" w:w="171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Проверить часы и полноту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Согласия, статусы, интервалы прав</w:t>
            </w:r>
          </w:p>
        </w:tc>
        <w:tc>
          <w:tcPr>
            <w:tcW w:type="dxa" w:w="333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Кадровая система и СКУД</w:t>
            </w:r>
          </w:p>
        </w:tc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Ответственный за ПДн, DE</w:t>
            </w:r>
          </w:p>
        </w:tc>
        <w:tc>
          <w:tcPr>
            <w:tcW w:type="dxa" w:w="171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Проверить актуальность</w:t>
            </w:r>
          </w:p>
        </w:tc>
      </w:tr>
    </w:tbl>
    <w:p>
      <w:pPr>
        <w:spacing w:after="0"/>
      </w:pPr>
    </w:p>
    <w:p>
      <w:r>
        <w:t>План EDA: проверить дубли и ошибочные employee_id; распределения качества по КПП и сменам; долю закрытых лиц, очков и касок; давность эталонов; долю повторных кадров из одного видео; согласованность времени; доступность IR. Дубликаты удаляются до разбиения. ФИО, должность и номер пропуска не используются как признаки распознавания лица. При слабом качестве источника результат этапа — план повторной регистрации, а не неподтверждённая метрика.</w:t>
      </w:r>
    </w:p>
    <w:p>
      <w:r>
        <w:t>Выход этапа: паспорт источников, протокол оснований обработки, версия набора, перечень дефектов, согласованный план сбора и manifest разбиений. Переход к экспериментам возможен после подтверждения меток и отсутствия пересечений кадров.</w:t>
      </w:r>
    </w:p>
    <w:p>
      <w:pPr>
        <w:pStyle w:val="Heading3"/>
      </w:pPr>
      <w:r>
        <w:t>Этап 2 Разбиение и ML-baseline</w:t>
      </w:r>
    </w:p>
    <w:p>
      <w:r>
        <w:t>Предобученный экстрактор в первой итерации заморожен: локальная выборка не используется для обучения его весов. План калибровки — 1000 сотрудников, итогового теста — 4000 других сотрудников. Для каждого контрольного человека регистрационная сессия отделена по времени от запросов. В каждом эксперименте галерея включает всех 5000 разрешённых сотрудников, чтобы нагрузка ложных совпадений соответствовала deployment; изображения запросов в галерею не попадают. Присутствие регистрационных шаблонов тестовых людей необходимо для задачи enrolled identification и не означает обучение на тестовых запросах.</w:t>
      </w:r>
    </w:p>
    <w:p>
      <w:r>
        <w:t>Запросы UNKNOWN собираются у отдельных добровольцев, отсутствующих в галерее; люди калибровочной и тестовой UNKNOWN-групп не пересекаются. Числа — план, а не наличие данных. Если состав не собран, испытание признаётся недостаточным. Один видеоролик не разбивается на train и test, соседние кадры не считаются независимыми наблюдениями.</w:t>
      </w:r>
    </w:p>
    <w:p>
      <w:r>
        <w:t>Baseline использует один эталон и tau, выбранный по валидации. На выходе — таблица FPIR/FNIR при рабочем пороге, задержки и разбор ошибок. Для будущего дообучения создаётся отдельная training-группа людей, не пересекающаяся с validation/test; повторное использование итогового теста для настройки требует новой закрытой выборки.</w:t>
      </w:r>
    </w:p>
    <w:p>
      <w:pPr>
        <w:pStyle w:val="Heading3"/>
      </w:pPr>
      <w:r>
        <w:t>Этап 3 Основной MVP и интерпретация</w:t>
      </w:r>
    </w:p>
    <w:p>
      <w:r>
        <w:t>Сначала тестируются контроль качества и три эталона, затем PAD, затем delta. Для каждого изменения проводится ablation: сравнение с предыдущим вариантом при одинаковом ограничении FPIR. Распознавание обрабатывает нормированное лицо, PAD — оригинальные кадры и доступные IR/глубинные признаки, чтобы preprocessing распознавания не удалял признаки подделки.</w:t>
      </w:r>
    </w:p>
    <w:p>
      <w:r>
        <w:t xml:space="preserve">Порог PAD настраивается по раздельным типам атак; усреднение по всем атакам может скрыть слабую защиту от конкретного носителя. План испытаний включает печатное фото, фото на экране, видеоповтор и доступные маски. PAD не решает проблему прохода вслед за другим человеком: нужны датчики турникета и охрана. Подмена цифрового потока камеры проверяется отдельно как атака на интерфейс, а не только как presentation attack. </w:t>
      </w:r>
      <w:hyperlink r:id="rId17">
        <w:r>
          <w:rPr>
            <w:color w:val="23567C"/>
          </w:rPr>
          <w:t>NIST о PAD</w:t>
        </w:r>
      </w:hyperlink>
      <w:r>
        <w:t>.</w:t>
      </w:r>
    </w:p>
    <w:p>
      <w:r>
        <w:t>Охранник получает код причины: LOW_QUALITY, PAD_FAILED, NO_MATCH, AMBIGUOUS, RIGHTS_DENIED, STALE_POLICY, DEVICE_ERROR. Ему не показывается фиктивный «процент уверенности». Эффект каждого блока проверяют DS и владелец процесса: сокращение ручных проверок допустимо только при выполнении ограничений ложного допуска.</w:t>
      </w:r>
    </w:p>
    <w:p>
      <w:pPr>
        <w:pStyle w:val="Heading3"/>
      </w:pPr>
      <w:r>
        <w:t>Этап 4 Метрики и критерии качества</w:t>
      </w:r>
    </w:p>
    <w:p>
      <w:r>
        <w:t xml:space="preserve">Для 1:N основными являются FPIR и FNIR, а не accuracy на закрытом наборе из известных сотрудников. FPIR измеряется на поиске по всей галерее. Парный FMR из задачи 1:1 нельзя подставлять вместо него. Определения и зависимость от размера галереи отражены в </w:t>
      </w:r>
      <w:hyperlink r:id="rId18">
        <w:r>
          <w:rPr>
            <w:color w:val="23567C"/>
          </w:rPr>
          <w:t>NIST FRTE 1:N</w:t>
        </w:r>
      </w:hyperlink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4"/>
        <w:gridCol w:w="4542"/>
        <w:gridCol w:w="3028"/>
      </w:tblGrid>
      <w:tr>
        <w:trPr>
          <w:cantSplit/>
          <w:tblHeader/>
        </w:trPr>
        <w:tc>
          <w:tcPr>
            <w:tcW w:type="dxa" w:w="2524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Метрика</w:t>
            </w:r>
          </w:p>
        </w:tc>
        <w:tc>
          <w:tcPr>
            <w:tcW w:type="dxa" w:w="4542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Определение и цель</w:t>
            </w:r>
          </w:p>
        </w:tc>
        <w:tc>
          <w:tcPr>
            <w:tcW w:type="dxa" w:w="3028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Связь с бизнесом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FPIR</w:t>
            </w:r>
          </w:p>
        </w:tc>
        <w:tc>
          <w:tcPr>
            <w:tcW w:type="dxa" w:w="454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Доля UNKNOWN-запросов с принятым кандидатом; верхняя односторонняя 95% граница ≤ 0,001</w:t>
            </w:r>
          </w:p>
        </w:tc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Риск принять незарегистрированного человека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FNIR rank-1</w:t>
            </w:r>
          </w:p>
        </w:tc>
        <w:tc>
          <w:tcPr>
            <w:tcW w:type="dxa" w:w="454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Доля запросов известных лиц, где истинная личность не принята на первом месте; ≤ 2%</w:t>
            </w:r>
          </w:p>
        </w:tc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Повторные попытки и ручные проверки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Wrong-ID</w:t>
            </w:r>
          </w:p>
        </w:tc>
        <w:tc>
          <w:tcPr>
            <w:tcW w:type="dxa" w:w="454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Доля известных запросов с принятием другого сотрудника; верхняя 95% граница ≤ 0,001</w:t>
            </w:r>
          </w:p>
        </w:tc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Чужие права могут быть опаснее отказа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APCER</w:t>
            </w:r>
          </w:p>
        </w:tc>
        <w:tc>
          <w:tcPr>
            <w:tcW w:type="dxa" w:w="454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Пропущенные PAD атаки / все атаки данного типа; верхняя 95% граница ≤ 1% для каждого испытанного типа</w:t>
            </w:r>
          </w:p>
        </w:tc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Устойчивость к фото и видеоповтору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BPCER</w:t>
            </w:r>
          </w:p>
        </w:tc>
        <w:tc>
          <w:tcPr>
            <w:tcW w:type="dxa" w:w="454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Ошибочные PAD-отказы / bona fide предъявления; ≤ 3%</w:t>
            </w:r>
          </w:p>
        </w:tc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Дополнительная очередь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Доля MANUAL</w:t>
            </w:r>
          </w:p>
        </w:tc>
        <w:tc>
          <w:tcPr>
            <w:tcW w:type="dxa" w:w="454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MANUAL / попытки согласившихся сотрудников, включая сбои и плохие кадры; ≤ 5%</w:t>
            </w:r>
          </w:p>
        </w:tc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Нагрузка охраны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Время обслуживания</w:t>
            </w:r>
          </w:p>
        </w:tc>
        <w:tc>
          <w:tcPr>
            <w:tcW w:type="dxa" w:w="454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От начала взаимодействия до открытия или направления к охране; медиана ≤ 70% AS-IS, p95 ≤ 3 с</w:t>
            </w:r>
          </w:p>
        </w:tc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Скорость прохода</w:t>
            </w:r>
          </w:p>
        </w:tc>
      </w:tr>
    </w:tbl>
    <w:p>
      <w:pPr>
        <w:spacing w:after="0"/>
      </w:pPr>
    </w:p>
    <w:p>
      <w:r>
        <w:t xml:space="preserve">Качество распознавания публикуется на технически пригодных запросах вместе с долей отбраковки. Сквозные показатели учитывают </w:t>
      </w:r>
      <w:r>
        <w:rPr>
          <w:b/>
        </w:rPr>
        <w:t>все</w:t>
      </w:r>
      <w:r>
        <w:t xml:space="preserve"> попытки: плохие кадры нельзя исключить, чтобы искусственно улучшить результат. FNIR включает неверную личность; Wrong-ID выделяет опасную часть ошибок. FPIR, PAD и проверка прав оцениваются отдельно и в составе системы: их вероятности нельзя просто перемножить без доказательства независимости.</w:t>
      </w:r>
    </w:p>
    <w:p>
      <w:r>
        <w:t xml:space="preserve">Чтобы ноль ошибок давал одностороннюю верхнюю 95% границу 0,001, требуется не менее 2995 независимых испытаний: </w:t>
      </w:r>
      <w:r>
        <w:rPr>
          <w:rFonts w:ascii="Consolas" w:hAnsi="Consolas"/>
          <w:sz w:val="18"/>
        </w:rPr>
        <w:t>1 - 0.05^(1/n) &lt;= 0.001</w:t>
      </w:r>
      <w:r>
        <w:t>. Для границы 1% — 299. Это нижняя оценка при нуле ошибок и независимости, а не гарантия достаточности сбора. Повторы одного человека коррелированы; поэтому дополнительно строятся интервалы кластерным bootstrap по людям и сессиям, сохраняется описание состава выборки. Для ненулевых ошибок применяются точные биномиальные интервалы и анализ кластеризации. Нельзя заявлять подтверждённый FPIR по миллионам зависимых пар из десятка фотографий.</w:t>
      </w:r>
    </w:p>
    <w:p>
      <w:r>
        <w:t xml:space="preserve">При 10 000 попытках в сутки порог FPIR 0,001 </w:t>
      </w:r>
      <w:r>
        <w:rPr>
          <w:b/>
        </w:rPr>
        <w:t>не означает</w:t>
      </w:r>
      <w:r>
        <w:t xml:space="preserve"> «не более 10 реальных нарушителей в день»: FPIR относится к UNKNOWN-предъявлениям и не измеряет поток атак. Значение служит учебным входным критерием пилота; допустимый остаточный риск для конкретного предприятия определяет служба безопасности. Для объекта с высокими последствиями требуется второй фактор и более строгий протокол.</w:t>
      </w:r>
    </w:p>
    <w:p>
      <w:pPr>
        <w:pStyle w:val="Heading3"/>
      </w:pPr>
      <w:r>
        <w:t>Этап 5 Инференс и жизненный цикл модели</w:t>
      </w:r>
    </w:p>
    <w:p>
      <w:r>
        <w:t>Единица инференса — одна попытка прохода, связанная с session_id; допускается одна повторная съёмка, затем ручной маршрут. Идентификация запускается по событию, прогнозного горизонта нет. Галерея обновляется при регистрации или отзыве, права — по событиям с проверкой версии каждые 15 с. Политика считается просроченной через 60 с после последнего подтверждения.</w:t>
      </w:r>
    </w:p>
    <w:p>
      <w:r>
        <w:t xml:space="preserve">Кандидатные модели пересматриваются по результатам ежемесячного анализа и при устойчивой деградации, без обязательного ежемесячного обучения. Новая версия проходит закрытый тест, теневой запуск, один пилотный КПП и поэтапное развёртывание. Модель, галерея и пороги поставляются одним совместимым пакетом; переключение атомарное. При росте ошибок — откат пакета, при этом отозванные права и список удалений </w:t>
      </w:r>
      <w:r>
        <w:rPr>
          <w:b/>
        </w:rPr>
        <w:t>не откатываются</w:t>
      </w:r>
      <w:r>
        <w:t>.</w:t>
      </w:r>
    </w:p>
    <w:p>
      <w:pPr>
        <w:pStyle w:val="Heading1"/>
      </w:pPr>
      <w:r>
        <w:t>3 Подготовка пилота</w:t>
      </w:r>
    </w:p>
    <w:p>
      <w:pPr>
        <w:pStyle w:val="Heading2"/>
      </w:pPr>
      <w:r>
        <w:t>3.1 Способ оценки</w:t>
      </w:r>
    </w:p>
    <w:p>
      <w:r>
        <w:t>Проектный пилот включает 500 добровольно участвующих сотрудников на двух КПП, полный нагрузочный тест галереи 5000 человек и отдельный расширенный набор для статистической оценки ошибок. Небольшой операционный пилот не заменяет закрытое испытание редких ложных совпадений.</w:t>
      </w:r>
    </w:p>
    <w:p>
      <w:r>
        <w:t>Недели 1–2: обследование, правовая проверка, сбор эталонов и измерение AS-IS. Недели 3–4: EDA, baseline, калибровка, закрытый тест и отладка СКУД. Недели 5–6: теневой режим на двух КПП. Недели 7–8: режим с подтверждением охранника, а при прохождении всех ворот — ограниченное автоматическое открытие. При невыполнении условий этап продлевается, календарная дата не заменяет приёмку.</w:t>
      </w:r>
    </w:p>
    <w:p>
      <w:r>
        <w:t>Для бизнес-метрик используются сопоставимые блоки «КПП × смена × день недели». Порядок экспериментального и обычного режима чередуется; фиксируются число проходящих, доля СИЗ, освещение и длина очереди. До сравнения задаются основные метрики и правила исключений. Интервалы различий рассчитываются по блокам смен, а не по отдельным коррелированным кадрам. Служба безопасности независимо разбирает все ложные допуски и выборку обычных проходов. Небезопасные предъявления выполняются на испытательном стенде, без возможности физического входа.</w:t>
      </w:r>
    </w:p>
    <w:p>
      <w:pPr>
        <w:pStyle w:val="Heading2"/>
      </w:pPr>
      <w:r>
        <w:t>3.2 Критерии успешности и остановки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7066"/>
      </w:tblGrid>
      <w:tr>
        <w:trPr>
          <w:cantSplit/>
          <w:tblHeader/>
        </w:trPr>
        <w:tc>
          <w:tcPr>
            <w:tcW w:type="dxa" w:w="3028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Условие</w:t>
            </w:r>
          </w:p>
        </w:tc>
        <w:tc>
          <w:tcPr>
            <w:tcW w:type="dxa" w:w="7066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Решение</w:t>
            </w:r>
          </w:p>
        </w:tc>
      </w:tr>
      <w:tr>
        <w:trPr>
          <w:cantSplit/>
        </w:trPr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Выполнены ограничения ML из 2.3 и достаточно данных для интервалов</w:t>
            </w:r>
          </w:p>
        </w:tc>
        <w:tc>
          <w:tcPr>
            <w:tcW w:type="dxa" w:w="706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Допустить следующий технический этап</w:t>
            </w:r>
          </w:p>
        </w:tc>
      </w:tr>
      <w:tr>
        <w:trPr>
          <w:cantSplit/>
        </w:trPr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Медиана обслуживания снижена ≥ 30%, p95 ≤ 3 с, очередь p95 не выросла</w:t>
            </w:r>
          </w:p>
        </w:tc>
        <w:tc>
          <w:tcPr>
            <w:tcW w:type="dxa" w:w="706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Бизнес-эффект подтверждён в условиях пилота</w:t>
            </w:r>
          </w:p>
        </w:tc>
      </w:tr>
      <w:tr>
        <w:trPr>
          <w:cantSplit/>
        </w:trPr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MANUAL ≤ 5%; доступен альтернативный проход</w:t>
            </w:r>
          </w:p>
        </w:tc>
        <w:tc>
          <w:tcPr>
            <w:tcW w:type="dxa" w:w="706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Нагрузка охраны приемлема</w:t>
            </w:r>
          </w:p>
        </w:tc>
      </w:tr>
      <w:tr>
        <w:trPr>
          <w:cantSplit/>
        </w:trPr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Нет несанкционированных открытий, выполнены отзыв прав и тесты отказов</w:t>
            </w:r>
          </w:p>
        </w:tc>
        <w:tc>
          <w:tcPr>
            <w:tcW w:type="dxa" w:w="706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Пройден критерий операционной безопасности</w:t>
            </w:r>
          </w:p>
        </w:tc>
      </w:tr>
      <w:tr>
        <w:trPr>
          <w:cantSplit/>
        </w:trPr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Подтверждены правовой режим, лицензии, регламенты и обучение охраны</w:t>
            </w:r>
          </w:p>
        </w:tc>
        <w:tc>
          <w:tcPr>
            <w:tcW w:type="dxa" w:w="706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Возможен переход к production-планированию</w:t>
            </w:r>
          </w:p>
        </w:tc>
      </w:tr>
    </w:tbl>
    <w:p>
      <w:pPr>
        <w:spacing w:after="0"/>
      </w:pPr>
    </w:p>
    <w:p>
      <w:r>
        <w:t>Событие несанкционированного открытия, утечка, неподтверждённый отзыв прав или обход PAD немедленно останавливает автоматическое открытие. Проблемный узел переходит на обычный проход; выполняются расследование, исправление и повторная проверка. Если данных недостаточно для доверительной границы, итог — «критерий не подтверждён», а не «система точна».</w:t>
      </w:r>
    </w:p>
    <w:p>
      <w:r>
        <w:t>Итог пилота: подписанный протокол с числителями и знаменателями метрик, интервалами, версиями, составом групп и ограничениями; решение GO, REWORK или STOP. Нулевое число инцидентов в коротком пилоте не доказывает нулевого риска.</w:t>
      </w:r>
    </w:p>
    <w:p>
      <w:pPr>
        <w:pStyle w:val="Heading2"/>
      </w:pPr>
      <w:r>
        <w:t>3.3 Вычислительная подготовка</w:t>
      </w:r>
    </w:p>
    <w:p>
      <w:r>
        <w:t>Планируемый узел КПП: 4–8 CPU-ядер, 16 ГБ RAM, защищённое хранилище и ускоритель только по результатам теста. Не заявляется, что любой CPU обеспечит целевую задержку. Профилируются отдельно детекция, PAD, embedding, поиск, правила и подтверждение команды; проверяются холодный старт, перегрев и заполнение журнала.</w:t>
      </w:r>
    </w:p>
    <w:p>
      <w:r>
        <w:t xml:space="preserve">Галерея занимает </w:t>
      </w:r>
      <w:r>
        <w:rPr>
          <w:rFonts w:ascii="Consolas" w:hAnsi="Consolas"/>
          <w:sz w:val="18"/>
        </w:rPr>
        <w:t>5000 × 3 × 512 × 4 = 30 720 000 байт</w:t>
      </w:r>
      <w:r>
        <w:t>, около 29,3 MiB без метаданных. Поиск — 7,68 млн произведений компонент на запрос, около 15,36 млн на 2 запроса/с. Это расчёт поиска, не всей нейросетевой обработки. Лимит одной активной камеры на полосу, ограниченная очередь из двух ожидающих попыток и deadline 2 с защищают узел от накопления запросов. При превышении — MANUAL без позднего открытия.</w:t>
      </w:r>
    </w:p>
    <w:p>
      <w:r>
        <w:t>Из 3500 приходов за 1800 с получается 1,94 попытки/с по предприятию и 0,194 на КПП при равномерном распределении. При трёхкратной неравномерности — 0,583/с на загруженном КПП. Тестовый запас 2/с относится к вычислительной подсистеме. Физическая пропускная способность полос измеряется отдельно: цикл 3 с даёт лишь 0,333 человека/с, следовательно, в таком пике потребуются минимум две полосы на загруженном КПП либо изменение распределения потока. Число полос обследуется до закупки.</w:t>
      </w:r>
    </w:p>
    <w:p>
      <w:pPr>
        <w:pStyle w:val="Heading1"/>
      </w:pPr>
      <w:r>
        <w:t>4 Внедрение в production</w:t>
      </w:r>
    </w:p>
    <w:p>
      <w:pPr>
        <w:pStyle w:val="Heading2"/>
      </w:pPr>
      <w:r>
        <w:t>4.1 Архитектура решения и структура данных</w:t>
      </w:r>
    </w:p>
    <w:p>
      <w:pPr>
        <w:pStyle w:val="Caption"/>
      </w:pPr>
      <w:r>
        <w:t>Рисунок 5 — Распределённая архитектура (приложение А).</w:t>
      </w:r>
    </w:p>
    <w:p>
      <w:r>
        <w:t>На каждом КПП размещается edge-узел: получение кадров, PAD, embedding, точный поиск, правила и адаптер контроллера. Центральный контур управляет регистрацией, правами, моделями и аудитом. Кадры штатных проходов не пересылаются в центр; передаются события и версии. Вариант с ЕБС использует отдельный IdentityProvider и требует нового согласованного маршрута обработки; его задержки не приравниваются к локальному варианту.</w:t>
      </w:r>
    </w:p>
    <w:p>
      <w:r>
        <w:t>PostgreSQL хранит сотрудников, основания обработки, права, метаданные шаблонов, версии и события. Зашифрованное объектное хранилище содержит только разрешённые эталоны и артефакты моделей. Edge хранит шифрованную локальную галерею и outbox событий. Эти копии физически распределены по десяти КПП: нужны низкая задержка, ограничение передачи биометрии и устойчивость к кратким сетевым сбоям. Это распределённое хранение прикладных данных, а не обязательный шардированный кластер PostgreSQL.</w:t>
      </w:r>
    </w:p>
    <w:p>
      <w:pPr>
        <w:pStyle w:val="Caption"/>
      </w:pPr>
      <w:r>
        <w:t>Рисунок 6 — ER-модель (приложение А).</w:t>
      </w:r>
    </w:p>
    <w:p>
      <w:r>
        <w:t>В ER-модели Employee имеет несколько Consent, Template и AccessGrant. Grant связывает сотрудника с КПП и интервалом действия. Template связан с ModelVersion и основанием Consent. Event может не иметь employee_id у неизвестного лица, но всегда связан с КПП; событие сохраняет причины и версии решений. Decision является частью Event, а Passage подтверждается отдельным событием датчика/контроллера. Snapshot задаёт согласованный пакет галереи и политики; EdgeState фиксирует подтверждённую версию каждого КПП.</w:t>
      </w:r>
    </w:p>
    <w:p>
      <w:r>
        <w:t xml:space="preserve">Таблица </w:t>
      </w:r>
      <w:hyperlink r:id="rId19">
        <w:r>
          <w:rPr>
            <w:color w:val="23567C"/>
          </w:rPr>
          <w:t>словаря данных и ограничений</w:t>
        </w:r>
      </w:hyperlink>
      <w:r>
        <w:t xml:space="preserve"> дополняет диаграмму. Внешний ключ не заменяет проверку срока согласия или права. Для центрального журнала используется уникальный event_id; для edge — монотонный local_seq в пределах node_id и boot_id. Таблицы аудита партиционируются по месяцу только после подтверждения объёма.</w:t>
      </w:r>
    </w:p>
    <w:p>
      <w:pPr>
        <w:pStyle w:val="Caption"/>
      </w:pPr>
      <w:r>
        <w:t>Рисунок 7 — UML компонентов (приложение А).</w:t>
      </w:r>
    </w:p>
    <w:p>
      <w:pPr>
        <w:pStyle w:val="Caption"/>
      </w:pPr>
      <w:r>
        <w:t>Рисунок 8 — UML последовательности (приложение А).</w:t>
      </w:r>
    </w:p>
    <w:p>
      <w:pPr>
        <w:pStyle w:val="Heading2"/>
      </w:pPr>
      <w:r>
        <w:t>4.2 Инфраструктура и масштабируемость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4"/>
        <w:gridCol w:w="4542"/>
        <w:gridCol w:w="3028"/>
      </w:tblGrid>
      <w:tr>
        <w:trPr>
          <w:cantSplit/>
          <w:tblHeader/>
        </w:trPr>
        <w:tc>
          <w:tcPr>
            <w:tcW w:type="dxa" w:w="2524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Вариант</w:t>
            </w:r>
          </w:p>
        </w:tc>
        <w:tc>
          <w:tcPr>
            <w:tcW w:type="dxa" w:w="4542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Преимущество</w:t>
            </w:r>
          </w:p>
        </w:tc>
        <w:tc>
          <w:tcPr>
            <w:tcW w:type="dxa" w:w="3028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Недостаток и решение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Все вычисления в центре</w:t>
            </w:r>
          </w:p>
        </w:tc>
        <w:tc>
          <w:tcPr>
            <w:tcW w:type="dxa" w:w="454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Меньше узлов моделей</w:t>
            </w:r>
          </w:p>
        </w:tc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Передача кадров и зависимость прохода от сети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Edge и центральное управление</w:t>
            </w:r>
          </w:p>
        </w:tc>
        <w:tc>
          <w:tcPr>
            <w:tcW w:type="dxa" w:w="454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Локальная обработка, ограниченный поток данных</w:t>
            </w:r>
          </w:p>
        </w:tc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Требуются версии, удаление копий и контроль узлов; выбран как учебная архитектура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Внешний поставщик / ЕБС</w:t>
            </w:r>
          </w:p>
        </w:tc>
        <w:tc>
          <w:tcPr>
            <w:tcW w:type="dxa" w:w="454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Возможность выполнить обязательный режим обработки</w:t>
            </w:r>
          </w:p>
        </w:tc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Иные условия интеграции, стоимость и задержки; отдельное решение после правовой проверки</w:t>
            </w:r>
          </w:p>
        </w:tc>
      </w:tr>
    </w:tbl>
    <w:p>
      <w:pPr>
        <w:spacing w:after="0"/>
      </w:pPr>
    </w:p>
    <w:p>
      <w:r>
        <w:t>Для MVP достаточно двух edge-узлов, серверных виртуальных машин центрального приложения и PostgreSQL, внутреннего объектного хранилища и мониторинга. В production проектируются две реплики API за балансировщиком, PostgreSQL primary и standby с контролируемым переключением и резервное объектное хранилище. Kubernetes и Kafka не обязательны для 10 КПП: доставка событий через HTTPS batch и локальный outbox проще в эксплуатации.</w:t>
      </w:r>
    </w:p>
    <w:p>
      <w:r>
        <w:t>Событие сначала записывается локально на устойчивый носитель, затем отправляется с повтором и jitter. Центр подтверждает принятые event_id; повторная доставка идемпотентна. Разделение БД и отправки синхронизации выполняется через транзакционный outbox. Порядок кадров не определяется временем приёма в центре, используются локальная последовательность и синхронизированные часы.</w:t>
      </w:r>
    </w:p>
    <w:p>
      <w:r>
        <w:t>При потере связи автоматический режим разрешён лишь пока последняя подтверждённая политика моложе 60 с. После этого узел переходит в MANUAL, даже если локальная галерея доступна. Если отказал накопитель и нельзя записать аудит, автоматическое открытие также отключается. «Работа без сети» не означает бессрочное использование устаревших прав.</w:t>
      </w:r>
    </w:p>
    <w:p>
      <w:r>
        <w:t>Отзыв прав имеет приоритет: доставка события и подтверждение узлов, а узел без подтверждения свежести блокирует автоматический путь. Плановый срок удаления шаблона с работающих узлов — до 15 минут после принятия запроса; фактический правовой срок определяется основанием и регламентом. Отключённый узел до синхронизации не включается в автоматический режим. При восстановлении резервной копии сначала применяются реестр отзывов и удаления, затем разрешается поиск.</w:t>
      </w:r>
    </w:p>
    <w:p>
      <w:pPr>
        <w:pStyle w:val="Heading2"/>
      </w:pPr>
      <w:r>
        <w:t>4.3 Требования к работе системы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4"/>
        <w:gridCol w:w="4542"/>
        <w:gridCol w:w="3028"/>
      </w:tblGrid>
      <w:tr>
        <w:trPr>
          <w:cantSplit/>
          <w:tblHeader/>
        </w:trPr>
        <w:tc>
          <w:tcPr>
            <w:tcW w:type="dxa" w:w="2524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type="dxa" w:w="4542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Проектная цель</w:t>
            </w:r>
          </w:p>
        </w:tc>
        <w:tc>
          <w:tcPr>
            <w:tcW w:type="dxa" w:w="3028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Точка измерения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Decision latency</w:t>
            </w:r>
          </w:p>
        </w:tc>
        <w:tc>
          <w:tcPr>
            <w:tcW w:type="dxa" w:w="454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p95 ≤ 1 с, p99 ≤ 2 с</w:t>
            </w:r>
          </w:p>
        </w:tc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От окончания захвата кадров до ALLOW/DENY/MANUAL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Обслуживание</w:t>
            </w:r>
          </w:p>
        </w:tc>
        <w:tc>
          <w:tcPr>
            <w:tcW w:type="dxa" w:w="454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p95 ≤ 3 с</w:t>
            </w:r>
          </w:p>
        </w:tc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От начала взаимодействия до открытия/направления к охране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Throughput</w:t>
            </w:r>
          </w:p>
        </w:tc>
        <w:tc>
          <w:tcPr>
            <w:tcW w:type="dxa" w:w="454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2 попытки/с на КПП, 20/с на 10 КПП</w:t>
            </w:r>
          </w:p>
        </w:tc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Нагрузочный генератор, полная галерея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Автоматическая доступность</w:t>
            </w:r>
          </w:p>
        </w:tc>
        <w:tc>
          <w:tcPr>
            <w:tcW w:type="dxa" w:w="454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≥ 99,5% времени штатного режима каждого КПП в месяц</w:t>
            </w:r>
          </w:p>
        </w:tc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Heartbeat и синтетическая проверка без физического открытия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Центральный API</w:t>
            </w:r>
          </w:p>
        </w:tc>
        <w:tc>
          <w:tcPr>
            <w:tcW w:type="dxa" w:w="454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99,9% успешных валидных запросов, p95 ≤ 300 мс</w:t>
            </w:r>
          </w:p>
        </w:tc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Вход балансировщика, без тяжёлых загрузок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Свежесть прав</w:t>
            </w:r>
          </w:p>
        </w:tc>
        <w:tc>
          <w:tcPr>
            <w:tcW w:type="dxa" w:w="454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≤ 60 с</w:t>
            </w:r>
          </w:p>
        </w:tc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Возраст последнего подтверждения версии на edge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RPO / RTO центра</w:t>
            </w:r>
          </w:p>
        </w:tc>
        <w:tc>
          <w:tcPr>
            <w:tcW w:type="dxa" w:w="454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≤ 15 мин / ≤ 60 мин</w:t>
            </w:r>
          </w:p>
        </w:tc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Проверка восстановления БД и реестра отзывов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Доставка событий</w:t>
            </w:r>
          </w:p>
        </w:tc>
        <w:tc>
          <w:tcPr>
            <w:tcW w:type="dxa" w:w="454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p95 ≤ 10 с при рабочей сети</w:t>
            </w:r>
          </w:p>
        </w:tc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Локальная запись → центральное подтверждение</w:t>
            </w:r>
          </w:p>
        </w:tc>
      </w:tr>
    </w:tbl>
    <w:p>
      <w:pPr>
        <w:spacing w:after="0"/>
      </w:pPr>
    </w:p>
    <w:p>
      <w:r>
        <w:t>Это SLO — проектные целевые уровни, а не заключённое SLA. SLA согласуется после пилота вместе с часами обслуживания, ответственностью и исключениями. Отсутствие биометрического сервиса считается его недоступностью, даже если охрана продолжает пропускать людей. На 30 суток 99,5% допускает до 216 минут недоступности; 99,9% по запросам нельзя автоматически переводить в минуты.</w:t>
      </w:r>
    </w:p>
    <w:p>
      <w:r>
        <w:t>Для 10 000 событий/сутки по 2 КБ получается около 20 МБ/сутки и 7,3 ГБ/год исходного журнала. С индексами и накладными расходами ×3 — около 22 ГБ/год, без резервных копий. Локальный резерв на 7 суток при средней нагрузке одного КПП — 14 МБ, но выделяется 1 ГБ с порогом заполнения 80%. При аварийном запасе 2 события/с 1 ГБ хватит примерно на 2,9 суток; предупреждение должно сработать раньше. Это не срок хранения кадров: изображения штатных проходов не журналируются.</w:t>
      </w:r>
    </w:p>
    <w:p>
      <w:pPr>
        <w:pStyle w:val="Heading2"/>
      </w:pPr>
      <w:r>
        <w:t>4.4 Безопасность системы</w:t>
      </w:r>
    </w:p>
    <w:p>
      <w:r>
        <w:t>Камеры и контроллеры находятся в отдельном сетевом сегменте. Узлы и центральный API аутентифицируются взаимно, с ротацией сертификатов. Команда открытия содержит attempt_id, КПП, короткий срок действия и одноразовый nonce; контроллер проверяет источник и отклоняет повтор. ALLOW после истечения deadline не исполняется. Решение, команда, подтверждение контроллера и сигнал физического прохода — разные события.</w:t>
      </w:r>
    </w:p>
    <w:p>
      <w:r>
        <w:t>Пакет модели и галереи подписывается, проверяются хеши и совместимость. Обновления разворачиваются на одном КПП, затем расширяются. Правила доступа и реестр отзывов сохраняют актуальную версию при rollback ML. Администратор моделей не выдаёт права прохода; оператор регистрации не может стереть журнал; охранник не видит массовую выгрузку шаблонов. Привилегированные действия требуют MFA и аудита.</w:t>
      </w:r>
    </w:p>
    <w:p>
      <w:r>
        <w:t>Проверки до запуска: повтор команд, подмена камеры, смена employee_id в сообщении, два лица в кадре, просроченная политика, отказ диска, перегрев и отключение сети. Аварийная эвакуация управляется независимыми средствами пожарной безопасности: ML не блокирует выход и не заменяет сертифицированные аварийные цепи.</w:t>
      </w:r>
    </w:p>
    <w:p>
      <w:pPr>
        <w:pStyle w:val="Heading2"/>
      </w:pPr>
      <w:r>
        <w:t>4.5 Безопасность данных</w:t>
      </w:r>
    </w:p>
    <w:p>
      <w:r>
        <w:t xml:space="preserve">Изображения и шаблоны, применяемые для установления личности, рассматриваются как биометрические данные. Вектор не является анонимным только потому, что непохож на фотографию. Для предполагаемой обработки по согласию требуется письменная форма с учётом исключений закона; сохраняется альтернативный проход. Это следует из </w:t>
      </w:r>
      <w:hyperlink r:id="rId11">
        <w:r>
          <w:rPr>
            <w:color w:val="23567C"/>
          </w:rPr>
          <w:t>статьи 11 152-ФЗ</w:t>
        </w:r>
      </w:hyperlink>
      <w:r>
        <w:t>.</w:t>
      </w:r>
    </w:p>
    <w:p>
      <w:r>
        <w:t>Проектные правила минимизации: кадры обычного прохода остаются в RAM не более 5 с после решения; до трёх эталонов хранятся только при подтверждённом основании и необходимости; шаблоны действуют не дольше основания; события без изображения — до 365 дней; резервные копии — до 30 дней. Эти сроки являются предложением для локальной учебной модели и не заменяют обязательные требования режима ЕБС или конкретной организации.</w:t>
      </w:r>
    </w:p>
    <w:p>
      <w:r>
        <w:t>Данные шифруются при передаче и хранении, ключи отделены от копий БД. Запрещены биометрия в логах, публичные бакеты, реальные ФИО сотрудников в примерах API и перенос датасета в репозиторий. Удаление охватывает центральное хранилище, галереи edge, кэши и регламент резервных копий. Для резервных копий обеспечиваются изоляция от обычного использования, истечение срока и повторное применение удалений после восстановления; криптографическое уничтожение требует соответствующего управления ключами и не подменяется удалением строки БД.</w:t>
      </w:r>
    </w:p>
    <w:p>
      <w:r>
        <w:t>Поскольку юрисдикция предприятия в кейсе не задана, для российского внедрения оставлен обязательный этап анализа 572-ФЗ. Наличие охранника в пилоте само по себе не позволяет объявить автоматизированный ML-поиск исключением из закона. Применимость GDPR оценивается по фактической территории и субъектам; утверждение о соответствии всем законам без обследования не делается.</w:t>
      </w:r>
    </w:p>
    <w:p>
      <w:pPr>
        <w:pStyle w:val="Heading2"/>
      </w:pPr>
      <w:r>
        <w:t>4.6 Издержки</w:t>
      </w:r>
    </w:p>
    <w:p>
      <w:r>
        <w:t xml:space="preserve">Ниже — </w:t>
      </w:r>
      <w:r>
        <w:rPr>
          <w:b/>
        </w:rPr>
        <w:t>расчётный сценарий</w:t>
      </w:r>
      <w:r>
        <w:t>, а не рыночные цены, коммерческое предложение или утверждённая смета. Для сопоставимости принят срок амортизации 36 месяцев. Оплата труда охраны и существующие турникеты в расчёт не включены; экономия штата не предполагается.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4"/>
        <w:gridCol w:w="4542"/>
        <w:gridCol w:w="3028"/>
      </w:tblGrid>
      <w:tr>
        <w:trPr>
          <w:cantSplit/>
          <w:tblHeader/>
        </w:trPr>
        <w:tc>
          <w:tcPr>
            <w:tcW w:type="dxa" w:w="2524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Статья</w:t>
            </w:r>
          </w:p>
        </w:tc>
        <w:tc>
          <w:tcPr>
            <w:tcW w:type="dxa" w:w="4542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Условный расчёт</w:t>
            </w:r>
          </w:p>
        </w:tc>
        <w:tc>
          <w:tcPr>
            <w:tcW w:type="dxa" w:w="3028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Сумма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Камеры с IR/глубиной</w:t>
            </w:r>
          </w:p>
        </w:tc>
        <w:tc>
          <w:tcPr>
            <w:tcW w:type="dxa" w:w="454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10 × 70 000 руб.</w:t>
            </w:r>
          </w:p>
        </w:tc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700 000 руб.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Edge-узлы и защита</w:t>
            </w:r>
          </w:p>
        </w:tc>
        <w:tc>
          <w:tcPr>
            <w:tcW w:type="dxa" w:w="454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10 × 90 000 руб.</w:t>
            </w:r>
          </w:p>
        </w:tc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900 000 руб.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Центральный контур и резервирование</w:t>
            </w:r>
          </w:p>
        </w:tc>
        <w:tc>
          <w:tcPr>
            <w:tcW w:type="dxa" w:w="454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1 комплект × 400 000 руб.</w:t>
            </w:r>
          </w:p>
        </w:tc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400 000 руб.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Интеграция, монтаж, испытания</w:t>
            </w:r>
          </w:p>
        </w:tc>
        <w:tc>
          <w:tcPr>
            <w:tcW w:type="dxa" w:w="454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1 этап × 500 000 руб.</w:t>
            </w:r>
          </w:p>
        </w:tc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500 000 руб.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Итого разовые затраты</w:t>
            </w:r>
          </w:p>
        </w:tc>
        <w:tc>
          <w:tcPr>
            <w:tcW w:type="dxa" w:w="454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Без лицензии и расширения полос</w:t>
            </w:r>
          </w:p>
        </w:tc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2 500 000 руб.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Амортизация</w:t>
            </w:r>
          </w:p>
        </w:tc>
        <w:tc>
          <w:tcPr>
            <w:tcW w:type="dxa" w:w="454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2 500 000 / 36</w:t>
            </w:r>
          </w:p>
        </w:tc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69 444 руб./мес.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Сопровождение</w:t>
            </w:r>
          </w:p>
        </w:tc>
        <w:tc>
          <w:tcPr>
            <w:tcW w:type="dxa" w:w="454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40 ч × 1500 руб.</w:t>
            </w:r>
          </w:p>
        </w:tc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60 000 руб./мес.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Электропитание, копии, сеть</w:t>
            </w:r>
          </w:p>
        </w:tc>
        <w:tc>
          <w:tcPr>
            <w:tcW w:type="dxa" w:w="454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Условный резерв</w:t>
            </w:r>
          </w:p>
        </w:tc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10 000 руб./мес.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Лицензирование и обязательная интеграция</w:t>
            </w:r>
          </w:p>
        </w:tc>
        <w:tc>
          <w:tcPr>
            <w:tcW w:type="dxa" w:w="454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L, определяется предложением поставщика</w:t>
            </w:r>
          </w:p>
        </w:tc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L руб./мес.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Итого ежемесячно</w:t>
            </w:r>
          </w:p>
        </w:tc>
        <w:tc>
          <w:tcPr>
            <w:tcW w:type="dxa" w:w="454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69 444 + 60 000 + 10 000 + L</w:t>
            </w:r>
          </w:p>
        </w:tc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139 444 + L руб.</w:t>
            </w:r>
          </w:p>
        </w:tc>
      </w:tr>
    </w:tbl>
    <w:p>
      <w:pPr>
        <w:spacing w:after="0"/>
      </w:pPr>
    </w:p>
    <w:p>
      <w:r>
        <w:t xml:space="preserve">Стоимость дополнительных полос, ЕБС и правовой адаптации не скрыта в нулевой цене: до их оценки бюджет является неполным. Код InsightFace и доступные предобученные веса имеют разные условия; публичные веса заявлены для некоммерческого исследования, поэтому промышленное использование требует отдельной проверки лицензии. </w:t>
      </w:r>
      <w:hyperlink r:id="rId20">
        <w:r>
          <w:rPr>
            <w:color w:val="23567C"/>
          </w:rPr>
          <w:t>Лицензионная политика InsightFace</w:t>
        </w:r>
      </w:hyperlink>
      <w:r>
        <w:t>.</w:t>
      </w:r>
    </w:p>
    <w:p>
      <w:r>
        <w:t xml:space="preserve">Экономический результат рассчитывается после пилота: </w:t>
      </w:r>
      <w:r>
        <w:rPr>
          <w:rFonts w:ascii="Consolas" w:hAnsi="Consolas"/>
          <w:sz w:val="18"/>
        </w:rPr>
        <w:t>число проходов × сокращение времени / 3600 × стоимость часа + снижение подтверждённых потерь - ежемесячные затраты</w:t>
      </w:r>
      <w:r>
        <w:t>. Время ожидания работников и труд охраны считаются раздельно, чтобы не удваивать выгоду. Если окупаемость или безопасность не подтверждаются, допустимо оставить обычную СКУД.</w:t>
      </w:r>
    </w:p>
    <w:p>
      <w:pPr>
        <w:pStyle w:val="Heading2"/>
      </w:pPr>
      <w:r>
        <w:t>4.7 Точки интеграции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7066"/>
      </w:tblGrid>
      <w:tr>
        <w:trPr>
          <w:cantSplit/>
          <w:tblHeader/>
        </w:trPr>
        <w:tc>
          <w:tcPr>
            <w:tcW w:type="dxa" w:w="3028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Интерфейс</w:t>
            </w:r>
          </w:p>
        </w:tc>
        <w:tc>
          <w:tcPr>
            <w:tcW w:type="dxa" w:w="7066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Данные и правило</w:t>
            </w:r>
          </w:p>
        </w:tc>
      </w:tr>
      <w:tr>
        <w:trPr>
          <w:cantSplit/>
        </w:trPr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POST /v1/enrollments</w:t>
            </w:r>
          </w:p>
        </w:tc>
        <w:tc>
          <w:tcPr>
            <w:tcW w:type="dxa" w:w="706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employee_id, основание, защищённая загрузка; только оператор регистрации</w:t>
            </w:r>
          </w:p>
        </w:tc>
      </w:tr>
      <w:tr>
        <w:trPr>
          <w:cantSplit/>
        </w:trPr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POST /v1/attempts</w:t>
            </w:r>
          </w:p>
        </w:tc>
        <w:tc>
          <w:tcPr>
            <w:tcW w:type="dxa" w:w="706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Локальный session_id и ссылка на буфер камеры; внешний upload кадров запрещён</w:t>
            </w:r>
          </w:p>
        </w:tc>
      </w:tr>
      <w:tr>
        <w:trPr>
          <w:cantSplit/>
        </w:trPr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GET /v1/snapshots/current</w:t>
            </w:r>
          </w:p>
        </w:tc>
        <w:tc>
          <w:tcPr>
            <w:tcW w:type="dxa" w:w="706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manifest: model, gallery, policy, revocations, подпись; условный запрос по версии</w:t>
            </w:r>
          </w:p>
        </w:tc>
      </w:tr>
      <w:tr>
        <w:trPr>
          <w:cantSplit/>
        </w:trPr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POST /v1/events/batch</w:t>
            </w:r>
          </w:p>
        </w:tc>
        <w:tc>
          <w:tcPr>
            <w:tcW w:type="dxa" w:w="706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Список event_id и local_seq; повтор не создаёт дубликат</w:t>
            </w:r>
          </w:p>
        </w:tc>
      </w:tr>
      <w:tr>
        <w:trPr>
          <w:cantSplit/>
        </w:trPr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POST /v1/revocations</w:t>
            </w:r>
          </w:p>
        </w:tc>
        <w:tc>
          <w:tcPr>
            <w:tcW w:type="dxa" w:w="706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Отзыв прав/шаблонов, подтверждения каждого узла, журнал</w:t>
            </w:r>
          </w:p>
        </w:tc>
      </w:tr>
      <w:tr>
        <w:trPr>
          <w:cantSplit/>
        </w:trPr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Адаптер СКУД</w:t>
            </w:r>
          </w:p>
        </w:tc>
        <w:tc>
          <w:tcPr>
            <w:tcW w:type="dxa" w:w="706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open(attempt_id, gate_id, nonce, expires_at), ACK и отдельный passage_event</w:t>
            </w:r>
          </w:p>
        </w:tc>
      </w:tr>
      <w:tr>
        <w:trPr>
          <w:cantSplit/>
        </w:trPr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Кадровая система</w:t>
            </w:r>
          </w:p>
        </w:tc>
        <w:tc>
          <w:tcPr>
            <w:tcW w:type="dxa" w:w="706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Создание, изменение статуса, увольнение; идемпотентный event_id</w:t>
            </w:r>
          </w:p>
        </w:tc>
      </w:tr>
    </w:tbl>
    <w:p>
      <w:pPr>
        <w:spacing w:after="0"/>
      </w:pPr>
    </w:p>
    <w:p>
      <w:r>
        <w:t xml:space="preserve">Пример результата локального решения: </w:t>
      </w:r>
      <w:r>
        <w:rPr>
          <w:rFonts w:ascii="Consolas" w:hAnsi="Consolas"/>
          <w:sz w:val="18"/>
        </w:rPr>
        <w:t>attempt_id=demo-001; decision=MANUAL; reason=NO_MATCH; employee_id=null; model_version=m1; policy_version=p17</w:t>
      </w:r>
      <w:r>
        <w:t>. ALLOW требует доступной записи аудита, свежих прав и разрешённого режима работы. REST-контракты возвращают 400 для неверного запроса, 401/403 при отсутствии прав, 409 при конфликте версии, 503 при недоступности зависимости. Ошибка 503 не превращается в ALLOW. Открытие после неопределённого ACK не повторяется автоматически: состояние выясняется по attempt_id.</w:t>
      </w:r>
    </w:p>
    <w:p>
      <w:pPr>
        <w:pStyle w:val="Heading2"/>
      </w:pPr>
      <w:r>
        <w:t>4.8 Риски и меры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4"/>
        <w:gridCol w:w="4542"/>
        <w:gridCol w:w="3028"/>
      </w:tblGrid>
      <w:tr>
        <w:trPr>
          <w:cantSplit/>
          <w:tblHeader/>
        </w:trPr>
        <w:tc>
          <w:tcPr>
            <w:tcW w:type="dxa" w:w="2524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Риск</w:t>
            </w:r>
          </w:p>
        </w:tc>
        <w:tc>
          <w:tcPr>
            <w:tcW w:type="dxa" w:w="4542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Последствие</w:t>
            </w:r>
          </w:p>
        </w:tc>
        <w:tc>
          <w:tcPr>
            <w:tcW w:type="dxa" w:w="3028"/>
            <w:vAlign w:val="center"/>
            <w:shd w:fill="E7EEF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sz w:val="19"/>
              </w:rPr>
              <w:t>Мера и владелец роли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Неподходящий правовой режим</w:t>
            </w:r>
          </w:p>
        </w:tc>
        <w:tc>
          <w:tcPr>
            <w:tcW w:type="dxa" w:w="454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Невозможность внедрения локального поиска</w:t>
            </w:r>
          </w:p>
        </w:tc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Проверка до сбора, адаптер разрешённого решения; PO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Устаревшие фото и СИЗ</w:t>
            </w:r>
          </w:p>
        </w:tc>
        <w:tc>
          <w:tcPr>
            <w:tcW w:type="dxa" w:w="454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Рост FNIR и MANUAL</w:t>
            </w:r>
          </w:p>
        </w:tc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Перерегистрация, контролируемый свет, альтернативный проход; DS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Фото, экран, цифровая подмена</w:t>
            </w:r>
          </w:p>
        </w:tc>
        <w:tc>
          <w:tcPr>
            <w:tcW w:type="dxa" w:w="454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Чужой доступ</w:t>
            </w:r>
          </w:p>
        </w:tc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PAD по типам атак, защищённый канал камеры, испытания; архитектор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Неверные метки</w:t>
            </w:r>
          </w:p>
        </w:tc>
        <w:tc>
          <w:tcPr>
            <w:tcW w:type="dxa" w:w="454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Оптимистичная оценка качества</w:t>
            </w:r>
          </w:p>
        </w:tc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Проверка личности при регистрации, независимый аудит; DE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Утечка между выборками</w:t>
            </w:r>
          </w:p>
        </w:tc>
        <w:tc>
          <w:tcPr>
            <w:tcW w:type="dxa" w:w="454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Невоспроизводимый результат</w:t>
            </w:r>
          </w:p>
        </w:tc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Разбиение по людям и сессиям, замороженный тест; DS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Недостаток UNKNOWN и атак</w:t>
            </w:r>
          </w:p>
        </w:tc>
        <w:tc>
          <w:tcPr>
            <w:tcW w:type="dxa" w:w="454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Ложная уверенность в редкой ошибке</w:t>
            </w:r>
          </w:p>
        </w:tc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Интервалы и минимальная выборка; запрет GO без доказательств; DS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Потеря сети и устаревшие права</w:t>
            </w:r>
          </w:p>
        </w:tc>
        <w:tc>
          <w:tcPr>
            <w:tcW w:type="dxa" w:w="454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Проход уволенного сотрудника</w:t>
            </w:r>
          </w:p>
        </w:tc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TTL 60 с, MANUAL, приоритетный отзыв; архитектор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Утечка шаблонов</w:t>
            </w:r>
          </w:p>
        </w:tc>
        <w:tc>
          <w:tcPr>
            <w:tcW w:type="dxa" w:w="454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Длительный риск для работников</w:t>
            </w:r>
          </w:p>
        </w:tc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Минимизация, ключи, аудит, удаление копий; архитектор данных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Несовместимость модели и галереи</w:t>
            </w:r>
          </w:p>
        </w:tc>
        <w:tc>
          <w:tcPr>
            <w:tcW w:type="dxa" w:w="454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Массовые отказы</w:t>
            </w:r>
          </w:p>
        </w:tc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Подписанный пакет, атомарное переключение и откат; архитектор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Недостаток физических полос</w:t>
            </w:r>
          </w:p>
        </w:tc>
        <w:tc>
          <w:tcPr>
            <w:tcW w:type="dxa" w:w="454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Очереди при быстрой ML-модели</w:t>
            </w:r>
          </w:p>
        </w:tc>
        <w:tc>
          <w:tcPr>
            <w:tcW w:type="dxa" w:w="30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Замер потока, расчёт полос, нагрузочное испытание; PO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Неравномерное качество</w:t>
            </w:r>
          </w:p>
        </w:tc>
        <w:tc>
          <w:tcPr>
            <w:tcW w:type="dxa" w:w="454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Ошибки у отдельных групп и условий</w:t>
            </w:r>
          </w:p>
        </w:tc>
        <w:tc>
          <w:tcPr>
            <w:tcW w:type="dxa" w:w="30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sz w:val="19"/>
              </w:rPr>
              <w:t>Срезы по устройствам, сменам, СИЗ; добровольные демографические срезы только при законном основании; DS</w:t>
            </w:r>
          </w:p>
        </w:tc>
      </w:tr>
    </w:tbl>
    <w:p>
      <w:pPr>
        <w:spacing w:after="0"/>
      </w:pPr>
    </w:p>
    <w:p>
      <w:r>
        <w:t>Проект завершается комплектом согласованных моделей, требований и протоколов будущей проверки. Решение о внедрении принимается по результатам пилота, а не по наличию архитектурной схемы. При отказе от локальной биометрии требования к журналу, правам, альтернативному проходу и измерению очередей остаются применимыми.</w:t>
      </w:r>
    </w:p>
    <w:p>
      <w:pPr>
        <w:pStyle w:val="Heading1"/>
      </w:pPr>
      <w:r>
        <w:t>5 Источники</w:t>
      </w:r>
    </w:p>
    <w:p>
      <w:r>
        <w:t xml:space="preserve">1. </w:t>
      </w:r>
      <w:hyperlink r:id="rId21">
        <w:r>
          <w:rPr>
            <w:color w:val="23567C"/>
          </w:rPr>
          <w:t>Исходное проектное задание</w:t>
        </w:r>
      </w:hyperlink>
      <w:r>
        <w:t>, предоставлено пользователем: кейс №2, 5000 сотрудников, 10 КПП, перечень обязательных моделей.</w:t>
      </w:r>
    </w:p>
    <w:p>
      <w:r>
        <w:t xml:space="preserve">2. </w:t>
      </w:r>
      <w:hyperlink r:id="rId22">
        <w:r>
          <w:rPr>
            <w:color w:val="23567C"/>
          </w:rPr>
          <w:t>Предоставленный шаблон MLSD</w:t>
        </w:r>
      </w:hyperlink>
      <w:r>
        <w:t xml:space="preserve">, Reliable ML; </w:t>
      </w:r>
      <w:hyperlink r:id="rId23">
        <w:r>
          <w:rPr>
            <w:color w:val="23567C"/>
          </w:rPr>
          <w:t>репозиторий автора шаблона</w:t>
        </w:r>
      </w:hyperlink>
      <w:r>
        <w:t>. Использована структура разделов, текст проекта разработан для выбранного кейса.</w:t>
      </w:r>
    </w:p>
    <w:p>
      <w:r>
        <w:t xml:space="preserve">3. </w:t>
      </w:r>
      <w:hyperlink r:id="rId16">
        <w:r>
          <w:rPr>
            <w:color w:val="23567C"/>
          </w:rPr>
          <w:t>Deng et al. ArcFace, CVPR 2019</w:t>
        </w:r>
      </w:hyperlink>
      <w:r>
        <w:t>: метод обучения представлений лица.</w:t>
      </w:r>
    </w:p>
    <w:p>
      <w:r>
        <w:t xml:space="preserve">4. </w:t>
      </w:r>
      <w:hyperlink r:id="rId18">
        <w:r>
          <w:rPr>
            <w:color w:val="23567C"/>
          </w:rPr>
          <w:t>NIST FRTE 1:N</w:t>
        </w:r>
      </w:hyperlink>
      <w:r>
        <w:t>: постановка идентификации и метрики FPIR/FNIR. Значения чужих бенчмарков не используются как результаты проекта.</w:t>
      </w:r>
    </w:p>
    <w:p>
      <w:r>
        <w:t xml:space="preserve">5. </w:t>
      </w:r>
      <w:hyperlink r:id="rId17">
        <w:r>
          <w:rPr>
            <w:color w:val="23567C"/>
          </w:rPr>
          <w:t>NIST FATE Part 10, PAD</w:t>
        </w:r>
      </w:hyperlink>
      <w:r>
        <w:t>: отдельная оценка атак предъявления.</w:t>
      </w:r>
    </w:p>
    <w:p>
      <w:r>
        <w:t xml:space="preserve">6. </w:t>
      </w:r>
      <w:hyperlink r:id="rId20">
        <w:r>
          <w:rPr>
            <w:color w:val="23567C"/>
          </w:rPr>
          <w:t>InsightFace README</w:t>
        </w:r>
      </w:hyperlink>
      <w:r>
        <w:t>: различие лицензий кода и предобученных моделей.</w:t>
      </w:r>
    </w:p>
    <w:p>
      <w:r>
        <w:t xml:space="preserve">7. </w:t>
      </w:r>
      <w:hyperlink r:id="rId11">
        <w:r>
          <w:rPr>
            <w:color w:val="23567C"/>
          </w:rPr>
          <w:t>152-ФЗ, статья 11</w:t>
        </w:r>
      </w:hyperlink>
      <w:r>
        <w:t>: биометрические персональные данные.</w:t>
      </w:r>
    </w:p>
    <w:p>
      <w:r>
        <w:t xml:space="preserve">8. </w:t>
      </w:r>
      <w:hyperlink r:id="rId12">
        <w:r>
          <w:rPr>
            <w:color w:val="23567C"/>
          </w:rPr>
          <w:t>572-ФЗ, статья 13</w:t>
        </w:r>
      </w:hyperlink>
      <w:r>
        <w:t xml:space="preserve"> и </w:t>
      </w:r>
      <w:hyperlink r:id="rId13">
        <w:r>
          <w:rPr>
            <w:color w:val="23567C"/>
          </w:rPr>
          <w:t>статья 15</w:t>
        </w:r>
      </w:hyperlink>
      <w:r>
        <w:t>: правовые ограничения реального внедрения.</w:t>
      </w:r>
    </w:p>
    <w:p>
      <w:r>
        <w:t>Дата обращения к внешним источникам: 25.09.2026. Численные цели, инфраструктурные параметры и смета являются проектными решениями автора и не приписываются указанным источникам.</w:t>
      </w:r>
    </w:p>
    <w:p>
      <w:pPr>
        <w:sectPr>
          <w:footerReference w:type="default" r:id="rId9"/>
          <w:headerReference w:type="default" r:id="rId10"/>
          <w:pgSz w:w="11909" w:h="16834"/>
          <w:pgMar w:top="893" w:right="907" w:bottom="893" w:left="907" w:header="360" w:footer="360" w:gutter="0"/>
          <w:cols w:space="720"/>
          <w:docGrid w:linePitch="360"/>
        </w:sectPr>
      </w:pPr>
    </w:p>
    <w:p>
      <w:pPr>
        <w:pStyle w:val="Caption"/>
        <w:keepNext/>
        <w:jc w:val="center"/>
      </w:pPr>
      <w:r>
        <w:t>Приложение А  |  Рисунок 1 — IDEF0 AS-IS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537192" cy="5310481"/>
            <wp:docPr id="1" name="Picture 1" descr="Рисунок 1 — IDEF0 AS-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-i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537192" cy="5310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4" w:h="11909" w:orient="landscape"/>
          <w:pgMar w:top="893" w:right="907" w:bottom="893" w:left="907" w:header="360" w:footer="360" w:gutter="0"/>
          <w:cols w:space="720"/>
          <w:docGrid w:linePitch="360"/>
        </w:sectPr>
      </w:pPr>
    </w:p>
    <w:p>
      <w:pPr>
        <w:pStyle w:val="Caption"/>
        <w:keepNext/>
        <w:jc w:val="center"/>
      </w:pPr>
      <w:r>
        <w:t>Приложение А  |  Рисунок 2 — IDEF0 TO-BE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537192" cy="5310481"/>
            <wp:docPr id="2" name="Picture 2" descr="Рисунок 2 — IDEF0 TO-B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-b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537192" cy="5310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4" w:h="11909" w:orient="landscape"/>
          <w:pgMar w:top="893" w:right="907" w:bottom="893" w:left="907" w:header="360" w:footer="360" w:gutter="0"/>
          <w:cols w:space="720"/>
          <w:docGrid w:linePitch="360"/>
        </w:sectPr>
      </w:pPr>
    </w:p>
    <w:p>
      <w:pPr>
        <w:pStyle w:val="Caption"/>
        <w:keepNext/>
        <w:jc w:val="center"/>
      </w:pPr>
      <w:r>
        <w:t>Приложение А  |  Рисунок 3 — ML-baseline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260538" cy="8503920"/>
            <wp:docPr id="3" name="Picture 3" descr="Рисунок 3 — ML-base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60538" cy="8503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9" w:h="16834"/>
          <w:pgMar w:top="893" w:right="907" w:bottom="893" w:left="907" w:header="360" w:footer="360" w:gutter="0"/>
          <w:cols w:space="720"/>
          <w:docGrid w:linePitch="360"/>
        </w:sectPr>
      </w:pPr>
    </w:p>
    <w:p>
      <w:pPr>
        <w:pStyle w:val="Caption"/>
        <w:keepNext/>
        <w:jc w:val="center"/>
      </w:pPr>
      <w:r>
        <w:t>Приложение А  |  Рисунок 4 — Алгоритм MVP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191759" cy="13121639"/>
            <wp:docPr id="4" name="Picture 4" descr="Рисунок 4 — Алгоритм MV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91759" cy="13121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4" w:h="23818"/>
          <w:pgMar w:top="893" w:right="907" w:bottom="893" w:left="907" w:header="360" w:footer="360" w:gutter="0"/>
          <w:cols w:space="720"/>
          <w:docGrid w:linePitch="360"/>
        </w:sectPr>
      </w:pPr>
    </w:p>
    <w:p>
      <w:pPr>
        <w:pStyle w:val="Caption"/>
        <w:keepNext/>
        <w:jc w:val="center"/>
      </w:pPr>
      <w:r>
        <w:t>Приложение А  |  Рисунок 5 — Распределённая архитектура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3972032" cy="7912873"/>
            <wp:docPr id="5" name="Picture 5" descr="Рисунок 5 — Распределённая архитектур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972032" cy="7912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3818" w:h="16834" w:orient="landscape"/>
          <w:pgMar w:top="893" w:right="907" w:bottom="893" w:left="907" w:header="360" w:footer="360" w:gutter="0"/>
          <w:cols w:space="720"/>
          <w:docGrid w:linePitch="360"/>
        </w:sectPr>
      </w:pPr>
    </w:p>
    <w:p>
      <w:pPr>
        <w:pStyle w:val="Caption"/>
        <w:keepNext/>
        <w:jc w:val="center"/>
      </w:pPr>
      <w:r>
        <w:t>Приложение А  |  Рисунок 6 — ER-модель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0813805" cy="8686800"/>
            <wp:docPr id="6" name="Picture 6" descr="Рисунок 6 — ER-модел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813805" cy="868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3818" w:h="16834" w:orient="landscape"/>
          <w:pgMar w:top="893" w:right="907" w:bottom="893" w:left="907" w:header="360" w:footer="360" w:gutter="0"/>
          <w:cols w:space="720"/>
          <w:docGrid w:linePitch="360"/>
        </w:sectPr>
      </w:pPr>
    </w:p>
    <w:p>
      <w:pPr>
        <w:pStyle w:val="Caption"/>
        <w:keepNext/>
        <w:jc w:val="center"/>
      </w:pPr>
      <w:r>
        <w:t>Приложение А  |  Рисунок 7 — UML компонентов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3972032" cy="6225485"/>
            <wp:docPr id="7" name="Picture 7" descr="Рисунок 7 — UML компонент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972032" cy="6225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3818" w:h="16834" w:orient="landscape"/>
          <w:pgMar w:top="893" w:right="907" w:bottom="893" w:left="907" w:header="360" w:footer="360" w:gutter="0"/>
          <w:cols w:space="720"/>
          <w:docGrid w:linePitch="360"/>
        </w:sectPr>
      </w:pPr>
    </w:p>
    <w:p>
      <w:pPr>
        <w:pStyle w:val="Caption"/>
        <w:keepNext/>
        <w:jc w:val="center"/>
      </w:pPr>
      <w:r>
        <w:t>Приложение А  |  Рисунок 8 — UML последовательности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537192" cy="12533055"/>
            <wp:docPr id="8" name="Picture 8" descr="Рисунок 8 — UML последовательност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537192" cy="1253305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4" w:h="23818"/>
      <w:pgMar w:top="893" w:right="907" w:bottom="893" w:left="90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Контур доступа  |  Недиков М. О.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46464"/>
        <w:sz w:val="16"/>
      </w:rPr>
      <w:t>Проектное задание  •  Кейс №2  •  ML System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280"/>
      <w:contextualSpacing/>
    </w:pPr>
    <w:rPr>
      <w:rFonts w:asciiTheme="majorHAnsi" w:eastAsiaTheme="majorEastAsia" w:hAnsiTheme="majorHAnsi" w:cstheme="majorBidi" w:ascii="Arial" w:hAnsi="Arial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3C3C3C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yperlink" Target="https://www.consultant.ru/document/cons_doc_LAW_61801/7336c78762a98b5f4f698b8c3800dca1111acc16/" TargetMode="External"/><Relationship Id="rId12" Type="http://schemas.openxmlformats.org/officeDocument/2006/relationships/hyperlink" Target="https://www.consultant.ru/document/cons_doc_LAW_436110/2515e702fc69ef591c95397631659d4a631bd844/" TargetMode="External"/><Relationship Id="rId13" Type="http://schemas.openxmlformats.org/officeDocument/2006/relationships/hyperlink" Target="https://www.consultant.ru/document/cons_doc_LAW_436110/b599780118c89e6e1fba4fb8a98aa3e77fb72fcc/" TargetMode="External"/><Relationship Id="rId14" Type="http://schemas.openxmlformats.org/officeDocument/2006/relationships/hyperlink" Target="https://github.com/JusthackOne/PRIS-spring-2026/blob/project/ml-access-case2/docs/ml-access/diagrams/README.md#1-&#1087;&#1088;&#1086;&#1094;&#1077;&#1089;&#1089;-as-is" TargetMode="External"/><Relationship Id="rId15" Type="http://schemas.openxmlformats.org/officeDocument/2006/relationships/hyperlink" Target="https://github.com/JusthackOne/PRIS-spring-2026/blob/project/ml-access-case2/docs/ml-access/diagrams/README.md#2-&#1087;&#1088;&#1086;&#1094;&#1077;&#1089;&#1089;-to-be" TargetMode="External"/><Relationship Id="rId16" Type="http://schemas.openxmlformats.org/officeDocument/2006/relationships/hyperlink" Target="https://openaccess.thecvf.com/content_CVPR_2019/html/Deng_ArcFace_Additive_Angular_Margin_Loss_for_Deep_Face_Recognition_CVPR_2019_paper.html" TargetMode="External"/><Relationship Id="rId17" Type="http://schemas.openxmlformats.org/officeDocument/2006/relationships/hyperlink" Target="https://www.nist.gov/publications/face-analysis-technology-evaluation-fate-part-10-performance-passive-software-based" TargetMode="External"/><Relationship Id="rId18" Type="http://schemas.openxmlformats.org/officeDocument/2006/relationships/hyperlink" Target="https://pages.nist.gov/frvt/html/frvt1N.html" TargetMode="External"/><Relationship Id="rId19" Type="http://schemas.openxmlformats.org/officeDocument/2006/relationships/hyperlink" Target="https://github.com/JusthackOne/PRIS-spring-2026/blob/project/ml-access-case2/docs/ml-access/diagrams/README.md#3-&#1084;&#1086;&#1076;&#1077;&#1083;&#1100;-&#1076;&#1072;&#1085;&#1085;&#1099;&#1093;" TargetMode="External"/><Relationship Id="rId20" Type="http://schemas.openxmlformats.org/officeDocument/2006/relationships/hyperlink" Target="https://github.com/deepinsight/insightface/blob/master/README.md" TargetMode="External"/><Relationship Id="rId21" Type="http://schemas.openxmlformats.org/officeDocument/2006/relationships/hyperlink" Target="https://github.com/JusthackOne/PRIS-spring-2026/blob/project/ml-access-case2/docs/ml-access/sources/assignment.txt" TargetMode="External"/><Relationship Id="rId22" Type="http://schemas.openxmlformats.org/officeDocument/2006/relationships/hyperlink" Target="https://github.com/JusthackOne/PRIS-spring-2026/blob/project/ml-access-case2/docs/ml-access/sources/mlsd-template.md" TargetMode="External"/><Relationship Id="rId23" Type="http://schemas.openxmlformats.org/officeDocument/2006/relationships/hyperlink" Target="https://github.com/IrinaGoloshchapova/ml_system_design_doc_ru" TargetMode="External"/><Relationship Id="rId24" Type="http://schemas.openxmlformats.org/officeDocument/2006/relationships/image" Target="media/image1.png"/><Relationship Id="rId25" Type="http://schemas.openxmlformats.org/officeDocument/2006/relationships/image" Target="media/image2.png"/><Relationship Id="rId26" Type="http://schemas.openxmlformats.org/officeDocument/2006/relationships/image" Target="media/image3.png"/><Relationship Id="rId27" Type="http://schemas.openxmlformats.org/officeDocument/2006/relationships/image" Target="media/image4.png"/><Relationship Id="rId28" Type="http://schemas.openxmlformats.org/officeDocument/2006/relationships/image" Target="media/image5.png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Кейс №2 Идентификация сотрудников по лицу на проходных предприятия</dc:title>
  <dc:subject>Проектирование информационной системы с ML</dc:subject>
  <dc:creator>Недиков Михаил Олегович</dc:creator>
  <cp:keywords>MLSD, IDEF0, UML, идентификация, СКУД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