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CONFIDENTIAL</w:t>
      </w:r>
    </w:p>
    <w:p>
      <w:pPr>
        <w:spacing w:after="80"/>
        <w:jc w:val="center"/>
      </w:pPr>
      <w:r>
        <w:t xml:space="preserve">BUSINESS VALUATION REPORT</w:t>
      </w:r>
    </w:p>
    <w:p>
      <w:pPr>
        <w:spacing w:after="240"/>
        <w:jc w:val="center"/>
      </w:pPr>
      <w:r>
        <w:t xml:space="preserve">For Deceased Estate &amp; SARS Compliance Purposes</w:t>
      </w:r>
    </w:p>
    <w:p>
      <w:pPr>
        <w:spacing w:after="80"/>
        <w:jc w:val="center"/>
      </w:pPr>
      <w:r>
        <w:t xml:space="preserve">VALUATION OF</w:t>
      </w:r>
    </w:p>
    <w:p>
      <w:pPr>
        <w:spacing w:after="80"/>
        <w:jc w:val="center"/>
      </w:pPr>
      <w:r>
        <w:t xml:space="preserve">Khumalo Industrial Supplies (Pty) Ltd</w:t>
      </w:r>
    </w:p>
    <w:p>
      <w:pPr>
        <w:jc w:val="center"/>
      </w:pPr>
      <w:r>
        <w:t xml:space="preserve">Registration No. 2010/114477/07</w:t>
      </w:r>
    </w:p>
    <w:p>
      <w:pPr>
        <w:jc w:val="center"/>
      </w:pPr>
      <w:r>
        <w:t xml:space="preserve">Estate of the Late: Estate Late Lerato Khumalo</w:t>
      </w:r>
    </w:p>
    <w:p>
      <w:pPr>
        <w:jc w:val="center"/>
      </w:pPr>
      <w:r>
        <w:t xml:space="preserve">Estate Number: EST-GOLD-2026-0001</w:t>
      </w:r>
    </w:p>
    <w:p>
      <w:pPr>
        <w:jc w:val="center"/>
      </w:pPr>
      <w:r>
        <w:t xml:space="preserve">Prepared by: AME Business Accountants</w:t>
      </w:r>
    </w:p>
    <w:p>
      <w:pPr>
        <w:jc w:val="center"/>
      </w:pPr>
      <w:r>
        <w:t xml:space="preserve">Effective Valuation Date: 2026-01-19</w:t>
      </w:r>
    </w:p>
    <w:p>
      <w:pPr>
        <w:spacing w:after="240"/>
        <w:jc w:val="center"/>
      </w:pPr>
      <w:r>
        <w:t xml:space="preserve">Report Date: 2026-01-19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1. EXECUTIVE SUMMARY</w:t>
      </w:r>
    </w:p>
    <w:p>
      <w:r>
        <w:t xml:space="preserve">Three valuation methodologies were considered and reconciled to a rounded concluded value for the deceased's 80% equity interest.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Valuation Methodology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Indicated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Weighted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DISCOUNTED CASH FLOW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5 750 000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40,00%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2 300 000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MAINTAINABLE EARNINGS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1 890 000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ASSET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4 950 000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1 237 500</w:t>
            </w:r>
          </w:p>
        </w:tc>
      </w:tr>
    </w:tbl>
    <w:p>
      <w:pPr>
        <w:spacing w:after="120" w:before="120"/>
      </w:pPr>
      <w:r>
        <w:t xml:space="preserve">CONCLUDED FAIR MARKET VALUE OF 100% EQUITY INTEREST: R 5 400 000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2. PURPOSE, SCOPE AND MANDATE</w:t>
      </w:r>
    </w:p>
    <w:p>
      <w:pPr>
        <w:pStyle w:val="Heading3"/>
        <w:spacing w:after="80" w:before="180"/>
      </w:pPr>
      <w:r>
        <w:rPr>
          <w:b/>
          <w:bCs/>
        </w:rPr>
        <w:t xml:space="preserve">2.1 Engagement Mandate</w:t>
      </w:r>
    </w:p>
    <w:p>
      <w:r>
        <w:t xml:space="preserve">The executor engaged the valuer to determine the fair market value of the deceased's 80% shareholding in Khumalo Industrial Supplies (Pty) Ltd as at 19 January 2026 for estate administration, SARS compliance, and filing-pack support.</w:t>
      </w:r>
    </w:p>
    <w:p>
      <w:pPr>
        <w:pStyle w:val="Heading3"/>
        <w:spacing w:after="80" w:before="180"/>
      </w:pPr>
      <w:r>
        <w:rPr>
          <w:b/>
          <w:bCs/>
        </w:rPr>
        <w:t xml:space="preserve">2.2 Definition of Value</w:t>
      </w:r>
    </w:p>
    <w:p>
      <w:r>
        <w:t xml:space="preserve">The standard of value applied is fair market value, being the price a willing buyer would pay a willing seller, both reasonably informed and neither under compulsion.</w:t>
      </w:r>
    </w:p>
    <w:p>
      <w:pPr>
        <w:pStyle w:val="Heading3"/>
        <w:spacing w:after="80" w:before="180"/>
      </w:pPr>
      <w:r>
        <w:rPr>
          <w:b/>
          <w:bCs/>
        </w:rPr>
        <w:t xml:space="preserve">2.3 Sources of Information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Annual financial statements for FY2023 to FY2025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Management accounts to valuation date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asset register and inventory support schedules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Industry reports and estate working papers</w:t>
      </w:r>
    </w:p>
    <w:p>
      <w:pPr>
        <w:pStyle w:val="Heading3"/>
        <w:spacing w:after="80" w:before="180"/>
      </w:pPr>
      <w:r>
        <w:rPr>
          <w:b/>
          <w:bCs/>
        </w:rPr>
        <w:t xml:space="preserve">2.4 Limitations and Assumptions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valuation relies on records supplied by the executor and management.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allowance has been made for changes in legislation or trading conditions after the valuation date.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report is prepared for estate and SARS purposes and is not a fairness opinion.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3. COMPANY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Particular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Detail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Legal Name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Khumalo Industrial Supplies (Pty) Ltd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Registration Number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2010/114477/07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Tax Reference Number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9012345678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VAT Number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4012345678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Industry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Industrial supplies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Number of Employees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28</w:t>
            </w:r>
          </w:p>
        </w:tc>
      </w:tr>
    </w:tbl>
    <w:p>
      <w:pPr>
        <w:spacing w:before="120"/>
      </w:pPr>
      <w:r>
        <w:t xml:space="preserve">Khumalo Industrial Supplies (Pty) Ltd is an established owner-managed supplier of industrial consumables and plant support products with recurring customer relationships and identifiable earnings capacity.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4. ECONOMIC AND INDUSTRY CONTEXT</w:t>
      </w:r>
    </w:p>
    <w:p>
      <w:r>
        <w:t xml:space="preserve">The valuation considers South African macroeconomic conditions at the valuation date, including the interest-rate environment and the trading outlook for industrial suppliers.</w:t>
      </w:r>
    </w:p>
    <w:p>
      <w:r>
        <w:t xml:space="preserve">The industrial supplies sector was assessed with reference to demand stability, operating-margin resilience, and the marketability limitations attaching to private-company interests.</w:t>
      </w:r>
    </w:p>
    <w:p>
      <w:pPr>
        <w:pStyle w:val="Heading3"/>
        <w:spacing w:after="80" w:before="180"/>
      </w:pPr>
      <w:r>
        <w:rPr>
          <w:b/>
          <w:bCs/>
        </w:rPr>
        <w:t xml:space="preserve">4.1 Key Value Drivers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Recurring customer relationships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Working capital support and inventory depth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Established supplier positioning</w:t>
      </w:r>
    </w:p>
    <w:p>
      <w:pPr>
        <w:pStyle w:val="Heading3"/>
        <w:spacing w:after="80" w:before="180"/>
      </w:pPr>
      <w:r>
        <w:rPr>
          <w:b/>
          <w:bCs/>
        </w:rPr>
        <w:t xml:space="preserve">4.2 Key Risks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Owner-dependency risk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Margin pressure from imported products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Private-company marketability limitations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5. HISTORICAL FINANCIAL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R'000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FY2023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FY2024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FY2025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Revenue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14 800 000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16 250 000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17 900 000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Gross Profit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4 100 000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4 620 000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5 240 000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EBITDA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2 100 000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2 480 000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2 960 000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EBIT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2 230 000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2 670 000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Profit After Tax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1 560 000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1 885 000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Total Assets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7 800 000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8 450 000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9 180 000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Total Liabilities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2 350 000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2 260 000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2 110 000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6. VALUATION METHODOLOGY SELECTION</w:t>
      </w:r>
    </w:p>
    <w:p>
      <w:r>
        <w:t xml:space="preserve">DCF, maintainable earnings, and adjusted NAV were selected to triangulate value using both income-based and asset-based indicators relevant to this private trading business.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7. METHODOLOGY 1: DISCOUNTED CASH FLOW (DCF)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Component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Amount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Enterprise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7 100 000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WACC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20,19%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Adopted Terminal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13 415 000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Indicated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5 750 000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Year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FCFF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Discount Factor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Present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FY2026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2 006 500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0,8321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1 669 390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FY2027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2 159 400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0,6924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1 495 121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8. METHODOLOGY 2: CAPITALISATION OF MAINTAINABLE EARNINGS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Year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Reported NPAT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Adjustments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Owner Adj.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Normalised NPAT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FY2023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120 000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-80 000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1 320 000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1 560 000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-90 000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1 470 000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FY2025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1 885 000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60 000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-90 000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1 855 000</w:t>
            </w:r>
          </w:p>
        </w:tc>
      </w:tr>
    </w:tbl>
    <w:p>
      <w:r>
        <w:t xml:space="preserve">Selected multiple: 4,0</w:t>
      </w:r>
    </w:p>
    <w:p>
      <w:r>
        <w:t xml:space="preserve">Indicated value: R 5 400 000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9. METHODOLOGY 3: NET ASSET VALUE (ADJUSTED)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Category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Book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Adjustment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Fair Market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Property and equipment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2 650 000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850 000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3 500 000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Inventory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1 950 000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-150 000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Trade receivables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2 050 000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-250 000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Cash and equivalents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750 000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Interest-bearing debt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520 000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520 000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Trade payables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940 000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940 000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Deferred tax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390 000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390 000</w:t>
            </w:r>
          </w:p>
        </w:tc>
      </w:tr>
    </w:tbl>
    <w:p>
      <w:r>
        <w:t xml:space="preserve">Adjusted net asset value: R 4 950 000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10. VALUATION CONCLUSION AND RECONCILIATION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Valuation Methodology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Indicated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Weighted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DISCOUNTED CASH FLOW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5 750 000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40,00%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2 300 000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MAINTAINABLE EARNINGS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1 890 000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ASSET VALUE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4 950 000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1 237 500</w:t>
            </w:r>
          </w:p>
        </w:tc>
      </w:tr>
    </w:tbl>
    <w:p>
      <w:r>
        <w:t xml:space="preserve">The concluded value reflects a weighted reconciliation of DCF, maintainable earnings, and adjusted NAV, with the heaviest reliance placed on trading performance and cash-generation capacity.</w:t>
      </w:r>
    </w:p>
    <w:p>
      <w:pPr>
        <w:pStyle w:val="Heading3"/>
        <w:spacing w:after="80" w:before="180"/>
      </w:pPr>
      <w:r>
        <w:rPr>
          <w:b/>
          <w:bCs/>
        </w:rPr>
        <w:t xml:space="preserve">10.1 Sensitivity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Scenario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WACC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Growth Rate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P/E Multiple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Indicated Value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Bear Case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22,00%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3,6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4 800 000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Base Case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20,19%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5,00%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4,0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Bull Case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18,50%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6,00%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4,4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6 050 000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11. TAX IMPLICATIONS FOR THE DECEASED ESTATE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Tax Item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Amount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Deemed Proceeds (Fair Market Value)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5 400 000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Taxable Capital Gain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1 828 000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Gross Estate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9 450 000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Dutiable Estate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4 295 000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Estate Duty Payable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R 859 000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aps/>
        </w:rPr>
        <w:t xml:space="preserve">12. SECTION 9HA ROLLOVER CONSIDERATIONS</w:t>
      </w:r>
    </w:p>
    <w:p>
      <w:r>
        <w:t xml:space="preserve">Where estate assets accrue to a surviving spouse, the Section 9HA rollover may defer the immediate capital-gains-tax consequence, although the valuation remains necessary for disclosure and estate-duty purposes.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13. QUALIFICATIONS, DISCLAIMERS AND REPRESENTATIONS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valuation report has been prepared solely for estate-administration and SARS-compliance purposes.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valuer relied on information supplied by the executor and available records without conducting a full audit.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Actual realizable values may differ from this estimate depending on transaction timing and market conditions.</w:t>
      </w:r>
    </w:p>
    <w:p>
      <w:pPr>
        <w:pStyle w:val="Heading2"/>
        <w:spacing w:after="120" w:before="240"/>
      </w:pPr>
      <w:r>
        <w:rPr>
          <w:b/>
          <w:bCs/>
          <w:caps/>
        </w:rPr>
        <w:t xml:space="preserve">14. APPENDICES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Appendix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Detail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Appendix A: WACC Calculation Detail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Supporting assumptions and calculations used in the DCF discount-rate build-up.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Appendix B: Supporting Financial Information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Historical financial statements, management accounts, and support schedules referenced in the valuation.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</w:rPr>
        <w:t xml:space="preserve">Glossary of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Term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pPr>
              <w:spacing w:after="40" w:before="40"/>
            </w:pPr>
            <w:r>
              <w:t xml:space="preserve">Definition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DCF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Discounted cash flow valuation based on projected future cash flows.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NAV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Net asset value based on adjusted fair values of assets and liabilities.</w:t>
            </w:r>
          </w:p>
        </w:tc>
      </w:tr>
      <w:tr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WACC</w:t>
            </w:r>
          </w:p>
        </w:tc>
        <w:tc>
          <w:tcPr>
            <w:tcBorders>
              <w:top w:val="single" w:color="7A7A7A" w:sz="1"/>
              <w:left w:val="single" w:color="7A7A7A" w:sz="1"/>
              <w:bottom w:val="single" w:color="7A7A7A" w:sz="1"/>
              <w:right w:val="single" w:color="7A7A7A" w:sz="1"/>
            </w:tcBorders>
          </w:tcPr>
          <w:p>
            <w:r>
              <w:t xml:space="preserve">Weighted Average Cost of Capital used to discount future cash flows.</w:t>
            </w:r>
          </w:p>
        </w:tc>
      </w:tr>
    </w:tbl>
    <w:p>
      <w:pPr>
        <w:spacing w:before="240"/>
      </w:pPr>
      <w:r>
        <w:t xml:space="preserve">Prepared by:</w:t>
      </w:r>
    </w:p>
    <w:p>
      <w:r>
        <w:t xml:space="preserve">____________________________</w:t>
      </w:r>
    </w:p>
    <w:p>
      <w:r>
        <w:t xml:space="preserve">AME Business Accountants</w:t>
      </w:r>
    </w:p>
    <w:p>
      <w:pPr>
        <w:spacing w:before="240"/>
      </w:pPr>
      <w:r>
        <w:t xml:space="preserve">Accepted by (Executor):</w:t>
      </w:r>
    </w:p>
    <w:p>
      <w:r>
        <w:t xml:space="preserve">____________________________</w:t>
      </w:r>
    </w:p>
    <w:p>
      <w:r>
        <w:t xml:space="preserve">Kagiso Dlamini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2026-03-15T14:14:19.213Z</dcterms:created>
  <dcterms:modified xsi:type="dcterms:W3CDTF">2026-03-15T14:14:19.213Z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