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796C" w:rsidRPr="00AD40A2" w:rsidRDefault="00000000">
      <w:pPr>
        <w:pStyle w:val="Heading1"/>
        <w:rPr>
          <w:rFonts w:ascii="Times New Roman" w:hAnsi="Times New Roman" w:cs="Times New Roman"/>
          <w:color w:val="000000" w:themeColor="text1"/>
        </w:rPr>
      </w:pPr>
      <w:r w:rsidRPr="00AD40A2">
        <w:rPr>
          <w:rFonts w:ascii="Times New Roman" w:hAnsi="Times New Roman" w:cs="Times New Roman"/>
          <w:color w:val="000000" w:themeColor="text1"/>
        </w:rPr>
        <w:t>Excelerate Outreach Performance Dashboard Report</w:t>
      </w:r>
    </w:p>
    <w:p w:rsidR="0056796C" w:rsidRPr="00AD40A2"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t>Response, Conversion, and Engagement Analysis</w:t>
      </w:r>
      <w:r w:rsidRPr="00AD40A2">
        <w:rPr>
          <w:rFonts w:ascii="Times New Roman" w:hAnsi="Times New Roman" w:cs="Times New Roman"/>
          <w:color w:val="000000" w:themeColor="text1"/>
        </w:rPr>
        <w:br/>
        <w:t>SLU 0112 – DVT Team 19</w:t>
      </w: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1. Introduction</w:t>
      </w:r>
    </w:p>
    <w:p w:rsidR="0056796C" w:rsidRPr="00AD40A2"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t>This report presents a detailed analysis of outreach performance using the Excelerate Outreach Performance Dashboard. The objective of the analysis is to evaluate outreach effectiveness, identify engagement patterns, highlight gaps in the data, and provide actionable insights aligned with Excelerate’s enrollment improvement goals. All findings in this report are derived strictly from the dashboard visuals and the exploratory data analysis conducted on the provided dataset.</w:t>
      </w: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2. Dataset Overview and Scope</w:t>
      </w:r>
    </w:p>
    <w:p w:rsidR="0056796C" w:rsidRPr="00AD40A2"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t xml:space="preserve">The dataset </w:t>
      </w:r>
      <w:r w:rsidR="00FD5CE7">
        <w:rPr>
          <w:rFonts w:ascii="Times New Roman" w:hAnsi="Times New Roman" w:cs="Times New Roman"/>
          <w:color w:val="000000" w:themeColor="text1"/>
        </w:rPr>
        <w:t>presents</w:t>
      </w:r>
      <w:r w:rsidRPr="00AD40A2">
        <w:rPr>
          <w:rFonts w:ascii="Times New Roman" w:hAnsi="Times New Roman" w:cs="Times New Roman"/>
          <w:color w:val="000000" w:themeColor="text1"/>
        </w:rPr>
        <w:t xml:space="preserve"> outreach activity across multiple campaigns, countries, time periods, and contact attempts. Key variables include outreach attempts, connection outcomes, response rates, enrollment outcomes, time of contact, attempt count per applicant, and country-level performance indicators. The analysis focuses on outreach volume, response behavior, and conversion outcomes rather than individual applicant profiling.</w:t>
      </w:r>
    </w:p>
    <w:p w:rsidR="0056796C"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3. Outreach Trends Over Time</w:t>
      </w:r>
    </w:p>
    <w:p w:rsidR="00FD5CE7" w:rsidRPr="00FD5CE7" w:rsidRDefault="00FD5CE7" w:rsidP="00FD5CE7"/>
    <w:p w:rsidR="0056796C" w:rsidRPr="00AD40A2" w:rsidRDefault="00FD5CE7">
      <w:pPr>
        <w:rPr>
          <w:rFonts w:ascii="Times New Roman" w:hAnsi="Times New Roman" w:cs="Times New Roman"/>
          <w:color w:val="000000" w:themeColor="text1"/>
        </w:rPr>
      </w:pPr>
      <w:r w:rsidRPr="00FD5CE7">
        <w:rPr>
          <w:rFonts w:ascii="Times New Roman" w:hAnsi="Times New Roman" w:cs="Times New Roman"/>
          <w:color w:val="000000" w:themeColor="text1"/>
        </w:rPr>
        <w:drawing>
          <wp:inline distT="0" distB="0" distL="0" distR="0" wp14:anchorId="67A42BCD" wp14:editId="18598FE9">
            <wp:extent cx="5486400" cy="2821305"/>
            <wp:effectExtent l="0" t="0" r="0" b="0"/>
            <wp:docPr id="7533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24355" name=""/>
                    <pic:cNvPicPr/>
                  </pic:nvPicPr>
                  <pic:blipFill>
                    <a:blip r:embed="rId6"/>
                    <a:stretch>
                      <a:fillRect/>
                    </a:stretch>
                  </pic:blipFill>
                  <pic:spPr>
                    <a:xfrm>
                      <a:off x="0" y="0"/>
                      <a:ext cx="5486400" cy="2821305"/>
                    </a:xfrm>
                    <a:prstGeom prst="rect">
                      <a:avLst/>
                    </a:prstGeom>
                  </pic:spPr>
                </pic:pic>
              </a:graphicData>
            </a:graphic>
          </wp:inline>
        </w:drawing>
      </w:r>
      <w:r w:rsidR="00000000" w:rsidRPr="00AD40A2">
        <w:rPr>
          <w:rFonts w:ascii="Times New Roman" w:hAnsi="Times New Roman" w:cs="Times New Roman"/>
          <w:color w:val="000000" w:themeColor="text1"/>
        </w:rPr>
        <w:br/>
      </w:r>
      <w:r w:rsidR="00000000" w:rsidRPr="00AD40A2">
        <w:rPr>
          <w:rFonts w:ascii="Times New Roman" w:hAnsi="Times New Roman" w:cs="Times New Roman"/>
          <w:color w:val="000000" w:themeColor="text1"/>
        </w:rPr>
        <w:br/>
        <w:t>The outreach trend analysis shows a clear increase in outreach volume over time, particularly from 2024. Earlier periods reflect relatively low outreach activity, followed by sustained growth in monthly outreach attempts. Despite higher outreach volume in later months, response rates fluctuate rather than increasing proportionally. This indicates that increasing volume alone does not guarantee improved engagement outcomes. Periods of peak outreach sometimes coincide with declining response rates, suggesting diminishing returns at higher volumes.</w:t>
      </w:r>
      <w:r>
        <w:rPr>
          <w:rFonts w:ascii="Times New Roman" w:hAnsi="Times New Roman" w:cs="Times New Roman"/>
          <w:color w:val="000000" w:themeColor="text1"/>
        </w:rPr>
        <w:t xml:space="preserve"> As evidenced by </w:t>
      </w:r>
      <w:r>
        <w:rPr>
          <w:rFonts w:ascii="Times New Roman" w:hAnsi="Times New Roman" w:cs="Times New Roman"/>
          <w:color w:val="000000" w:themeColor="text1"/>
        </w:rPr>
        <w:lastRenderedPageBreak/>
        <w:t xml:space="preserve">declining response rates. </w:t>
      </w:r>
      <w:r>
        <w:t xml:space="preserve">Some of our highest-volume months actually correspond with </w:t>
      </w:r>
      <w:r w:rsidRPr="00FD5CE7">
        <w:rPr>
          <w:rStyle w:val="Emphasis"/>
          <w:i w:val="0"/>
          <w:iCs w:val="0"/>
        </w:rPr>
        <w:t>declining</w:t>
      </w:r>
      <w:r>
        <w:t xml:space="preserve"> response rates, which tells us we're hitting diminishing returns. More outreach doesn't automatically mean better results.</w:t>
      </w:r>
    </w:p>
    <w:p w:rsidR="0056796C"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4. Campaign Effectiveness Metrics</w:t>
      </w:r>
    </w:p>
    <w:p w:rsidR="00FD5CE7" w:rsidRPr="00FD5CE7" w:rsidRDefault="00FD5CE7" w:rsidP="00FD5CE7"/>
    <w:p w:rsidR="0056796C" w:rsidRPr="00AD40A2" w:rsidRDefault="00FD5CE7">
      <w:pPr>
        <w:rPr>
          <w:rFonts w:ascii="Times New Roman" w:hAnsi="Times New Roman" w:cs="Times New Roman"/>
          <w:color w:val="000000" w:themeColor="text1"/>
        </w:rPr>
      </w:pPr>
      <w:r w:rsidRPr="00FD5CE7">
        <w:rPr>
          <w:rFonts w:ascii="Times New Roman" w:hAnsi="Times New Roman" w:cs="Times New Roman"/>
          <w:color w:val="000000" w:themeColor="text1"/>
        </w:rPr>
        <w:drawing>
          <wp:inline distT="0" distB="0" distL="0" distR="0" wp14:anchorId="1CF77A18" wp14:editId="15F2F686">
            <wp:extent cx="5486400" cy="1080135"/>
            <wp:effectExtent l="0" t="0" r="0" b="0"/>
            <wp:docPr id="16312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8581" name=""/>
                    <pic:cNvPicPr/>
                  </pic:nvPicPr>
                  <pic:blipFill>
                    <a:blip r:embed="rId7"/>
                    <a:stretch>
                      <a:fillRect/>
                    </a:stretch>
                  </pic:blipFill>
                  <pic:spPr>
                    <a:xfrm>
                      <a:off x="0" y="0"/>
                      <a:ext cx="5486400" cy="1080135"/>
                    </a:xfrm>
                    <a:prstGeom prst="rect">
                      <a:avLst/>
                    </a:prstGeom>
                  </pic:spPr>
                </pic:pic>
              </a:graphicData>
            </a:graphic>
          </wp:inline>
        </w:drawing>
      </w:r>
      <w:r w:rsidR="00000000" w:rsidRPr="00AD40A2">
        <w:rPr>
          <w:rFonts w:ascii="Times New Roman" w:hAnsi="Times New Roman" w:cs="Times New Roman"/>
          <w:color w:val="000000" w:themeColor="text1"/>
        </w:rPr>
        <w:br/>
      </w:r>
      <w:r w:rsidR="00000000" w:rsidRPr="00AD40A2">
        <w:rPr>
          <w:rFonts w:ascii="Times New Roman" w:hAnsi="Times New Roman" w:cs="Times New Roman"/>
          <w:color w:val="000000" w:themeColor="text1"/>
        </w:rPr>
        <w:br/>
        <w:t xml:space="preserve">The overall response rate across all outreach activity is approximately 27.84 </w:t>
      </w:r>
      <w:r>
        <w:rPr>
          <w:rFonts w:ascii="Times New Roman" w:hAnsi="Times New Roman" w:cs="Times New Roman"/>
          <w:color w:val="000000" w:themeColor="text1"/>
        </w:rPr>
        <w:t>%</w:t>
      </w:r>
      <w:r w:rsidR="00000000" w:rsidRPr="00AD40A2">
        <w:rPr>
          <w:rFonts w:ascii="Times New Roman" w:hAnsi="Times New Roman" w:cs="Times New Roman"/>
          <w:color w:val="000000" w:themeColor="text1"/>
        </w:rPr>
        <w:t>, indicating that just over one-quarter of outreach attempts result</w:t>
      </w:r>
      <w:r>
        <w:rPr>
          <w:rFonts w:ascii="Times New Roman" w:hAnsi="Times New Roman" w:cs="Times New Roman"/>
          <w:color w:val="000000" w:themeColor="text1"/>
        </w:rPr>
        <w:t>ed</w:t>
      </w:r>
      <w:r w:rsidR="00000000" w:rsidRPr="00AD40A2">
        <w:rPr>
          <w:rFonts w:ascii="Times New Roman" w:hAnsi="Times New Roman" w:cs="Times New Roman"/>
          <w:color w:val="000000" w:themeColor="text1"/>
        </w:rPr>
        <w:t xml:space="preserve"> in a successful connection. The overall conversion rate is approximately 12.35</w:t>
      </w:r>
      <w:r>
        <w:rPr>
          <w:rFonts w:ascii="Times New Roman" w:hAnsi="Times New Roman" w:cs="Times New Roman"/>
          <w:color w:val="000000" w:themeColor="text1"/>
        </w:rPr>
        <w:t xml:space="preserve">% </w:t>
      </w:r>
      <w:r w:rsidR="00000000" w:rsidRPr="00AD40A2">
        <w:rPr>
          <w:rFonts w:ascii="Times New Roman" w:hAnsi="Times New Roman" w:cs="Times New Roman"/>
          <w:color w:val="000000" w:themeColor="text1"/>
        </w:rPr>
        <w:t xml:space="preserve">at the applicant level. This </w:t>
      </w:r>
      <w:proofErr w:type="gramStart"/>
      <w:r w:rsidR="00000000" w:rsidRPr="00AD40A2">
        <w:rPr>
          <w:rFonts w:ascii="Times New Roman" w:hAnsi="Times New Roman" w:cs="Times New Roman"/>
          <w:color w:val="000000" w:themeColor="text1"/>
        </w:rPr>
        <w:t>drop</w:t>
      </w:r>
      <w:proofErr w:type="gramEnd"/>
      <w:r w:rsidR="00000000" w:rsidRPr="00AD40A2">
        <w:rPr>
          <w:rFonts w:ascii="Times New Roman" w:hAnsi="Times New Roman" w:cs="Times New Roman"/>
          <w:color w:val="000000" w:themeColor="text1"/>
        </w:rPr>
        <w:t xml:space="preserve"> from response to conversion highlights a significant gap between initial engagement and final enrollment outcomes. Additionally, the presence of invalid and null values within conversion-related fields suggests data quality limitations that may affect the reliability of conversion analysis for certain regions or campaigns.</w:t>
      </w:r>
    </w:p>
    <w:p w:rsidR="0056796C"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5. Time-of-Day Performance Analysis</w:t>
      </w:r>
    </w:p>
    <w:p w:rsidR="00FD5CE7" w:rsidRPr="00FD5CE7" w:rsidRDefault="00FD5CE7" w:rsidP="00FD5CE7"/>
    <w:p w:rsidR="0056796C" w:rsidRPr="00AD40A2" w:rsidRDefault="00FD5CE7">
      <w:pPr>
        <w:rPr>
          <w:rFonts w:ascii="Times New Roman" w:hAnsi="Times New Roman" w:cs="Times New Roman"/>
          <w:color w:val="000000" w:themeColor="text1"/>
        </w:rPr>
      </w:pPr>
      <w:r w:rsidRPr="00FD5CE7">
        <w:rPr>
          <w:rFonts w:ascii="Times New Roman" w:hAnsi="Times New Roman" w:cs="Times New Roman"/>
          <w:color w:val="000000" w:themeColor="text1"/>
        </w:rPr>
        <w:drawing>
          <wp:inline distT="0" distB="0" distL="0" distR="0" wp14:anchorId="1F225044" wp14:editId="77E77085">
            <wp:extent cx="5486400" cy="1612900"/>
            <wp:effectExtent l="0" t="0" r="0" b="0"/>
            <wp:docPr id="132745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5693" name=""/>
                    <pic:cNvPicPr/>
                  </pic:nvPicPr>
                  <pic:blipFill>
                    <a:blip r:embed="rId8"/>
                    <a:stretch>
                      <a:fillRect/>
                    </a:stretch>
                  </pic:blipFill>
                  <pic:spPr>
                    <a:xfrm>
                      <a:off x="0" y="0"/>
                      <a:ext cx="5486400" cy="1612900"/>
                    </a:xfrm>
                    <a:prstGeom prst="rect">
                      <a:avLst/>
                    </a:prstGeom>
                  </pic:spPr>
                </pic:pic>
              </a:graphicData>
            </a:graphic>
          </wp:inline>
        </w:drawing>
      </w:r>
      <w:r w:rsidR="00000000" w:rsidRPr="00AD40A2">
        <w:rPr>
          <w:rFonts w:ascii="Times New Roman" w:hAnsi="Times New Roman" w:cs="Times New Roman"/>
          <w:color w:val="000000" w:themeColor="text1"/>
        </w:rPr>
        <w:br/>
      </w:r>
      <w:r w:rsidR="00000000" w:rsidRPr="00AD40A2">
        <w:rPr>
          <w:rFonts w:ascii="Times New Roman" w:hAnsi="Times New Roman" w:cs="Times New Roman"/>
          <w:color w:val="000000" w:themeColor="text1"/>
        </w:rPr>
        <w:br/>
        <w:t xml:space="preserve">Outreach attempts are most frequently conducted during the afternoon, followed by evening and </w:t>
      </w:r>
      <w:r>
        <w:rPr>
          <w:rFonts w:ascii="Times New Roman" w:hAnsi="Times New Roman" w:cs="Times New Roman"/>
          <w:color w:val="000000" w:themeColor="text1"/>
        </w:rPr>
        <w:t xml:space="preserve">then </w:t>
      </w:r>
      <w:r w:rsidR="00000000" w:rsidRPr="00AD40A2">
        <w:rPr>
          <w:rFonts w:ascii="Times New Roman" w:hAnsi="Times New Roman" w:cs="Times New Roman"/>
          <w:color w:val="000000" w:themeColor="text1"/>
        </w:rPr>
        <w:t>morning. However, response rates are highest during the evening, indicating that evening outreach is more effective despite lower volume compared to afternoon outreach. Morning outreach consistently shows the lowest response rate. This misalignment between outreach volume and response effectiveness suggests an opportunity to shift outreach efforts toward time windows that yield higher engagement.</w:t>
      </w: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lastRenderedPageBreak/>
        <w:t>6. Contact Attempt Patterns</w:t>
      </w:r>
      <w:r w:rsidR="00FD5CE7">
        <w:rPr>
          <w:rFonts w:ascii="Times New Roman" w:hAnsi="Times New Roman" w:cs="Times New Roman"/>
          <w:color w:val="000000" w:themeColor="text1"/>
        </w:rPr>
        <w:br/>
      </w:r>
    </w:p>
    <w:p w:rsidR="00FD5CE7" w:rsidRDefault="00FD5CE7">
      <w:pPr>
        <w:rPr>
          <w:rFonts w:ascii="Times New Roman" w:hAnsi="Times New Roman" w:cs="Times New Roman"/>
          <w:color w:val="000000" w:themeColor="text1"/>
        </w:rPr>
      </w:pPr>
      <w:r w:rsidRPr="00FD5CE7">
        <w:rPr>
          <w:rFonts w:ascii="Times New Roman" w:hAnsi="Times New Roman" w:cs="Times New Roman"/>
          <w:color w:val="000000" w:themeColor="text1"/>
        </w:rPr>
        <w:drawing>
          <wp:inline distT="0" distB="0" distL="0" distR="0" wp14:anchorId="6A8356B7" wp14:editId="718762CE">
            <wp:extent cx="5486400" cy="2147570"/>
            <wp:effectExtent l="0" t="0" r="0" b="0"/>
            <wp:docPr id="46465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3606" name=""/>
                    <pic:cNvPicPr/>
                  </pic:nvPicPr>
                  <pic:blipFill>
                    <a:blip r:embed="rId9"/>
                    <a:stretch>
                      <a:fillRect/>
                    </a:stretch>
                  </pic:blipFill>
                  <pic:spPr>
                    <a:xfrm>
                      <a:off x="0" y="0"/>
                      <a:ext cx="5486400" cy="2147570"/>
                    </a:xfrm>
                    <a:prstGeom prst="rect">
                      <a:avLst/>
                    </a:prstGeom>
                  </pic:spPr>
                </pic:pic>
              </a:graphicData>
            </a:graphic>
          </wp:inline>
        </w:drawing>
      </w:r>
    </w:p>
    <w:p w:rsidR="0056796C"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br/>
        <w:t>The majority of applicants are contacted successfully on the first attempt, both in absolute count and connection rate. Connection rates decline steadily as the number of attempts increases, with fourth and subsequent attempts yielding the lowest success. This pattern indicates that early engagement is critical and that repeated follow-ups offer diminishing returns. While follow-up attempts remain necessary, excessive attempts may not be an efficient use of outreach resources.</w:t>
      </w:r>
    </w:p>
    <w:p w:rsidR="00FD5CE7" w:rsidRPr="00AD40A2" w:rsidRDefault="00FD5CE7">
      <w:pPr>
        <w:rPr>
          <w:rFonts w:ascii="Times New Roman" w:hAnsi="Times New Roman" w:cs="Times New Roman"/>
          <w:color w:val="000000" w:themeColor="text1"/>
        </w:rPr>
      </w:pP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7. Geographic Performance Analysis</w:t>
      </w:r>
    </w:p>
    <w:p w:rsidR="00F43F8B" w:rsidRDefault="00F43F8B">
      <w:pPr>
        <w:rPr>
          <w:rFonts w:ascii="Times New Roman" w:hAnsi="Times New Roman" w:cs="Times New Roman"/>
          <w:color w:val="000000" w:themeColor="text1"/>
        </w:rPr>
      </w:pPr>
    </w:p>
    <w:p w:rsidR="00F43F8B" w:rsidRPr="00F43F8B" w:rsidRDefault="00F43F8B" w:rsidP="00F43F8B">
      <w:pPr>
        <w:rPr>
          <w:rFonts w:ascii="Times New Roman" w:hAnsi="Times New Roman" w:cs="Times New Roman"/>
          <w:color w:val="000000" w:themeColor="text1"/>
          <w:lang w:val="en-CA"/>
        </w:rPr>
      </w:pPr>
      <w:r w:rsidRPr="00F43F8B">
        <w:rPr>
          <w:rFonts w:ascii="Times New Roman" w:hAnsi="Times New Roman" w:cs="Times New Roman"/>
          <w:color w:val="000000" w:themeColor="text1"/>
        </w:rPr>
        <w:drawing>
          <wp:inline distT="0" distB="0" distL="0" distR="0" wp14:anchorId="678B464C" wp14:editId="5F89B773">
            <wp:extent cx="5486400" cy="1466215"/>
            <wp:effectExtent l="0" t="0" r="0" b="0"/>
            <wp:docPr id="13893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5740" name=""/>
                    <pic:cNvPicPr/>
                  </pic:nvPicPr>
                  <pic:blipFill>
                    <a:blip r:embed="rId10"/>
                    <a:stretch>
                      <a:fillRect/>
                    </a:stretch>
                  </pic:blipFill>
                  <pic:spPr>
                    <a:xfrm>
                      <a:off x="0" y="0"/>
                      <a:ext cx="5486400" cy="1466215"/>
                    </a:xfrm>
                    <a:prstGeom prst="rect">
                      <a:avLst/>
                    </a:prstGeom>
                  </pic:spPr>
                </pic:pic>
              </a:graphicData>
            </a:graphic>
          </wp:inline>
        </w:drawing>
      </w:r>
      <w:r w:rsidR="00000000" w:rsidRPr="00AD40A2">
        <w:rPr>
          <w:rFonts w:ascii="Times New Roman" w:hAnsi="Times New Roman" w:cs="Times New Roman"/>
          <w:color w:val="000000" w:themeColor="text1"/>
        </w:rPr>
        <w:br/>
      </w:r>
      <w:r w:rsidR="00000000" w:rsidRPr="00AD40A2">
        <w:rPr>
          <w:rFonts w:ascii="Times New Roman" w:hAnsi="Times New Roman" w:cs="Times New Roman"/>
          <w:color w:val="000000" w:themeColor="text1"/>
        </w:rPr>
        <w:br/>
      </w:r>
      <w:r w:rsidRPr="00F43F8B">
        <w:rPr>
          <w:rFonts w:ascii="Times New Roman" w:hAnsi="Times New Roman" w:cs="Times New Roman"/>
          <w:color w:val="000000" w:themeColor="text1"/>
          <w:lang w:val="en-CA"/>
        </w:rPr>
        <w:t xml:space="preserve">Connection and conversion rates vary quite a bit by country. Some regions are clearly more responsive than others. The conversion analysis includes invalid and missing country entries, which </w:t>
      </w:r>
      <w:r>
        <w:rPr>
          <w:rFonts w:ascii="Times New Roman" w:hAnsi="Times New Roman" w:cs="Times New Roman"/>
          <w:color w:val="000000" w:themeColor="text1"/>
          <w:lang w:val="en-CA"/>
        </w:rPr>
        <w:t>was</w:t>
      </w:r>
      <w:r w:rsidRPr="00F43F8B">
        <w:rPr>
          <w:rFonts w:ascii="Times New Roman" w:hAnsi="Times New Roman" w:cs="Times New Roman"/>
          <w:color w:val="000000" w:themeColor="text1"/>
          <w:lang w:val="en-CA"/>
        </w:rPr>
        <w:t xml:space="preserve"> left visible because they reflect a real problem with </w:t>
      </w:r>
      <w:r>
        <w:rPr>
          <w:rFonts w:ascii="Times New Roman" w:hAnsi="Times New Roman" w:cs="Times New Roman"/>
          <w:color w:val="000000" w:themeColor="text1"/>
          <w:lang w:val="en-CA"/>
        </w:rPr>
        <w:t>the</w:t>
      </w:r>
      <w:r w:rsidRPr="00F43F8B">
        <w:rPr>
          <w:rFonts w:ascii="Times New Roman" w:hAnsi="Times New Roman" w:cs="Times New Roman"/>
          <w:color w:val="000000" w:themeColor="text1"/>
          <w:lang w:val="en-CA"/>
        </w:rPr>
        <w:t xml:space="preserve"> data quality.</w:t>
      </w:r>
    </w:p>
    <w:p w:rsidR="0056796C" w:rsidRPr="00F43F8B" w:rsidRDefault="00F43F8B">
      <w:pPr>
        <w:rPr>
          <w:rFonts w:ascii="Times New Roman" w:hAnsi="Times New Roman" w:cs="Times New Roman"/>
          <w:color w:val="000000" w:themeColor="text1"/>
          <w:lang w:val="en-CA"/>
        </w:rPr>
      </w:pPr>
      <w:r w:rsidRPr="00F43F8B">
        <w:rPr>
          <w:rFonts w:ascii="Times New Roman" w:hAnsi="Times New Roman" w:cs="Times New Roman"/>
          <w:color w:val="000000" w:themeColor="text1"/>
          <w:lang w:val="en-CA"/>
        </w:rPr>
        <w:t>These gaps</w:t>
      </w:r>
      <w:r>
        <w:rPr>
          <w:rFonts w:ascii="Times New Roman" w:hAnsi="Times New Roman" w:cs="Times New Roman"/>
          <w:color w:val="000000" w:themeColor="text1"/>
          <w:lang w:val="en-CA"/>
        </w:rPr>
        <w:t xml:space="preserve"> (</w:t>
      </w:r>
      <w:r w:rsidRPr="00F43F8B">
        <w:rPr>
          <w:rFonts w:ascii="Times New Roman" w:hAnsi="Times New Roman" w:cs="Times New Roman"/>
          <w:color w:val="000000" w:themeColor="text1"/>
          <w:lang w:val="en-CA"/>
        </w:rPr>
        <w:t>whether from incomplete data entry or inconsistent tagging</w:t>
      </w:r>
      <w:r>
        <w:rPr>
          <w:rFonts w:ascii="Times New Roman" w:hAnsi="Times New Roman" w:cs="Times New Roman"/>
          <w:color w:val="000000" w:themeColor="text1"/>
          <w:lang w:val="en-CA"/>
        </w:rPr>
        <w:t xml:space="preserve">) </w:t>
      </w:r>
      <w:r w:rsidRPr="00F43F8B">
        <w:rPr>
          <w:rFonts w:ascii="Times New Roman" w:hAnsi="Times New Roman" w:cs="Times New Roman"/>
          <w:color w:val="000000" w:themeColor="text1"/>
          <w:lang w:val="en-CA"/>
        </w:rPr>
        <w:t>limit how confidently conclusions</w:t>
      </w:r>
      <w:r>
        <w:rPr>
          <w:rFonts w:ascii="Times New Roman" w:hAnsi="Times New Roman" w:cs="Times New Roman"/>
          <w:color w:val="000000" w:themeColor="text1"/>
          <w:lang w:val="en-CA"/>
        </w:rPr>
        <w:t xml:space="preserve"> can be drawn</w:t>
      </w:r>
      <w:r w:rsidRPr="00F43F8B">
        <w:rPr>
          <w:rFonts w:ascii="Times New Roman" w:hAnsi="Times New Roman" w:cs="Times New Roman"/>
          <w:color w:val="000000" w:themeColor="text1"/>
          <w:lang w:val="en-CA"/>
        </w:rPr>
        <w:t xml:space="preserve"> about certain markets. </w:t>
      </w:r>
      <w:r w:rsidR="00000000" w:rsidRPr="00AD40A2">
        <w:rPr>
          <w:rFonts w:ascii="Times New Roman" w:hAnsi="Times New Roman" w:cs="Times New Roman"/>
          <w:color w:val="000000" w:themeColor="text1"/>
        </w:rPr>
        <w:t>Despite these limitations, the country-level view helps identify markets where outreach engagement is comparatively stronger.</w:t>
      </w: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lastRenderedPageBreak/>
        <w:t>8. Data Quality Gaps and Limitations</w:t>
      </w:r>
    </w:p>
    <w:p w:rsidR="0056796C" w:rsidRPr="00AD40A2"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t>The analysis identifies several data quality challenges, particularly within conversion-related fields. Invalid and null country entries appear prominently in conversion rate visuals, limiting interpretability. These gaps may result from incomplete data entry, inconsistent country tagging, or enrollment tracking issues. While these limitations do not invalidate the analysis, they highlight areas where data governance improvements would significantly enhance future outreach reporting and decision-making.</w:t>
      </w: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9. Insights and Recommendations</w:t>
      </w:r>
    </w:p>
    <w:p w:rsidR="0056796C" w:rsidRPr="00AD40A2"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t>Key Insights:</w:t>
      </w:r>
      <w:r w:rsidRPr="00AD40A2">
        <w:rPr>
          <w:rFonts w:ascii="Times New Roman" w:hAnsi="Times New Roman" w:cs="Times New Roman"/>
          <w:color w:val="000000" w:themeColor="text1"/>
        </w:rPr>
        <w:br/>
        <w:t>- Outreach volume has increased substantially over time, but response rates do not scale proportionally.</w:t>
      </w:r>
      <w:r w:rsidRPr="00AD40A2">
        <w:rPr>
          <w:rFonts w:ascii="Times New Roman" w:hAnsi="Times New Roman" w:cs="Times New Roman"/>
          <w:color w:val="000000" w:themeColor="text1"/>
        </w:rPr>
        <w:br/>
        <w:t>- Evening outreach yields the highest response rate despite lower outreach volume than afternoon periods.</w:t>
      </w:r>
      <w:r w:rsidRPr="00AD40A2">
        <w:rPr>
          <w:rFonts w:ascii="Times New Roman" w:hAnsi="Times New Roman" w:cs="Times New Roman"/>
          <w:color w:val="000000" w:themeColor="text1"/>
        </w:rPr>
        <w:br/>
        <w:t>- First contact attempts are the most effective, with diminishing returns on subsequent attempts.</w:t>
      </w:r>
      <w:r w:rsidRPr="00AD40A2">
        <w:rPr>
          <w:rFonts w:ascii="Times New Roman" w:hAnsi="Times New Roman" w:cs="Times New Roman"/>
          <w:color w:val="000000" w:themeColor="text1"/>
        </w:rPr>
        <w:br/>
        <w:t>- Conversion rates are significantly lower than response rates, indicating funnel drop-off after initial engagement.</w:t>
      </w:r>
      <w:r w:rsidRPr="00AD40A2">
        <w:rPr>
          <w:rFonts w:ascii="Times New Roman" w:hAnsi="Times New Roman" w:cs="Times New Roman"/>
          <w:color w:val="000000" w:themeColor="text1"/>
        </w:rPr>
        <w:br/>
        <w:t>- Data quality issues, particularly invalid and missing country values, constrain conversion analysis.</w:t>
      </w:r>
      <w:r w:rsidRPr="00AD40A2">
        <w:rPr>
          <w:rFonts w:ascii="Times New Roman" w:hAnsi="Times New Roman" w:cs="Times New Roman"/>
          <w:color w:val="000000" w:themeColor="text1"/>
        </w:rPr>
        <w:br/>
      </w:r>
      <w:r w:rsidRPr="00AD40A2">
        <w:rPr>
          <w:rFonts w:ascii="Times New Roman" w:hAnsi="Times New Roman" w:cs="Times New Roman"/>
          <w:color w:val="000000" w:themeColor="text1"/>
        </w:rPr>
        <w:br/>
        <w:t>Recommendations:</w:t>
      </w:r>
      <w:r w:rsidRPr="00AD40A2">
        <w:rPr>
          <w:rFonts w:ascii="Times New Roman" w:hAnsi="Times New Roman" w:cs="Times New Roman"/>
          <w:color w:val="000000" w:themeColor="text1"/>
        </w:rPr>
        <w:br/>
        <w:t>- Reallocate outreach efforts toward evening time windows to maximize response effectiveness.</w:t>
      </w:r>
      <w:r w:rsidRPr="00AD40A2">
        <w:rPr>
          <w:rFonts w:ascii="Times New Roman" w:hAnsi="Times New Roman" w:cs="Times New Roman"/>
          <w:color w:val="000000" w:themeColor="text1"/>
        </w:rPr>
        <w:br/>
        <w:t>- Prioritize first-contact quality and preparedness to improve early engagement success.</w:t>
      </w:r>
      <w:r w:rsidRPr="00AD40A2">
        <w:rPr>
          <w:rFonts w:ascii="Times New Roman" w:hAnsi="Times New Roman" w:cs="Times New Roman"/>
          <w:color w:val="000000" w:themeColor="text1"/>
        </w:rPr>
        <w:br/>
        <w:t>- Review follow-up strategies to balance persistence with efficiency, reducing low-impact repeat attempts.</w:t>
      </w:r>
      <w:r w:rsidRPr="00AD40A2">
        <w:rPr>
          <w:rFonts w:ascii="Times New Roman" w:hAnsi="Times New Roman" w:cs="Times New Roman"/>
          <w:color w:val="000000" w:themeColor="text1"/>
        </w:rPr>
        <w:br/>
        <w:t>- Strengthen data validation processes for country and enrollment fields to improve conversion tracking.</w:t>
      </w:r>
      <w:r w:rsidRPr="00AD40A2">
        <w:rPr>
          <w:rFonts w:ascii="Times New Roman" w:hAnsi="Times New Roman" w:cs="Times New Roman"/>
          <w:color w:val="000000" w:themeColor="text1"/>
        </w:rPr>
        <w:br/>
        <w:t>- Use response and conversion metrics together when evaluating campaign performance, rather than volume alone.</w:t>
      </w:r>
    </w:p>
    <w:p w:rsidR="0056796C" w:rsidRPr="00AD40A2" w:rsidRDefault="00000000">
      <w:pPr>
        <w:pStyle w:val="Heading2"/>
        <w:rPr>
          <w:rFonts w:ascii="Times New Roman" w:hAnsi="Times New Roman" w:cs="Times New Roman"/>
          <w:color w:val="000000" w:themeColor="text1"/>
        </w:rPr>
      </w:pPr>
      <w:r w:rsidRPr="00AD40A2">
        <w:rPr>
          <w:rFonts w:ascii="Times New Roman" w:hAnsi="Times New Roman" w:cs="Times New Roman"/>
          <w:color w:val="000000" w:themeColor="text1"/>
        </w:rPr>
        <w:t>10. Conclusion</w:t>
      </w:r>
    </w:p>
    <w:p w:rsidR="0056796C" w:rsidRPr="00AD40A2" w:rsidRDefault="00000000">
      <w:pPr>
        <w:rPr>
          <w:rFonts w:ascii="Times New Roman" w:hAnsi="Times New Roman" w:cs="Times New Roman"/>
          <w:color w:val="000000" w:themeColor="text1"/>
        </w:rPr>
      </w:pPr>
      <w:r w:rsidRPr="00AD40A2">
        <w:rPr>
          <w:rFonts w:ascii="Times New Roman" w:hAnsi="Times New Roman" w:cs="Times New Roman"/>
          <w:color w:val="000000" w:themeColor="text1"/>
        </w:rPr>
        <w:t>The Excelerate Outreach Performance Dashboard provides clear evidence that effectiveness depends on timing, attempt strategy, and data quality rather than outreach volume alone. By aligning outreach execution with observed engagement patterns and addressing identified data gaps, Excelerate can improve enrollment outcomes and optimize the use of outreach resources.</w:t>
      </w:r>
    </w:p>
    <w:sectPr w:rsidR="0056796C" w:rsidRPr="00AD40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050834">
    <w:abstractNumId w:val="8"/>
  </w:num>
  <w:num w:numId="2" w16cid:durableId="1944915639">
    <w:abstractNumId w:val="6"/>
  </w:num>
  <w:num w:numId="3" w16cid:durableId="1074738987">
    <w:abstractNumId w:val="5"/>
  </w:num>
  <w:num w:numId="4" w16cid:durableId="953177254">
    <w:abstractNumId w:val="4"/>
  </w:num>
  <w:num w:numId="5" w16cid:durableId="2116634321">
    <w:abstractNumId w:val="7"/>
  </w:num>
  <w:num w:numId="6" w16cid:durableId="1065224756">
    <w:abstractNumId w:val="3"/>
  </w:num>
  <w:num w:numId="7" w16cid:durableId="1075665976">
    <w:abstractNumId w:val="2"/>
  </w:num>
  <w:num w:numId="8" w16cid:durableId="484784095">
    <w:abstractNumId w:val="1"/>
  </w:num>
  <w:num w:numId="9" w16cid:durableId="166546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96C"/>
    <w:rsid w:val="00AA1D8D"/>
    <w:rsid w:val="00AD40A2"/>
    <w:rsid w:val="00B47730"/>
    <w:rsid w:val="00CB0664"/>
    <w:rsid w:val="00F43F8B"/>
    <w:rsid w:val="00FC693F"/>
    <w:rsid w:val="00FD5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EE62D"/>
  <w14:defaultImageDpi w14:val="300"/>
  <w15:docId w15:val="{798E4EBB-31A5-DC42-83C3-F9B80BDC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643643">
      <w:bodyDiv w:val="1"/>
      <w:marLeft w:val="0"/>
      <w:marRight w:val="0"/>
      <w:marTop w:val="0"/>
      <w:marBottom w:val="0"/>
      <w:divBdr>
        <w:top w:val="none" w:sz="0" w:space="0" w:color="auto"/>
        <w:left w:val="none" w:sz="0" w:space="0" w:color="auto"/>
        <w:bottom w:val="none" w:sz="0" w:space="0" w:color="auto"/>
        <w:right w:val="none" w:sz="0" w:space="0" w:color="auto"/>
      </w:divBdr>
    </w:div>
    <w:div w:id="759987424">
      <w:bodyDiv w:val="1"/>
      <w:marLeft w:val="0"/>
      <w:marRight w:val="0"/>
      <w:marTop w:val="0"/>
      <w:marBottom w:val="0"/>
      <w:divBdr>
        <w:top w:val="none" w:sz="0" w:space="0" w:color="auto"/>
        <w:left w:val="none" w:sz="0" w:space="0" w:color="auto"/>
        <w:bottom w:val="none" w:sz="0" w:space="0" w:color="auto"/>
        <w:right w:val="none" w:sz="0" w:space="0" w:color="auto"/>
      </w:divBdr>
    </w:div>
    <w:div w:id="834304491">
      <w:bodyDiv w:val="1"/>
      <w:marLeft w:val="0"/>
      <w:marRight w:val="0"/>
      <w:marTop w:val="0"/>
      <w:marBottom w:val="0"/>
      <w:divBdr>
        <w:top w:val="none" w:sz="0" w:space="0" w:color="auto"/>
        <w:left w:val="none" w:sz="0" w:space="0" w:color="auto"/>
        <w:bottom w:val="none" w:sz="0" w:space="0" w:color="auto"/>
        <w:right w:val="none" w:sz="0" w:space="0" w:color="auto"/>
      </w:divBdr>
    </w:div>
    <w:div w:id="21237678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866</Words>
  <Characters>5304</Characters>
  <Application>Microsoft Office Word</Application>
  <DocSecurity>0</DocSecurity>
  <Lines>221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Similade Ogundare</cp:lastModifiedBy>
  <cp:revision>2</cp:revision>
  <dcterms:created xsi:type="dcterms:W3CDTF">2013-12-23T23:15:00Z</dcterms:created>
  <dcterms:modified xsi:type="dcterms:W3CDTF">2025-12-15T10:41:00Z</dcterms:modified>
  <cp:category/>
</cp:coreProperties>
</file>