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Verein membership changes</w:t>
        <w:br w:type="textWrapping"/>
        <w:t xml:space="preserve"> Date: Mar 20</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Dann fragst du</w:t>
        <w:br w:type="textWrapping"/>
        <w:t xml:space="preserve"> Speaker B: natürlich,</w:t>
        <w:br w:type="textWrapping"/>
        <w:t xml:space="preserve"> Speaker A: was ist jetzt, warum solltest du überhaupt? Muss ich. Der Punkt ist natürlich, wenn irgendwann aus den sechs nur noch drei werden, dann muss der Verein aufgelöst werden. Drei ist dann Untergrenze Vereinsmitglieder. Das ist natürlich so ein Punkt, der sich früher nie gestellt hat. Du hättest gar nicht anfangen dürfen, wenn du nicht von vornherein sagst, ja, ich werde Vereinsmitglied. Und das ist anders geworden. Das ist jetzt dreiig Jahre gut gegangen. Jetzt wehren sich die Zeitpunkte, wo Personen aufhören, die eben schon dreiig Jahre dabei sind. Wie vermitteln wir das den anderen?</w:t>
        <w:br w:type="textWrapping"/>
        <w:t xml:space="preserve"> Speaker B: Das heißt, wenn die Leute fragen, warum das so ist, dann werde ich sagen, guck mal, ich habe die Information von mir schon aufgenommen, sie schauen in unserer Redewese, da könnt ihr abtippen und Antwort kriegen. Möchtest du dann jetzt.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