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66A68C">
      <w:pPr>
        <w:jc w:val="center"/>
        <w:rPr>
          <w:rFonts w:hint="eastAsia"/>
        </w:rPr>
      </w:pPr>
      <w:r>
        <w:drawing>
          <wp:inline distT="0" distB="0" distL="0" distR="0">
            <wp:extent cx="5133975" cy="828675"/>
            <wp:effectExtent l="0" t="0" r="9525" b="9525"/>
            <wp:docPr id="2" name="图片 2" descr="新校标组合20100609正规用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新校标组合20100609正规用法"/>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33975" cy="828675"/>
                    </a:xfrm>
                    <a:prstGeom prst="rect">
                      <a:avLst/>
                    </a:prstGeom>
                    <a:noFill/>
                    <a:ln>
                      <a:noFill/>
                    </a:ln>
                  </pic:spPr>
                </pic:pic>
              </a:graphicData>
            </a:graphic>
          </wp:inline>
        </w:drawing>
      </w:r>
    </w:p>
    <w:p w14:paraId="4C70A2CE">
      <w:pPr>
        <w:spacing w:before="1560" w:beforeLines="500" w:after="1560" w:afterLines="500"/>
        <w:jc w:val="center"/>
        <w:rPr>
          <w:rFonts w:hint="eastAsia" w:ascii="黑体" w:hAnsi="黑体" w:eastAsia="黑体"/>
          <w:b/>
          <w:sz w:val="52"/>
          <w:szCs w:val="52"/>
        </w:rPr>
      </w:pPr>
      <w:r>
        <w:rPr>
          <w:rFonts w:hint="eastAsia" w:ascii="黑体" w:hAnsi="黑体" w:eastAsia="黑体"/>
          <w:b/>
          <w:sz w:val="52"/>
          <w:szCs w:val="52"/>
        </w:rPr>
        <w:t>本科毕业设计（论文）开题报告</w:t>
      </w:r>
    </w:p>
    <w:tbl>
      <w:tblPr>
        <w:tblStyle w:val="8"/>
        <w:tblW w:w="4546" w:type="pct"/>
        <w:jc w:val="center"/>
        <w:tblLayout w:type="autofit"/>
        <w:tblCellMar>
          <w:top w:w="0" w:type="dxa"/>
          <w:left w:w="108" w:type="dxa"/>
          <w:bottom w:w="0" w:type="dxa"/>
          <w:right w:w="108" w:type="dxa"/>
        </w:tblCellMar>
      </w:tblPr>
      <w:tblGrid>
        <w:gridCol w:w="1393"/>
        <w:gridCol w:w="7050"/>
      </w:tblGrid>
      <w:tr w14:paraId="0AD613D8">
        <w:tblPrEx>
          <w:tblCellMar>
            <w:top w:w="0" w:type="dxa"/>
            <w:left w:w="108" w:type="dxa"/>
            <w:bottom w:w="0" w:type="dxa"/>
            <w:right w:w="108" w:type="dxa"/>
          </w:tblCellMar>
        </w:tblPrEx>
        <w:trPr>
          <w:jc w:val="center"/>
        </w:trPr>
        <w:tc>
          <w:tcPr>
            <w:tcW w:w="825" w:type="pct"/>
          </w:tcPr>
          <w:p w14:paraId="17A1A7F0">
            <w:pPr>
              <w:jc w:val="center"/>
              <w:rPr>
                <w:rFonts w:ascii="宋体" w:hAnsi="宋体"/>
                <w:b/>
                <w:sz w:val="32"/>
                <w:szCs w:val="32"/>
              </w:rPr>
            </w:pPr>
            <w:r>
              <w:rPr>
                <w:rFonts w:hint="eastAsia" w:ascii="宋体" w:hAnsi="宋体"/>
                <w:b/>
                <w:sz w:val="32"/>
                <w:szCs w:val="32"/>
              </w:rPr>
              <w:t>题目：</w:t>
            </w:r>
          </w:p>
        </w:tc>
        <w:tc>
          <w:tcPr>
            <w:tcW w:w="4175" w:type="pct"/>
            <w:tcBorders>
              <w:top w:val="nil"/>
              <w:left w:val="nil"/>
              <w:bottom w:val="single" w:color="auto" w:sz="4" w:space="0"/>
              <w:right w:val="nil"/>
            </w:tcBorders>
            <w:vAlign w:val="center"/>
          </w:tcPr>
          <w:p w14:paraId="555AE184">
            <w:pPr>
              <w:jc w:val="center"/>
              <w:rPr>
                <w:rFonts w:hint="eastAsia" w:ascii="宋体" w:hAnsi="宋体"/>
                <w:b/>
                <w:sz w:val="32"/>
                <w:szCs w:val="32"/>
              </w:rPr>
            </w:pPr>
            <w:r>
              <w:rPr>
                <w:rFonts w:hint="eastAsia" w:ascii="宋体" w:hAnsi="宋体"/>
                <w:b/>
                <w:sz w:val="32"/>
                <w:szCs w:val="32"/>
              </w:rPr>
              <w:t>阿兹海默症生物标志物挖掘系统设计</w:t>
            </w:r>
          </w:p>
        </w:tc>
      </w:tr>
      <w:tr w14:paraId="15F40577">
        <w:tblPrEx>
          <w:tblCellMar>
            <w:top w:w="0" w:type="dxa"/>
            <w:left w:w="108" w:type="dxa"/>
            <w:bottom w:w="0" w:type="dxa"/>
            <w:right w:w="108" w:type="dxa"/>
          </w:tblCellMar>
        </w:tblPrEx>
        <w:trPr>
          <w:jc w:val="center"/>
        </w:trPr>
        <w:tc>
          <w:tcPr>
            <w:tcW w:w="825" w:type="pct"/>
          </w:tcPr>
          <w:p w14:paraId="09C1D7D1">
            <w:pPr>
              <w:jc w:val="center"/>
              <w:rPr>
                <w:rFonts w:hint="eastAsia" w:ascii="黑体" w:hAnsi="黑体" w:eastAsia="黑体"/>
                <w:b/>
                <w:sz w:val="32"/>
                <w:szCs w:val="32"/>
              </w:rPr>
            </w:pPr>
          </w:p>
        </w:tc>
        <w:tc>
          <w:tcPr>
            <w:tcW w:w="4175" w:type="pct"/>
            <w:tcBorders>
              <w:top w:val="single" w:color="auto" w:sz="4" w:space="0"/>
              <w:left w:val="nil"/>
              <w:bottom w:val="single" w:color="auto" w:sz="4" w:space="0"/>
              <w:right w:val="nil"/>
            </w:tcBorders>
            <w:vAlign w:val="center"/>
          </w:tcPr>
          <w:p w14:paraId="205B2142">
            <w:pPr>
              <w:rPr>
                <w:rFonts w:hint="eastAsia" w:ascii="黑体" w:hAnsi="黑体" w:eastAsia="黑体"/>
                <w:b/>
                <w:sz w:val="32"/>
                <w:szCs w:val="32"/>
              </w:rPr>
            </w:pPr>
          </w:p>
        </w:tc>
      </w:tr>
    </w:tbl>
    <w:p w14:paraId="105EC4A3">
      <w:pPr>
        <w:adjustRightInd w:val="0"/>
        <w:snapToGrid w:val="0"/>
        <w:spacing w:after="0" w:line="480" w:lineRule="auto"/>
        <w:ind w:right="206"/>
        <w:rPr>
          <w:rFonts w:hint="eastAsia"/>
          <w:bCs/>
          <w:sz w:val="32"/>
          <w:szCs w:val="32"/>
          <w:u w:val="single"/>
        </w:rPr>
      </w:pPr>
    </w:p>
    <w:p w14:paraId="33761FD5">
      <w:pPr>
        <w:adjustRightInd w:val="0"/>
        <w:snapToGrid w:val="0"/>
        <w:spacing w:after="0" w:line="480" w:lineRule="auto"/>
        <w:rPr>
          <w:b/>
          <w:bCs/>
          <w:sz w:val="10"/>
          <w:szCs w:val="10"/>
        </w:rPr>
      </w:pPr>
    </w:p>
    <w:tbl>
      <w:tblPr>
        <w:tblStyle w:val="8"/>
        <w:tblW w:w="0" w:type="auto"/>
        <w:jc w:val="center"/>
        <w:tblLayout w:type="fixed"/>
        <w:tblCellMar>
          <w:top w:w="0" w:type="dxa"/>
          <w:left w:w="108" w:type="dxa"/>
          <w:bottom w:w="0" w:type="dxa"/>
          <w:right w:w="108" w:type="dxa"/>
        </w:tblCellMar>
      </w:tblPr>
      <w:tblGrid>
        <w:gridCol w:w="2232"/>
        <w:gridCol w:w="236"/>
        <w:gridCol w:w="5677"/>
      </w:tblGrid>
      <w:tr w14:paraId="38D9B6EA">
        <w:tblPrEx>
          <w:tblCellMar>
            <w:top w:w="0" w:type="dxa"/>
            <w:left w:w="108" w:type="dxa"/>
            <w:bottom w:w="0" w:type="dxa"/>
            <w:right w:w="108" w:type="dxa"/>
          </w:tblCellMar>
        </w:tblPrEx>
        <w:trPr>
          <w:jc w:val="center"/>
        </w:trPr>
        <w:tc>
          <w:tcPr>
            <w:tcW w:w="2232" w:type="dxa"/>
            <w:vAlign w:val="center"/>
          </w:tcPr>
          <w:p w14:paraId="6E0BA9E2">
            <w:pPr>
              <w:jc w:val="distribute"/>
              <w:rPr>
                <w:rFonts w:ascii="宋体" w:hAnsi="宋体"/>
                <w:b/>
                <w:bCs/>
                <w:sz w:val="30"/>
                <w:szCs w:val="30"/>
              </w:rPr>
            </w:pPr>
            <w:r>
              <w:rPr>
                <w:rFonts w:hint="eastAsia" w:ascii="宋体" w:hAnsi="宋体"/>
                <w:b/>
                <w:bCs/>
                <w:sz w:val="30"/>
                <w:szCs w:val="30"/>
              </w:rPr>
              <w:t>学号</w:t>
            </w:r>
          </w:p>
        </w:tc>
        <w:tc>
          <w:tcPr>
            <w:tcW w:w="236" w:type="dxa"/>
          </w:tcPr>
          <w:p w14:paraId="6764AF1C">
            <w:pPr>
              <w:jc w:val="center"/>
              <w:rPr>
                <w:rFonts w:hint="eastAsia" w:ascii="宋体" w:hAnsi="宋体"/>
                <w:sz w:val="30"/>
                <w:szCs w:val="30"/>
              </w:rPr>
            </w:pPr>
            <w:r>
              <w:rPr>
                <w:rFonts w:hint="eastAsia" w:ascii="宋体" w:hAnsi="宋体"/>
                <w:sz w:val="30"/>
                <w:szCs w:val="30"/>
              </w:rPr>
              <w:t>：</w:t>
            </w:r>
          </w:p>
        </w:tc>
        <w:tc>
          <w:tcPr>
            <w:tcW w:w="5677" w:type="dxa"/>
            <w:tcBorders>
              <w:top w:val="nil"/>
              <w:left w:val="nil"/>
              <w:bottom w:val="single" w:color="auto" w:sz="4" w:space="0"/>
              <w:right w:val="nil"/>
            </w:tcBorders>
            <w:vAlign w:val="center"/>
          </w:tcPr>
          <w:p w14:paraId="030502F3">
            <w:pPr>
              <w:jc w:val="center"/>
              <w:rPr>
                <w:rFonts w:hint="eastAsia" w:ascii="宋体" w:hAnsi="宋体"/>
                <w:sz w:val="30"/>
                <w:szCs w:val="30"/>
              </w:rPr>
            </w:pPr>
            <w:r>
              <w:rPr>
                <w:rFonts w:hint="eastAsia" w:ascii="宋体" w:hAnsi="宋体"/>
                <w:sz w:val="30"/>
                <w:szCs w:val="30"/>
              </w:rPr>
              <w:t>2101620112</w:t>
            </w:r>
          </w:p>
        </w:tc>
      </w:tr>
      <w:tr w14:paraId="14ABC4A2">
        <w:tblPrEx>
          <w:tblCellMar>
            <w:top w:w="0" w:type="dxa"/>
            <w:left w:w="108" w:type="dxa"/>
            <w:bottom w:w="0" w:type="dxa"/>
            <w:right w:w="108" w:type="dxa"/>
          </w:tblCellMar>
        </w:tblPrEx>
        <w:trPr>
          <w:jc w:val="center"/>
        </w:trPr>
        <w:tc>
          <w:tcPr>
            <w:tcW w:w="2232" w:type="dxa"/>
            <w:vAlign w:val="center"/>
          </w:tcPr>
          <w:p w14:paraId="13518048">
            <w:pPr>
              <w:jc w:val="distribute"/>
              <w:rPr>
                <w:rFonts w:hint="eastAsia" w:ascii="宋体" w:hAnsi="宋体"/>
                <w:b/>
                <w:bCs/>
                <w:sz w:val="30"/>
                <w:szCs w:val="30"/>
              </w:rPr>
            </w:pPr>
            <w:r>
              <w:rPr>
                <w:rFonts w:hint="eastAsia" w:ascii="宋体" w:hAnsi="宋体"/>
                <w:b/>
                <w:bCs/>
                <w:sz w:val="30"/>
                <w:szCs w:val="30"/>
              </w:rPr>
              <w:t>姓名</w:t>
            </w:r>
          </w:p>
        </w:tc>
        <w:tc>
          <w:tcPr>
            <w:tcW w:w="236" w:type="dxa"/>
          </w:tcPr>
          <w:p w14:paraId="67017E61">
            <w:pPr>
              <w:jc w:val="center"/>
              <w:rPr>
                <w:rFonts w:hint="eastAsia" w:ascii="宋体" w:hAnsi="宋体"/>
                <w:sz w:val="30"/>
                <w:szCs w:val="30"/>
              </w:rPr>
            </w:pPr>
            <w:r>
              <w:rPr>
                <w:rFonts w:hint="eastAsia" w:ascii="宋体" w:hAnsi="宋体"/>
                <w:sz w:val="30"/>
                <w:szCs w:val="30"/>
              </w:rPr>
              <w:t>：</w:t>
            </w:r>
          </w:p>
        </w:tc>
        <w:tc>
          <w:tcPr>
            <w:tcW w:w="5677" w:type="dxa"/>
            <w:tcBorders>
              <w:top w:val="single" w:color="auto" w:sz="4" w:space="0"/>
              <w:left w:val="nil"/>
              <w:bottom w:val="single" w:color="auto" w:sz="4" w:space="0"/>
              <w:right w:val="nil"/>
            </w:tcBorders>
            <w:vAlign w:val="center"/>
          </w:tcPr>
          <w:p w14:paraId="670BC061">
            <w:pPr>
              <w:jc w:val="center"/>
              <w:rPr>
                <w:rFonts w:hint="eastAsia" w:ascii="宋体" w:hAnsi="宋体"/>
                <w:sz w:val="30"/>
                <w:szCs w:val="30"/>
              </w:rPr>
            </w:pPr>
            <w:r>
              <w:rPr>
                <w:rFonts w:hint="eastAsia" w:ascii="宋体" w:hAnsi="宋体"/>
                <w:sz w:val="30"/>
                <w:szCs w:val="30"/>
              </w:rPr>
              <w:t>刘朝</w:t>
            </w:r>
          </w:p>
        </w:tc>
      </w:tr>
      <w:tr w14:paraId="35F97BE0">
        <w:tblPrEx>
          <w:tblCellMar>
            <w:top w:w="0" w:type="dxa"/>
            <w:left w:w="108" w:type="dxa"/>
            <w:bottom w:w="0" w:type="dxa"/>
            <w:right w:w="108" w:type="dxa"/>
          </w:tblCellMar>
        </w:tblPrEx>
        <w:trPr>
          <w:jc w:val="center"/>
        </w:trPr>
        <w:tc>
          <w:tcPr>
            <w:tcW w:w="2232" w:type="dxa"/>
            <w:vAlign w:val="center"/>
          </w:tcPr>
          <w:p w14:paraId="2F374606">
            <w:pPr>
              <w:jc w:val="distribute"/>
              <w:rPr>
                <w:rFonts w:hint="eastAsia" w:ascii="宋体" w:hAnsi="宋体"/>
                <w:b/>
                <w:bCs/>
                <w:sz w:val="30"/>
                <w:szCs w:val="30"/>
              </w:rPr>
            </w:pPr>
            <w:r>
              <w:rPr>
                <w:rFonts w:hint="eastAsia" w:ascii="宋体" w:hAnsi="宋体"/>
                <w:b/>
                <w:bCs/>
                <w:sz w:val="30"/>
                <w:szCs w:val="30"/>
              </w:rPr>
              <w:t>学院</w:t>
            </w:r>
          </w:p>
        </w:tc>
        <w:tc>
          <w:tcPr>
            <w:tcW w:w="236" w:type="dxa"/>
          </w:tcPr>
          <w:p w14:paraId="335BDDD2">
            <w:pPr>
              <w:jc w:val="center"/>
              <w:rPr>
                <w:rFonts w:hint="eastAsia" w:ascii="宋体" w:hAnsi="宋体"/>
                <w:sz w:val="30"/>
                <w:szCs w:val="30"/>
              </w:rPr>
            </w:pPr>
            <w:r>
              <w:rPr>
                <w:rFonts w:hint="eastAsia" w:ascii="宋体" w:hAnsi="宋体"/>
                <w:sz w:val="30"/>
                <w:szCs w:val="30"/>
              </w:rPr>
              <w:t>：</w:t>
            </w:r>
          </w:p>
        </w:tc>
        <w:tc>
          <w:tcPr>
            <w:tcW w:w="5677" w:type="dxa"/>
            <w:tcBorders>
              <w:top w:val="single" w:color="auto" w:sz="4" w:space="0"/>
              <w:left w:val="nil"/>
              <w:bottom w:val="single" w:color="auto" w:sz="4" w:space="0"/>
              <w:right w:val="nil"/>
            </w:tcBorders>
            <w:vAlign w:val="center"/>
          </w:tcPr>
          <w:p w14:paraId="5EF53946">
            <w:pPr>
              <w:jc w:val="center"/>
              <w:rPr>
                <w:rFonts w:hint="eastAsia" w:ascii="宋体" w:hAnsi="宋体"/>
                <w:sz w:val="30"/>
                <w:szCs w:val="30"/>
              </w:rPr>
            </w:pPr>
            <w:r>
              <w:rPr>
                <w:rFonts w:hint="eastAsia" w:ascii="宋体" w:hAnsi="宋体"/>
                <w:sz w:val="30"/>
                <w:szCs w:val="30"/>
              </w:rPr>
              <w:t>人工智能学院</w:t>
            </w:r>
          </w:p>
        </w:tc>
      </w:tr>
      <w:tr w14:paraId="2C8539B7">
        <w:tblPrEx>
          <w:tblCellMar>
            <w:top w:w="0" w:type="dxa"/>
            <w:left w:w="108" w:type="dxa"/>
            <w:bottom w:w="0" w:type="dxa"/>
            <w:right w:w="108" w:type="dxa"/>
          </w:tblCellMar>
        </w:tblPrEx>
        <w:trPr>
          <w:jc w:val="center"/>
        </w:trPr>
        <w:tc>
          <w:tcPr>
            <w:tcW w:w="2232" w:type="dxa"/>
            <w:vAlign w:val="center"/>
          </w:tcPr>
          <w:p w14:paraId="37BC3102">
            <w:pPr>
              <w:jc w:val="distribute"/>
              <w:rPr>
                <w:rFonts w:hint="eastAsia" w:ascii="宋体" w:hAnsi="宋体"/>
                <w:b/>
                <w:bCs/>
                <w:sz w:val="30"/>
                <w:szCs w:val="30"/>
              </w:rPr>
            </w:pPr>
            <w:r>
              <w:rPr>
                <w:rFonts w:hint="eastAsia" w:ascii="宋体" w:hAnsi="宋体"/>
                <w:b/>
                <w:bCs/>
                <w:sz w:val="30"/>
                <w:szCs w:val="30"/>
              </w:rPr>
              <w:t>专业</w:t>
            </w:r>
          </w:p>
        </w:tc>
        <w:tc>
          <w:tcPr>
            <w:tcW w:w="236" w:type="dxa"/>
          </w:tcPr>
          <w:p w14:paraId="06C4015F">
            <w:pPr>
              <w:jc w:val="center"/>
              <w:rPr>
                <w:rFonts w:hint="eastAsia" w:ascii="宋体" w:hAnsi="宋体"/>
                <w:sz w:val="30"/>
                <w:szCs w:val="30"/>
              </w:rPr>
            </w:pPr>
            <w:r>
              <w:rPr>
                <w:rFonts w:hint="eastAsia" w:ascii="宋体" w:hAnsi="宋体"/>
                <w:sz w:val="30"/>
                <w:szCs w:val="30"/>
              </w:rPr>
              <w:t>：</w:t>
            </w:r>
          </w:p>
        </w:tc>
        <w:tc>
          <w:tcPr>
            <w:tcW w:w="5677" w:type="dxa"/>
            <w:tcBorders>
              <w:top w:val="single" w:color="auto" w:sz="4" w:space="0"/>
              <w:left w:val="nil"/>
              <w:bottom w:val="single" w:color="auto" w:sz="4" w:space="0"/>
              <w:right w:val="nil"/>
            </w:tcBorders>
            <w:vAlign w:val="center"/>
          </w:tcPr>
          <w:p w14:paraId="259F5E20">
            <w:pPr>
              <w:jc w:val="center"/>
              <w:rPr>
                <w:rFonts w:hint="eastAsia" w:ascii="宋体" w:hAnsi="宋体"/>
                <w:sz w:val="30"/>
                <w:szCs w:val="30"/>
              </w:rPr>
            </w:pPr>
            <w:r>
              <w:rPr>
                <w:rFonts w:hint="eastAsia" w:ascii="宋体" w:hAnsi="宋体"/>
                <w:sz w:val="30"/>
                <w:szCs w:val="30"/>
              </w:rPr>
              <w:t>机器人工程</w:t>
            </w:r>
          </w:p>
        </w:tc>
      </w:tr>
      <w:tr w14:paraId="3FE0E084">
        <w:tblPrEx>
          <w:tblCellMar>
            <w:top w:w="0" w:type="dxa"/>
            <w:left w:w="108" w:type="dxa"/>
            <w:bottom w:w="0" w:type="dxa"/>
            <w:right w:w="108" w:type="dxa"/>
          </w:tblCellMar>
        </w:tblPrEx>
        <w:trPr>
          <w:jc w:val="center"/>
        </w:trPr>
        <w:tc>
          <w:tcPr>
            <w:tcW w:w="2232" w:type="dxa"/>
            <w:vAlign w:val="center"/>
          </w:tcPr>
          <w:p w14:paraId="3639A6BB">
            <w:pPr>
              <w:jc w:val="distribute"/>
              <w:rPr>
                <w:rFonts w:hint="eastAsia" w:ascii="宋体" w:hAnsi="宋体"/>
                <w:b/>
                <w:bCs/>
                <w:sz w:val="30"/>
                <w:szCs w:val="30"/>
              </w:rPr>
            </w:pPr>
            <w:r>
              <w:rPr>
                <w:rFonts w:hint="eastAsia" w:ascii="宋体" w:hAnsi="宋体"/>
                <w:b/>
                <w:bCs/>
                <w:sz w:val="30"/>
                <w:szCs w:val="30"/>
              </w:rPr>
              <w:t>指导教师</w:t>
            </w:r>
          </w:p>
        </w:tc>
        <w:tc>
          <w:tcPr>
            <w:tcW w:w="236" w:type="dxa"/>
          </w:tcPr>
          <w:p w14:paraId="18733A7E">
            <w:pPr>
              <w:jc w:val="center"/>
              <w:rPr>
                <w:rFonts w:hint="eastAsia" w:ascii="宋体" w:hAnsi="宋体"/>
                <w:sz w:val="30"/>
                <w:szCs w:val="30"/>
              </w:rPr>
            </w:pPr>
            <w:r>
              <w:rPr>
                <w:rFonts w:hint="eastAsia" w:ascii="宋体" w:hAnsi="宋体"/>
                <w:sz w:val="30"/>
                <w:szCs w:val="30"/>
              </w:rPr>
              <w:t>：</w:t>
            </w:r>
          </w:p>
        </w:tc>
        <w:tc>
          <w:tcPr>
            <w:tcW w:w="5677" w:type="dxa"/>
            <w:tcBorders>
              <w:top w:val="single" w:color="auto" w:sz="4" w:space="0"/>
              <w:left w:val="nil"/>
              <w:bottom w:val="single" w:color="auto" w:sz="4" w:space="0"/>
              <w:right w:val="nil"/>
            </w:tcBorders>
            <w:vAlign w:val="center"/>
          </w:tcPr>
          <w:p w14:paraId="34CDAD7E">
            <w:pPr>
              <w:jc w:val="center"/>
              <w:rPr>
                <w:rFonts w:hint="eastAsia" w:ascii="宋体" w:hAnsi="宋体"/>
                <w:sz w:val="30"/>
                <w:szCs w:val="30"/>
              </w:rPr>
            </w:pPr>
            <w:r>
              <w:rPr>
                <w:rFonts w:hint="eastAsia" w:ascii="宋体" w:hAnsi="宋体"/>
                <w:sz w:val="30"/>
                <w:szCs w:val="30"/>
              </w:rPr>
              <w:t>蓝朝旺</w:t>
            </w:r>
          </w:p>
        </w:tc>
      </w:tr>
      <w:tr w14:paraId="172497DA">
        <w:tblPrEx>
          <w:tblCellMar>
            <w:top w:w="0" w:type="dxa"/>
            <w:left w:w="108" w:type="dxa"/>
            <w:bottom w:w="0" w:type="dxa"/>
            <w:right w:w="108" w:type="dxa"/>
          </w:tblCellMar>
        </w:tblPrEx>
        <w:trPr>
          <w:jc w:val="center"/>
        </w:trPr>
        <w:tc>
          <w:tcPr>
            <w:tcW w:w="2232" w:type="dxa"/>
            <w:vAlign w:val="center"/>
          </w:tcPr>
          <w:p w14:paraId="0DD6C326">
            <w:pPr>
              <w:jc w:val="distribute"/>
              <w:rPr>
                <w:rFonts w:hint="eastAsia" w:ascii="宋体" w:hAnsi="宋体"/>
                <w:b/>
                <w:bCs/>
                <w:sz w:val="30"/>
                <w:szCs w:val="30"/>
              </w:rPr>
            </w:pPr>
            <w:r>
              <w:rPr>
                <w:rFonts w:hint="eastAsia" w:ascii="宋体" w:hAnsi="宋体"/>
                <w:b/>
                <w:bCs/>
                <w:sz w:val="30"/>
                <w:szCs w:val="30"/>
              </w:rPr>
              <w:t>指导教师职称</w:t>
            </w:r>
          </w:p>
        </w:tc>
        <w:tc>
          <w:tcPr>
            <w:tcW w:w="236" w:type="dxa"/>
          </w:tcPr>
          <w:p w14:paraId="1BF39470">
            <w:pPr>
              <w:jc w:val="center"/>
              <w:rPr>
                <w:rFonts w:hint="eastAsia" w:ascii="宋体" w:hAnsi="宋体"/>
                <w:sz w:val="30"/>
                <w:szCs w:val="30"/>
              </w:rPr>
            </w:pPr>
            <w:r>
              <w:rPr>
                <w:rFonts w:hint="eastAsia" w:ascii="宋体" w:hAnsi="宋体"/>
                <w:sz w:val="30"/>
                <w:szCs w:val="30"/>
              </w:rPr>
              <w:t>：</w:t>
            </w:r>
          </w:p>
        </w:tc>
        <w:tc>
          <w:tcPr>
            <w:tcW w:w="5677" w:type="dxa"/>
            <w:tcBorders>
              <w:top w:val="single" w:color="auto" w:sz="4" w:space="0"/>
              <w:left w:val="nil"/>
              <w:bottom w:val="single" w:color="auto" w:sz="4" w:space="0"/>
              <w:right w:val="nil"/>
            </w:tcBorders>
            <w:vAlign w:val="center"/>
          </w:tcPr>
          <w:p w14:paraId="4875A5AC">
            <w:pPr>
              <w:jc w:val="center"/>
              <w:rPr>
                <w:rFonts w:hint="eastAsia" w:ascii="宋体" w:hAnsi="宋体"/>
                <w:sz w:val="30"/>
                <w:szCs w:val="30"/>
              </w:rPr>
            </w:pPr>
            <w:r>
              <w:rPr>
                <w:rFonts w:hint="eastAsia" w:ascii="宋体" w:hAnsi="宋体"/>
                <w:sz w:val="30"/>
                <w:szCs w:val="30"/>
              </w:rPr>
              <w:t>讲师</w:t>
            </w:r>
          </w:p>
        </w:tc>
      </w:tr>
    </w:tbl>
    <w:p w14:paraId="7BAF30E7">
      <w:pPr>
        <w:adjustRightInd w:val="0"/>
        <w:snapToGrid w:val="0"/>
        <w:spacing w:after="0" w:line="480" w:lineRule="auto"/>
        <w:rPr>
          <w:rFonts w:hint="eastAsia"/>
          <w:b/>
          <w:bCs/>
          <w:sz w:val="30"/>
        </w:rPr>
      </w:pPr>
    </w:p>
    <w:p w14:paraId="325943BE">
      <w:pPr>
        <w:jc w:val="center"/>
        <w:rPr>
          <w:rFonts w:ascii="宋体" w:hAnsi="宋体"/>
          <w:sz w:val="32"/>
        </w:rPr>
      </w:pPr>
    </w:p>
    <w:p w14:paraId="4D1023FE">
      <w:pPr>
        <w:jc w:val="center"/>
        <w:rPr>
          <w:rFonts w:hint="eastAsia" w:ascii="宋体" w:hAnsi="宋体"/>
          <w:szCs w:val="21"/>
        </w:rPr>
      </w:pPr>
    </w:p>
    <w:p w14:paraId="77EAECFC">
      <w:pPr>
        <w:pStyle w:val="3"/>
        <w:ind w:left="536" w:right="458" w:rightChars="218" w:hanging="536" w:hangingChars="149"/>
        <w:rPr>
          <w:rFonts w:hint="eastAsia" w:ascii="仿宋_GB2312" w:hAnsi="??" w:eastAsia="黑体"/>
          <w:color w:val="000000"/>
          <w:sz w:val="36"/>
        </w:rPr>
      </w:pPr>
    </w:p>
    <w:p w14:paraId="2647C793">
      <w:pPr>
        <w:pStyle w:val="3"/>
        <w:ind w:left="691" w:right="458" w:rightChars="218" w:hanging="691"/>
        <w:jc w:val="center"/>
        <w:rPr>
          <w:rFonts w:ascii="仿宋_GB2312" w:hAnsi="??" w:eastAsia="黑体"/>
          <w:color w:val="000000"/>
          <w:sz w:val="36"/>
        </w:rPr>
      </w:pPr>
    </w:p>
    <w:p w14:paraId="0DBBA6BF">
      <w:pPr>
        <w:pStyle w:val="3"/>
        <w:ind w:left="691" w:right="458" w:rightChars="218" w:hanging="691"/>
        <w:jc w:val="center"/>
        <w:rPr>
          <w:rFonts w:hint="eastAsia" w:ascii="??" w:hAnsi="??"/>
          <w:color w:val="000000"/>
          <w:sz w:val="21"/>
          <w:szCs w:val="21"/>
        </w:rPr>
      </w:pPr>
      <w:r>
        <w:rPr>
          <w:rFonts w:hint="eastAsia" w:ascii="仿宋_GB2312" w:hAnsi="??" w:eastAsia="黑体"/>
          <w:color w:val="000000"/>
          <w:sz w:val="36"/>
        </w:rPr>
        <w:t>开题报告填写要求</w:t>
      </w:r>
    </w:p>
    <w:p w14:paraId="36710787">
      <w:pPr>
        <w:pStyle w:val="3"/>
        <w:ind w:left="538" w:leftChars="256" w:right="-260" w:rightChars="-124" w:firstLine="136" w:firstLineChars="65"/>
        <w:rPr>
          <w:rFonts w:hint="eastAsia" w:ascii="??" w:hAnsi="??"/>
          <w:color w:val="000000"/>
          <w:sz w:val="21"/>
          <w:szCs w:val="21"/>
        </w:rPr>
      </w:pPr>
    </w:p>
    <w:p w14:paraId="5C1E4C99">
      <w:pPr>
        <w:pStyle w:val="3"/>
        <w:spacing w:after="0" w:line="440" w:lineRule="exact"/>
        <w:ind w:left="718" w:leftChars="342" w:right="458" w:rightChars="218" w:firstLine="508" w:firstLineChars="212"/>
        <w:rPr>
          <w:rFonts w:hint="eastAsia" w:ascii="??" w:hAnsi="??"/>
          <w:color w:val="000000"/>
          <w:sz w:val="24"/>
        </w:rPr>
      </w:pPr>
      <w:r>
        <w:rPr>
          <w:rFonts w:ascii="??" w:hAnsi="??"/>
          <w:color w:val="000000"/>
          <w:sz w:val="24"/>
        </w:rPr>
        <w:t>1</w:t>
      </w:r>
      <w:r>
        <w:rPr>
          <w:rFonts w:hint="eastAsia"/>
          <w:color w:val="000000"/>
          <w:sz w:val="24"/>
        </w:rPr>
        <w:t>．开题报告作为毕业设计（论文）答辩委员会对学生答辩资格审查的依据材料之一。此报告应在指导教师指导下，由学生在毕业设计（论文）工作前期内完成，经指导教师签署意见审查后生效。</w:t>
      </w:r>
      <w:r>
        <w:rPr>
          <w:rFonts w:ascii="??" w:hAnsi="??"/>
          <w:color w:val="000000"/>
          <w:sz w:val="24"/>
        </w:rPr>
        <w:t xml:space="preserve">    </w:t>
      </w:r>
    </w:p>
    <w:p w14:paraId="33608260">
      <w:pPr>
        <w:pStyle w:val="3"/>
        <w:spacing w:after="0" w:line="440" w:lineRule="exact"/>
        <w:ind w:left="718" w:leftChars="342" w:right="458" w:rightChars="218" w:firstLine="508" w:firstLineChars="212"/>
        <w:rPr>
          <w:rFonts w:hint="eastAsia" w:ascii="??" w:hAnsi="??"/>
          <w:color w:val="000000"/>
          <w:sz w:val="24"/>
        </w:rPr>
      </w:pPr>
      <w:r>
        <w:rPr>
          <w:rFonts w:ascii="??" w:hAnsi="??"/>
          <w:color w:val="000000"/>
          <w:sz w:val="24"/>
        </w:rPr>
        <w:t> 2</w:t>
      </w:r>
      <w:r>
        <w:rPr>
          <w:rFonts w:hint="eastAsia"/>
          <w:color w:val="000000"/>
          <w:sz w:val="24"/>
        </w:rPr>
        <w:t>．开题报告内容必须用黑墨水笔工整书写，或按教务处统一设计的电子文档标准格式打印，禁止打印在其它纸上后剪贴，完成后应及时交给指导教师签署意见。</w:t>
      </w:r>
    </w:p>
    <w:p w14:paraId="467839CD">
      <w:pPr>
        <w:pStyle w:val="3"/>
        <w:spacing w:after="0" w:line="440" w:lineRule="exact"/>
        <w:ind w:left="718" w:leftChars="342" w:right="458" w:rightChars="218" w:firstLine="480" w:firstLineChars="200"/>
        <w:rPr>
          <w:rFonts w:hint="eastAsia" w:ascii="??" w:hAnsi="??"/>
          <w:color w:val="000000"/>
          <w:sz w:val="24"/>
        </w:rPr>
      </w:pPr>
      <w:r>
        <w:rPr>
          <w:rFonts w:ascii="??" w:hAnsi="??"/>
          <w:color w:val="000000"/>
          <w:sz w:val="24"/>
        </w:rPr>
        <w:t> 3</w:t>
      </w:r>
      <w:r>
        <w:rPr>
          <w:rFonts w:hint="eastAsia"/>
          <w:color w:val="000000"/>
          <w:sz w:val="24"/>
        </w:rPr>
        <w:t>．学生查阅资料的参考文献应在10篇及以上（不包括辞典、手册）。</w:t>
      </w:r>
    </w:p>
    <w:p w14:paraId="09D56C1A">
      <w:pPr>
        <w:pStyle w:val="3"/>
        <w:spacing w:after="0" w:line="440" w:lineRule="exact"/>
        <w:ind w:left="718" w:leftChars="342" w:right="458" w:rightChars="218" w:firstLine="508" w:firstLineChars="212"/>
        <w:rPr>
          <w:rFonts w:hint="eastAsia" w:ascii="??" w:hAnsi="??"/>
          <w:color w:val="000000"/>
          <w:sz w:val="24"/>
        </w:rPr>
      </w:pPr>
      <w:r>
        <w:rPr>
          <w:rFonts w:ascii="??" w:hAnsi="??"/>
          <w:color w:val="000000"/>
          <w:sz w:val="24"/>
        </w:rPr>
        <w:t> 4</w:t>
      </w:r>
      <w:r>
        <w:rPr>
          <w:rFonts w:hint="eastAsia"/>
          <w:color w:val="000000"/>
          <w:sz w:val="24"/>
        </w:rPr>
        <w:t>．有关年月日等日期的填写，应当按照国标GB/T 7408—94《数据元和交换格式、信息交换、日期和时间表示法》规定的要求，一律用阿拉伯数字书写。如“2012年12月25日”或“2012-12-25”。</w:t>
      </w:r>
    </w:p>
    <w:p w14:paraId="6BC0E90B">
      <w:pPr>
        <w:pStyle w:val="3"/>
        <w:spacing w:after="0" w:line="440" w:lineRule="exact"/>
        <w:ind w:left="718" w:leftChars="342" w:right="458" w:rightChars="218" w:firstLine="508" w:firstLineChars="212"/>
        <w:rPr>
          <w:rFonts w:hint="eastAsia" w:ascii="??" w:hAnsi="??"/>
          <w:color w:val="000000"/>
          <w:sz w:val="24"/>
        </w:rPr>
      </w:pPr>
      <w:r>
        <w:rPr>
          <w:rFonts w:ascii="??" w:hAnsi="??"/>
          <w:color w:val="000000"/>
          <w:sz w:val="24"/>
        </w:rPr>
        <w:t> </w:t>
      </w:r>
    </w:p>
    <w:p w14:paraId="2B50633A">
      <w:pPr>
        <w:pStyle w:val="3"/>
        <w:spacing w:after="0" w:line="440" w:lineRule="exact"/>
        <w:ind w:left="718" w:leftChars="342" w:right="458" w:rightChars="218" w:firstLine="445" w:firstLineChars="212"/>
        <w:rPr>
          <w:rFonts w:hint="eastAsia" w:ascii="??" w:hAnsi="??"/>
          <w:color w:val="000000"/>
          <w:sz w:val="21"/>
          <w:szCs w:val="21"/>
        </w:rPr>
      </w:pPr>
      <w:r>
        <w:rPr>
          <w:rFonts w:ascii="??" w:hAnsi="??"/>
          <w:color w:val="000000"/>
          <w:sz w:val="21"/>
          <w:szCs w:val="21"/>
        </w:rPr>
        <w:t> </w:t>
      </w:r>
    </w:p>
    <w:p w14:paraId="3AD0249D"/>
    <w:p w14:paraId="5AF372DD"/>
    <w:p w14:paraId="3F3C9664"/>
    <w:p w14:paraId="63F903B3"/>
    <w:p w14:paraId="500CD597"/>
    <w:p w14:paraId="74D2DE27"/>
    <w:p w14:paraId="6269C41C"/>
    <w:p w14:paraId="7A40E39C"/>
    <w:p w14:paraId="5894690B"/>
    <w:p w14:paraId="0AFA28D5"/>
    <w:p w14:paraId="682AD76F"/>
    <w:p w14:paraId="6F4CE94E"/>
    <w:p w14:paraId="55072A0B"/>
    <w:p w14:paraId="5FB27E8A"/>
    <w:p w14:paraId="25CDE41A"/>
    <w:p w14:paraId="7B1BF17B"/>
    <w:p w14:paraId="694FD32E">
      <w:pPr>
        <w:sectPr>
          <w:headerReference r:id="rId5" w:type="first"/>
          <w:headerReference r:id="rId3" w:type="default"/>
          <w:headerReference r:id="rId4" w:type="even"/>
          <w:pgSz w:w="11906" w:h="16838"/>
          <w:pgMar w:top="1134" w:right="1418" w:bottom="1134" w:left="1418" w:header="851" w:footer="992" w:gutter="0"/>
          <w:cols w:space="425" w:num="1"/>
          <w:docGrid w:type="lines" w:linePitch="312" w:charSpace="0"/>
        </w:sect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53"/>
      </w:tblGrid>
      <w:tr w14:paraId="5E9B05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jc w:val="center"/>
        </w:trPr>
        <w:tc>
          <w:tcPr>
            <w:tcW w:w="8953" w:type="dxa"/>
          </w:tcPr>
          <w:p w14:paraId="2C2936D2">
            <w:pPr>
              <w:rPr>
                <w:rFonts w:ascii="宋体" w:hAnsi="宋体"/>
                <w:sz w:val="28"/>
                <w:szCs w:val="28"/>
              </w:rPr>
            </w:pPr>
            <w:r>
              <w:rPr>
                <w:rFonts w:hint="eastAsia" w:ascii="宋体" w:hAnsi="宋体"/>
                <w:sz w:val="28"/>
                <w:szCs w:val="28"/>
              </w:rPr>
              <w:t>1．本课题的研究内容、重点及难点</w:t>
            </w:r>
          </w:p>
        </w:tc>
      </w:tr>
      <w:tr w14:paraId="35DCFD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8" w:hRule="atLeast"/>
          <w:jc w:val="center"/>
        </w:trPr>
        <w:tc>
          <w:tcPr>
            <w:tcW w:w="8953" w:type="dxa"/>
          </w:tcPr>
          <w:p w14:paraId="2FABD70E">
            <w:pPr>
              <w:rPr>
                <w:rFonts w:hint="eastAsia"/>
                <w:sz w:val="24"/>
                <w:szCs w:val="24"/>
                <w:lang w:val="en-US" w:eastAsia="zh-CN"/>
              </w:rPr>
            </w:pPr>
          </w:p>
          <w:p w14:paraId="1EE1DDEF">
            <w:pPr>
              <w:rPr>
                <w:sz w:val="24"/>
                <w:szCs w:val="24"/>
              </w:rPr>
            </w:pPr>
            <w:r>
              <w:rPr>
                <w:rFonts w:hint="eastAsia"/>
                <w:sz w:val="24"/>
                <w:szCs w:val="24"/>
                <w:lang w:val="en-US" w:eastAsia="zh-CN"/>
              </w:rPr>
              <w:t>一</w:t>
            </w:r>
            <w:r>
              <w:rPr>
                <w:rFonts w:hint="eastAsia"/>
                <w:sz w:val="24"/>
                <w:szCs w:val="24"/>
              </w:rPr>
              <w:t>．主要内容：</w:t>
            </w:r>
          </w:p>
          <w:p w14:paraId="12AC37BF">
            <w:pPr>
              <w:pStyle w:val="7"/>
              <w:keepNext w:val="0"/>
              <w:keepLines w:val="0"/>
              <w:widowControl/>
              <w:suppressLineNumbers w:val="0"/>
              <w:rPr>
                <w:sz w:val="24"/>
                <w:szCs w:val="24"/>
              </w:rPr>
            </w:pPr>
            <w:r>
              <w:rPr>
                <w:sz w:val="24"/>
                <w:szCs w:val="24"/>
              </w:rPr>
              <w:t>在阿尔茨海默病（Alzheimer's Disease, AD）的研究中，随着技术的进步，特别是单细胞RNA测序技术的应用，</w:t>
            </w:r>
            <w:r>
              <w:rPr>
                <w:rFonts w:hint="eastAsia"/>
                <w:sz w:val="24"/>
                <w:szCs w:val="24"/>
                <w:lang w:val="en-US" w:eastAsia="zh-CN"/>
              </w:rPr>
              <w:t>研究者</w:t>
            </w:r>
            <w:r>
              <w:rPr>
                <w:sz w:val="24"/>
                <w:szCs w:val="24"/>
              </w:rPr>
              <w:t>们能够更深入地了解疾病的分子机制。然而，由于</w:t>
            </w:r>
            <w:r>
              <w:rPr>
                <w:rFonts w:hint="eastAsia"/>
                <w:sz w:val="24"/>
                <w:szCs w:val="24"/>
                <w:lang w:val="en-US" w:eastAsia="zh-CN"/>
              </w:rPr>
              <w:t>miRNA和CSF</w:t>
            </w:r>
            <w:r>
              <w:rPr>
                <w:sz w:val="24"/>
                <w:szCs w:val="24"/>
              </w:rPr>
              <w:t>组织复杂且数据维度庞大，如何有效地从众多基因和特征中筛选出与疾病相关的关键信息，成为研究的一个重要挑战。因此，特征选择（Feature Selection）作为一种数据预处理和分析方法，能够帮助研究者从大量的基因表达数据中识别出与阿尔茨海默病相关的最具信息量的特征，为疾病的早期诊断、机制研究和</w:t>
            </w:r>
            <w:r>
              <w:rPr>
                <w:rFonts w:hint="eastAsia"/>
                <w:sz w:val="24"/>
                <w:szCs w:val="24"/>
                <w:lang w:val="en-US" w:eastAsia="zh-CN"/>
              </w:rPr>
              <w:t>预后</w:t>
            </w:r>
            <w:r>
              <w:rPr>
                <w:sz w:val="24"/>
                <w:szCs w:val="24"/>
              </w:rPr>
              <w:t>治疗提供支持。</w:t>
            </w:r>
          </w:p>
          <w:p w14:paraId="378FD3C8">
            <w:pPr>
              <w:pStyle w:val="7"/>
              <w:keepNext w:val="0"/>
              <w:keepLines w:val="0"/>
              <w:widowControl/>
              <w:suppressLineNumbers w:val="0"/>
              <w:rPr>
                <w:sz w:val="24"/>
                <w:szCs w:val="24"/>
              </w:rPr>
            </w:pPr>
            <w:r>
              <w:rPr>
                <w:sz w:val="24"/>
                <w:szCs w:val="24"/>
              </w:rPr>
              <w:t>特征选择通过评估不同特征的相关性、重要性和冗余性，选择出对疾病预测或分类最有用的特征。对于阿尔茨海默病来说，这一过程尤其重要，因为病理进程通常表现为大脑中多个细胞群体之间复杂的相互作用和基因表达的微妙变化。传统的特征选择方法包括过滤法（Filter Methods）、包裹法（Wrapper Methods）和嵌入法（Embedded Methods），每种方法都有其优缺点。近年来，集成特征选择方法逐渐成为研究的热点，因为它结合了多种特征选择策略，能够提高选择准确性和稳定性。在阿尔茨海默病的单细胞RNA测序数据分析中，集成特征选择方法尤为重要。通过集成不同的特征选择算法，研究人员能够综合多个模型的优点，增强特征选择的鲁棒性和精度</w:t>
            </w:r>
            <w:r>
              <w:rPr>
                <w:rFonts w:hint="eastAsia"/>
                <w:sz w:val="24"/>
                <w:szCs w:val="24"/>
                <w:lang w:eastAsia="zh-CN"/>
              </w:rPr>
              <w:t>，</w:t>
            </w:r>
            <w:r>
              <w:rPr>
                <w:sz w:val="24"/>
                <w:szCs w:val="24"/>
              </w:rPr>
              <w:t>进一步加深对疾病的理解。例如，通过结合不同来源的特征选择方法，可以在单细胞数据中挖掘出潜在的生物标志物，为早期诊断提供支持，同时也有助于为个体化医疗提供精准的特征信息。通过识别和验证这些重要的基因或细胞亚群，我们可以更清楚地了解阿尔茨海默病的发病机制，进而推动治疗策略的发展。</w:t>
            </w:r>
          </w:p>
          <w:p w14:paraId="44FCBABA">
            <w:pPr>
              <w:pStyle w:val="7"/>
              <w:keepNext w:val="0"/>
              <w:keepLines w:val="0"/>
              <w:widowControl/>
              <w:suppressLineNumbers w:val="0"/>
              <w:rPr>
                <w:sz w:val="24"/>
                <w:szCs w:val="24"/>
              </w:rPr>
            </w:pPr>
            <w:r>
              <w:rPr>
                <w:sz w:val="24"/>
                <w:szCs w:val="24"/>
              </w:rPr>
              <w:t>本课题旨在通过对阿尔茨海默病患者大脑组织单细胞测序数据进行集成特征选择，探索与疾病发生密切相关的基因表达模式和细胞亚群。这一过程将为阿尔茨海默病的早期诊断、精准治疗以及个性化医疗提供新的视角和方法，推动该领域的研究进展。</w:t>
            </w:r>
          </w:p>
          <w:p w14:paraId="56F0248F">
            <w:pPr>
              <w:numPr>
                <w:ilvl w:val="0"/>
                <w:numId w:val="1"/>
              </w:numPr>
              <w:rPr>
                <w:rFonts w:hint="eastAsia"/>
                <w:sz w:val="24"/>
                <w:szCs w:val="24"/>
              </w:rPr>
            </w:pPr>
            <w:r>
              <w:rPr>
                <w:rFonts w:hint="eastAsia"/>
                <w:sz w:val="24"/>
                <w:szCs w:val="24"/>
              </w:rPr>
              <w:t>本选题的重点如下：</w:t>
            </w:r>
          </w:p>
          <w:p w14:paraId="67B3868B">
            <w:pPr>
              <w:numPr>
                <w:ilvl w:val="0"/>
                <w:numId w:val="0"/>
              </w:numPr>
              <w:rPr>
                <w:rFonts w:hint="eastAsia"/>
                <w:sz w:val="24"/>
                <w:szCs w:val="24"/>
              </w:rPr>
            </w:pPr>
          </w:p>
          <w:p w14:paraId="2DD6FC09">
            <w:pPr>
              <w:rPr>
                <w:sz w:val="24"/>
                <w:szCs w:val="24"/>
              </w:rPr>
            </w:pPr>
            <w:r>
              <w:rPr>
                <w:rFonts w:hint="eastAsia"/>
                <w:sz w:val="24"/>
                <w:szCs w:val="24"/>
              </w:rPr>
              <w:t>(1)</w:t>
            </w:r>
            <w:r>
              <w:rPr>
                <w:sz w:val="24"/>
                <w:szCs w:val="24"/>
              </w:rPr>
              <w:t>疾病机制的探索：通过单细胞RNA测序数据结合集成特征选择方法，深入挖掘阿尔茨海默病相关的基因表达模式和细胞亚群</w:t>
            </w:r>
            <w:r>
              <w:rPr>
                <w:rFonts w:hint="eastAsia"/>
                <w:sz w:val="24"/>
                <w:szCs w:val="24"/>
                <w:lang w:eastAsia="zh-CN"/>
              </w:rPr>
              <w:t>，</w:t>
            </w:r>
            <w:r>
              <w:rPr>
                <w:rFonts w:hint="eastAsia"/>
                <w:sz w:val="24"/>
                <w:szCs w:val="24"/>
                <w:lang w:val="en-US" w:eastAsia="zh-CN"/>
              </w:rPr>
              <w:t>寻找</w:t>
            </w:r>
            <w:r>
              <w:rPr>
                <w:sz w:val="24"/>
                <w:szCs w:val="24"/>
              </w:rPr>
              <w:t>疾病的</w:t>
            </w:r>
            <w:r>
              <w:rPr>
                <w:rFonts w:hint="eastAsia"/>
                <w:sz w:val="24"/>
                <w:szCs w:val="24"/>
                <w:lang w:val="en-US" w:eastAsia="zh-CN"/>
              </w:rPr>
              <w:t>有效生物标志物，并尝试推广至类似领域</w:t>
            </w:r>
            <w:r>
              <w:rPr>
                <w:sz w:val="24"/>
                <w:szCs w:val="24"/>
              </w:rPr>
              <w:t>。</w:t>
            </w:r>
          </w:p>
          <w:p w14:paraId="6196A34D">
            <w:pPr>
              <w:rPr>
                <w:sz w:val="24"/>
                <w:szCs w:val="24"/>
              </w:rPr>
            </w:pPr>
            <w:r>
              <w:rPr>
                <w:rFonts w:hint="eastAsia"/>
                <w:sz w:val="24"/>
                <w:szCs w:val="24"/>
              </w:rPr>
              <w:t>(</w:t>
            </w:r>
            <w:r>
              <w:rPr>
                <w:rFonts w:hint="eastAsia"/>
                <w:sz w:val="24"/>
                <w:szCs w:val="24"/>
                <w:lang w:val="en-US" w:eastAsia="zh-CN"/>
              </w:rPr>
              <w:t>2</w:t>
            </w:r>
            <w:r>
              <w:rPr>
                <w:rFonts w:hint="eastAsia"/>
                <w:sz w:val="24"/>
                <w:szCs w:val="24"/>
              </w:rPr>
              <w:t>)</w:t>
            </w:r>
            <w:r>
              <w:rPr>
                <w:sz w:val="24"/>
                <w:szCs w:val="24"/>
              </w:rPr>
              <w:t>算法的</w:t>
            </w:r>
            <w:r>
              <w:rPr>
                <w:rFonts w:hint="eastAsia"/>
                <w:sz w:val="24"/>
                <w:szCs w:val="24"/>
                <w:lang w:val="en-US" w:eastAsia="zh-CN"/>
              </w:rPr>
              <w:t>实现与创新</w:t>
            </w:r>
            <w:r>
              <w:rPr>
                <w:sz w:val="24"/>
                <w:szCs w:val="24"/>
              </w:rPr>
              <w:t>：采用集成特征选择方法</w:t>
            </w:r>
            <w:r>
              <w:rPr>
                <w:rFonts w:hint="eastAsia"/>
                <w:sz w:val="24"/>
                <w:szCs w:val="24"/>
                <w:lang w:eastAsia="zh-CN"/>
              </w:rPr>
              <w:t>，</w:t>
            </w:r>
            <w:r>
              <w:rPr>
                <w:rFonts w:hint="eastAsia"/>
                <w:sz w:val="24"/>
                <w:szCs w:val="24"/>
                <w:lang w:val="en-US" w:eastAsia="zh-CN"/>
              </w:rPr>
              <w:t>使用三种不同的集成策略</w:t>
            </w:r>
            <w:r>
              <w:rPr>
                <w:sz w:val="24"/>
                <w:szCs w:val="24"/>
              </w:rPr>
              <w:t>，提高特征筛选的鲁棒性</w:t>
            </w:r>
            <w:r>
              <w:rPr>
                <w:rFonts w:hint="eastAsia"/>
                <w:sz w:val="24"/>
                <w:szCs w:val="24"/>
                <w:lang w:eastAsia="zh-CN"/>
              </w:rPr>
              <w:t>，</w:t>
            </w:r>
            <w:r>
              <w:rPr>
                <w:sz w:val="24"/>
                <w:szCs w:val="24"/>
              </w:rPr>
              <w:t>精度</w:t>
            </w:r>
            <w:r>
              <w:rPr>
                <w:rFonts w:hint="eastAsia"/>
                <w:sz w:val="24"/>
                <w:szCs w:val="24"/>
                <w:lang w:val="en-US" w:eastAsia="zh-CN"/>
              </w:rPr>
              <w:t>以及有效性，</w:t>
            </w:r>
            <w:r>
              <w:rPr>
                <w:sz w:val="24"/>
                <w:szCs w:val="24"/>
              </w:rPr>
              <w:t>为</w:t>
            </w:r>
            <w:r>
              <w:rPr>
                <w:rFonts w:hint="eastAsia"/>
                <w:sz w:val="24"/>
                <w:szCs w:val="24"/>
                <w:lang w:val="en-US" w:eastAsia="zh-CN"/>
              </w:rPr>
              <w:t>阿尔兹海默症</w:t>
            </w:r>
            <w:r>
              <w:rPr>
                <w:sz w:val="24"/>
                <w:szCs w:val="24"/>
              </w:rPr>
              <w:t>预测和分子机制研究提供支持。</w:t>
            </w:r>
          </w:p>
          <w:p w14:paraId="0101690E">
            <w:pPr>
              <w:rPr>
                <w:sz w:val="24"/>
                <w:szCs w:val="24"/>
              </w:rPr>
            </w:pPr>
            <w:r>
              <w:rPr>
                <w:rFonts w:hint="eastAsia"/>
                <w:sz w:val="24"/>
                <w:szCs w:val="24"/>
              </w:rPr>
              <w:t>(</w:t>
            </w:r>
            <w:r>
              <w:rPr>
                <w:rFonts w:hint="eastAsia"/>
                <w:sz w:val="24"/>
                <w:szCs w:val="24"/>
                <w:lang w:val="en-US" w:eastAsia="zh-CN"/>
              </w:rPr>
              <w:t>3</w:t>
            </w:r>
            <w:r>
              <w:rPr>
                <w:rFonts w:hint="eastAsia"/>
                <w:sz w:val="24"/>
                <w:szCs w:val="24"/>
              </w:rPr>
              <w:t>)</w:t>
            </w:r>
            <w:r>
              <w:rPr>
                <w:sz w:val="24"/>
                <w:szCs w:val="24"/>
              </w:rPr>
              <w:t>医学实践的推动：识别关键基因在阿尔茨海默病</w:t>
            </w:r>
            <w:r>
              <w:rPr>
                <w:rFonts w:hint="eastAsia"/>
                <w:sz w:val="24"/>
                <w:szCs w:val="24"/>
                <w:lang w:val="en-US" w:eastAsia="zh-CN"/>
              </w:rPr>
              <w:t>中的</w:t>
            </w:r>
            <w:r>
              <w:rPr>
                <w:sz w:val="24"/>
                <w:szCs w:val="24"/>
              </w:rPr>
              <w:t>差异</w:t>
            </w:r>
            <w:r>
              <w:rPr>
                <w:rFonts w:hint="eastAsia"/>
                <w:sz w:val="24"/>
                <w:szCs w:val="24"/>
                <w:lang w:val="en-US" w:eastAsia="zh-CN"/>
              </w:rPr>
              <w:t>表达</w:t>
            </w:r>
            <w:r>
              <w:rPr>
                <w:sz w:val="24"/>
                <w:szCs w:val="24"/>
              </w:rPr>
              <w:t>，为阿尔茨海默病的早期诊断、精准治疗和</w:t>
            </w:r>
            <w:r>
              <w:rPr>
                <w:rFonts w:hint="eastAsia"/>
                <w:sz w:val="24"/>
                <w:szCs w:val="24"/>
                <w:lang w:val="en-US" w:eastAsia="zh-CN"/>
              </w:rPr>
              <w:t>预后诊断</w:t>
            </w:r>
            <w:r>
              <w:rPr>
                <w:sz w:val="24"/>
                <w:szCs w:val="24"/>
              </w:rPr>
              <w:t>提供</w:t>
            </w:r>
            <w:r>
              <w:rPr>
                <w:rFonts w:hint="eastAsia"/>
                <w:sz w:val="24"/>
                <w:szCs w:val="24"/>
                <w:lang w:val="en-US" w:eastAsia="zh-CN"/>
              </w:rPr>
              <w:t>相关</w:t>
            </w:r>
            <w:r>
              <w:rPr>
                <w:sz w:val="24"/>
                <w:szCs w:val="24"/>
              </w:rPr>
              <w:t>依据。</w:t>
            </w:r>
          </w:p>
          <w:p w14:paraId="7C69E692">
            <w:pPr>
              <w:rPr>
                <w:rFonts w:hint="eastAsia"/>
                <w:sz w:val="24"/>
                <w:szCs w:val="24"/>
                <w:lang w:eastAsia="zh-CN"/>
              </w:rPr>
            </w:pPr>
          </w:p>
          <w:p w14:paraId="2E27F48F">
            <w:pPr>
              <w:rPr>
                <w:sz w:val="24"/>
                <w:szCs w:val="24"/>
              </w:rPr>
            </w:pPr>
            <w:r>
              <w:rPr>
                <w:rFonts w:hint="eastAsia"/>
                <w:sz w:val="24"/>
                <w:szCs w:val="24"/>
              </w:rPr>
              <w:t>三．本选题的难点如下：</w:t>
            </w:r>
          </w:p>
          <w:p w14:paraId="18E0455D">
            <w:pPr>
              <w:rPr>
                <w:rFonts w:hint="eastAsia"/>
                <w:sz w:val="24"/>
                <w:szCs w:val="24"/>
                <w:lang w:val="en-US" w:eastAsia="zh-CN"/>
              </w:rPr>
            </w:pPr>
          </w:p>
          <w:p w14:paraId="79524A40">
            <w:pPr>
              <w:rPr>
                <w:rFonts w:hint="default" w:eastAsia="宋体"/>
                <w:sz w:val="24"/>
                <w:szCs w:val="24"/>
                <w:lang w:val="en-US" w:eastAsia="zh-CN"/>
              </w:rPr>
            </w:pPr>
            <w:r>
              <w:rPr>
                <w:rFonts w:hint="eastAsia"/>
                <w:sz w:val="24"/>
                <w:szCs w:val="24"/>
                <w:lang w:val="en-US" w:eastAsia="zh-CN"/>
              </w:rPr>
              <w:t>(1)</w:t>
            </w:r>
            <w:r>
              <w:rPr>
                <w:rFonts w:hint="eastAsia"/>
                <w:sz w:val="24"/>
                <w:szCs w:val="24"/>
              </w:rPr>
              <w:t>高维数据处理：阿尔茨海默病单细胞RNA测序数据维度庞大，数据复杂度高，从中筛选出与疾病相关的关键信息具有挑战性。</w:t>
            </w:r>
          </w:p>
          <w:p w14:paraId="01C84473">
            <w:pPr>
              <w:rPr>
                <w:rFonts w:hint="eastAsia"/>
                <w:sz w:val="24"/>
                <w:szCs w:val="24"/>
              </w:rPr>
            </w:pPr>
            <w:r>
              <w:rPr>
                <w:rFonts w:hint="eastAsia"/>
                <w:sz w:val="24"/>
                <w:szCs w:val="24"/>
                <w:lang w:val="en-US" w:eastAsia="zh-CN"/>
              </w:rPr>
              <w:t>(2)</w:t>
            </w:r>
            <w:r>
              <w:rPr>
                <w:rFonts w:hint="eastAsia"/>
                <w:sz w:val="24"/>
                <w:szCs w:val="24"/>
              </w:rPr>
              <w:t>特征选择模型的优化：如何有效</w:t>
            </w:r>
            <w:r>
              <w:rPr>
                <w:rFonts w:hint="eastAsia"/>
                <w:sz w:val="24"/>
                <w:szCs w:val="24"/>
                <w:lang w:val="en-US" w:eastAsia="zh-CN"/>
              </w:rPr>
              <w:t>地</w:t>
            </w:r>
            <w:r>
              <w:rPr>
                <w:rFonts w:hint="eastAsia"/>
                <w:sz w:val="24"/>
                <w:szCs w:val="24"/>
              </w:rPr>
              <w:t>集成多种特征选择算法，同时平衡准确性与稳定性，减少过拟合和特征冗余。</w:t>
            </w:r>
          </w:p>
          <w:p w14:paraId="42D9F6CF">
            <w:pPr>
              <w:rPr>
                <w:rFonts w:hint="eastAsia"/>
                <w:sz w:val="24"/>
                <w:szCs w:val="24"/>
              </w:rPr>
            </w:pPr>
            <w:r>
              <w:rPr>
                <w:rFonts w:hint="eastAsia"/>
                <w:sz w:val="24"/>
                <w:szCs w:val="24"/>
                <w:lang w:val="en-US" w:eastAsia="zh-CN"/>
              </w:rPr>
              <w:t>(3)</w:t>
            </w:r>
            <w:r>
              <w:rPr>
                <w:rFonts w:hint="eastAsia"/>
                <w:sz w:val="24"/>
                <w:szCs w:val="24"/>
              </w:rPr>
              <w:t>生物学验证与解释：筛选出的基因和细胞亚群如何在生物学层面进行验证</w:t>
            </w:r>
            <w:r>
              <w:rPr>
                <w:rFonts w:hint="eastAsia"/>
                <w:sz w:val="24"/>
                <w:szCs w:val="24"/>
                <w:lang w:eastAsia="zh-CN"/>
              </w:rPr>
              <w:t>，</w:t>
            </w:r>
            <w:r>
              <w:rPr>
                <w:rFonts w:hint="eastAsia"/>
                <w:sz w:val="24"/>
                <w:szCs w:val="24"/>
                <w:lang w:val="en-US" w:eastAsia="zh-CN"/>
              </w:rPr>
              <w:t>如</w:t>
            </w:r>
            <w:r>
              <w:rPr>
                <w:rFonts w:hint="eastAsia"/>
                <w:sz w:val="24"/>
                <w:szCs w:val="24"/>
              </w:rPr>
              <w:t>KEGG通路富集分析，</w:t>
            </w:r>
            <w:r>
              <w:rPr>
                <w:rFonts w:hint="eastAsia"/>
                <w:sz w:val="24"/>
                <w:szCs w:val="24"/>
                <w:lang w:val="en-US" w:eastAsia="zh-CN"/>
              </w:rPr>
              <w:t>查阅相关资料及文献，为</w:t>
            </w:r>
            <w:r>
              <w:rPr>
                <w:rFonts w:hint="eastAsia"/>
                <w:sz w:val="24"/>
                <w:szCs w:val="24"/>
              </w:rPr>
              <w:t>研究结果转化为对疾病机制的具体解释。</w:t>
            </w:r>
          </w:p>
          <w:p w14:paraId="4533945A">
            <w:pPr>
              <w:rPr>
                <w:rFonts w:ascii="宋体" w:hAnsi="宋体"/>
                <w:sz w:val="24"/>
                <w:szCs w:val="24"/>
              </w:rPr>
            </w:pPr>
          </w:p>
        </w:tc>
      </w:tr>
      <w:tr w14:paraId="60377B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jc w:val="center"/>
        </w:trPr>
        <w:tc>
          <w:tcPr>
            <w:tcW w:w="8953" w:type="dxa"/>
          </w:tcPr>
          <w:p w14:paraId="0A3AC5A6">
            <w:pPr>
              <w:rPr>
                <w:rFonts w:ascii="宋体" w:hAnsi="宋体"/>
                <w:sz w:val="24"/>
                <w:szCs w:val="24"/>
              </w:rPr>
            </w:pPr>
            <w:r>
              <w:rPr>
                <w:rFonts w:hint="eastAsia" w:ascii="宋体" w:hAnsi="宋体"/>
                <w:sz w:val="24"/>
                <w:szCs w:val="24"/>
              </w:rPr>
              <w:t>2．准备情况（已查阅的参考文献或进行的调研）</w:t>
            </w:r>
          </w:p>
        </w:tc>
      </w:tr>
      <w:tr w14:paraId="5432D3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 w:hRule="atLeast"/>
          <w:jc w:val="center"/>
        </w:trPr>
        <w:tc>
          <w:tcPr>
            <w:tcW w:w="8953" w:type="dxa"/>
          </w:tcPr>
          <w:p w14:paraId="144BB4AC">
            <w:pPr>
              <w:rPr>
                <w:sz w:val="24"/>
                <w:szCs w:val="24"/>
              </w:rPr>
            </w:pPr>
            <w:r>
              <w:rPr>
                <w:rFonts w:hint="eastAsia"/>
                <w:sz w:val="24"/>
                <w:szCs w:val="24"/>
              </w:rPr>
              <w:t>一．调研情况</w:t>
            </w:r>
          </w:p>
          <w:p w14:paraId="7B7EDE7B">
            <w:pPr>
              <w:pStyle w:val="7"/>
              <w:keepNext w:val="0"/>
              <w:keepLines w:val="0"/>
              <w:widowControl/>
              <w:suppressLineNumbers w:val="0"/>
              <w:rPr>
                <w:sz w:val="24"/>
                <w:szCs w:val="24"/>
              </w:rPr>
            </w:pPr>
            <w:r>
              <w:rPr>
                <w:sz w:val="24"/>
                <w:szCs w:val="24"/>
              </w:rPr>
              <w:t>阿尔茨海默病（Alzheimer's Disease, AD）是一种复杂的神经退行性疾病，其发病机制涉及多种细胞类型和分子途径。随着单细胞RNA测序（scRNA-seq）技术的应用，研究人员能够在单细胞水平上解析AD患者大脑组织的基因表达谱，揭示疾病相关的细胞异质性和分子机制</w:t>
            </w:r>
            <w:r>
              <w:rPr>
                <w:rFonts w:hint="default"/>
                <w:sz w:val="24"/>
                <w:szCs w:val="24"/>
                <w:lang w:val="en-US"/>
              </w:rPr>
              <w:fldChar w:fldCharType="begin"/>
            </w:r>
            <w:r>
              <w:rPr>
                <w:rFonts w:hint="default"/>
                <w:sz w:val="24"/>
                <w:szCs w:val="24"/>
                <w:lang w:val="en-US"/>
              </w:rPr>
              <w:instrText xml:space="preserve"> REF _Ref21567 \r \h </w:instrText>
            </w:r>
            <w:r>
              <w:rPr>
                <w:rFonts w:hint="default"/>
                <w:sz w:val="24"/>
                <w:szCs w:val="24"/>
                <w:lang w:val="en-US"/>
              </w:rPr>
              <w:fldChar w:fldCharType="separate"/>
            </w:r>
            <w:r>
              <w:rPr>
                <w:rFonts w:hint="default"/>
                <w:sz w:val="24"/>
                <w:szCs w:val="24"/>
                <w:lang w:val="en-US"/>
              </w:rPr>
              <w:t>[1]</w:t>
            </w:r>
            <w:r>
              <w:rPr>
                <w:rFonts w:hint="default"/>
                <w:sz w:val="24"/>
                <w:szCs w:val="24"/>
                <w:lang w:val="en-US"/>
              </w:rPr>
              <w:fldChar w:fldCharType="end"/>
            </w:r>
            <w:r>
              <w:rPr>
                <w:sz w:val="24"/>
                <w:szCs w:val="24"/>
              </w:rPr>
              <w:t>。然而，scRNA-seq数据通常具有高维度和高噪声的特点，特别是在miRNA和脑脊液</w:t>
            </w:r>
            <w:r>
              <w:rPr>
                <w:rFonts w:hint="eastAsia"/>
                <w:sz w:val="24"/>
                <w:szCs w:val="24"/>
                <w:lang w:val="en-US" w:eastAsia="zh-CN"/>
              </w:rPr>
              <w:t>数据</w:t>
            </w:r>
            <w:r>
              <w:rPr>
                <w:sz w:val="24"/>
                <w:szCs w:val="24"/>
              </w:rPr>
              <w:t>样本中，数据复杂性进一步增加。因此，从这些数据中有效提取与AD相关的关键特征，成为研究中的重要挑战。特征选择（Feature Selection）作为一种数据预处理和分析方法，旨在从大量基因表达数据中识别出最具信息量的特征，为疾病的早期诊断、机制研究和预后治疗提供支持</w:t>
            </w:r>
            <w:r>
              <w:rPr>
                <w:rFonts w:hint="default"/>
                <w:sz w:val="24"/>
                <w:szCs w:val="24"/>
                <w:lang w:val="en-US"/>
              </w:rPr>
              <w:fldChar w:fldCharType="begin"/>
            </w:r>
            <w:r>
              <w:rPr>
                <w:rFonts w:hint="default"/>
                <w:sz w:val="24"/>
                <w:szCs w:val="24"/>
                <w:lang w:val="en-US"/>
              </w:rPr>
              <w:instrText xml:space="preserve"> REF _Ref21939 \r \h </w:instrText>
            </w:r>
            <w:r>
              <w:rPr>
                <w:rFonts w:hint="default"/>
                <w:sz w:val="24"/>
                <w:szCs w:val="24"/>
                <w:lang w:val="en-US"/>
              </w:rPr>
              <w:fldChar w:fldCharType="separate"/>
            </w:r>
            <w:r>
              <w:rPr>
                <w:rFonts w:hint="default"/>
                <w:sz w:val="24"/>
                <w:szCs w:val="24"/>
                <w:lang w:val="en-US"/>
              </w:rPr>
              <w:t>[2]</w:t>
            </w:r>
            <w:r>
              <w:rPr>
                <w:rFonts w:hint="default"/>
                <w:sz w:val="24"/>
                <w:szCs w:val="24"/>
                <w:lang w:val="en-US"/>
              </w:rPr>
              <w:fldChar w:fldCharType="end"/>
            </w:r>
            <w:r>
              <w:rPr>
                <w:rFonts w:hint="default"/>
                <w:sz w:val="24"/>
                <w:szCs w:val="24"/>
                <w:lang w:val="en-US"/>
              </w:rPr>
              <w:fldChar w:fldCharType="begin"/>
            </w:r>
            <w:r>
              <w:rPr>
                <w:rFonts w:hint="default"/>
                <w:sz w:val="24"/>
                <w:szCs w:val="24"/>
                <w:lang w:val="en-US"/>
              </w:rPr>
              <w:instrText xml:space="preserve"> REF _Ref21946 \r \h </w:instrText>
            </w:r>
            <w:r>
              <w:rPr>
                <w:rFonts w:hint="default"/>
                <w:sz w:val="24"/>
                <w:szCs w:val="24"/>
                <w:lang w:val="en-US"/>
              </w:rPr>
              <w:fldChar w:fldCharType="separate"/>
            </w:r>
            <w:r>
              <w:rPr>
                <w:rFonts w:hint="default"/>
                <w:sz w:val="24"/>
                <w:szCs w:val="24"/>
                <w:lang w:val="en-US"/>
              </w:rPr>
              <w:t>[3]</w:t>
            </w:r>
            <w:r>
              <w:rPr>
                <w:rFonts w:hint="default"/>
                <w:sz w:val="24"/>
                <w:szCs w:val="24"/>
                <w:lang w:val="en-US"/>
              </w:rPr>
              <w:fldChar w:fldCharType="end"/>
            </w:r>
            <w:r>
              <w:rPr>
                <w:sz w:val="24"/>
                <w:szCs w:val="24"/>
              </w:rPr>
              <w:t>。</w:t>
            </w:r>
          </w:p>
          <w:p w14:paraId="1AD3009D">
            <w:pPr>
              <w:pStyle w:val="7"/>
              <w:keepNext w:val="0"/>
              <w:keepLines w:val="0"/>
              <w:widowControl/>
              <w:suppressLineNumbers w:val="0"/>
              <w:rPr>
                <w:sz w:val="24"/>
                <w:szCs w:val="24"/>
              </w:rPr>
            </w:pPr>
            <w:r>
              <w:rPr>
                <w:rStyle w:val="10"/>
                <w:sz w:val="24"/>
                <w:szCs w:val="24"/>
              </w:rPr>
              <w:t>特征选择方法在AD研究中的应用</w:t>
            </w:r>
          </w:p>
          <w:p w14:paraId="4EA94AF6">
            <w:pPr>
              <w:pStyle w:val="7"/>
              <w:keepNext w:val="0"/>
              <w:keepLines w:val="0"/>
              <w:widowControl/>
              <w:suppressLineNumbers w:val="0"/>
              <w:rPr>
                <w:rFonts w:hint="default" w:eastAsia="宋体"/>
                <w:sz w:val="24"/>
                <w:szCs w:val="24"/>
                <w:lang w:val="en-US" w:eastAsia="zh-CN"/>
              </w:rPr>
            </w:pPr>
            <w:r>
              <w:rPr>
                <w:sz w:val="24"/>
                <w:szCs w:val="24"/>
              </w:rPr>
              <w:t>特征选择方法主要包括过滤法（Filter Methods）、包裹法（Wrapper Methods）和嵌入法（Embedded Methods）。每种方法都有其优缺点，研究者常根据具体数据特点选择合适的方法</w:t>
            </w:r>
            <w:r>
              <w:rPr>
                <w:rFonts w:hint="default"/>
                <w:sz w:val="24"/>
                <w:szCs w:val="24"/>
                <w:lang w:val="en-US"/>
              </w:rPr>
              <w:fldChar w:fldCharType="begin"/>
            </w:r>
            <w:r>
              <w:rPr>
                <w:rFonts w:hint="default"/>
                <w:sz w:val="24"/>
                <w:szCs w:val="24"/>
                <w:lang w:val="en-US"/>
              </w:rPr>
              <w:instrText xml:space="preserve"> REF _Ref22925 \r \h </w:instrText>
            </w:r>
            <w:r>
              <w:rPr>
                <w:rFonts w:hint="default"/>
                <w:sz w:val="24"/>
                <w:szCs w:val="24"/>
                <w:lang w:val="en-US"/>
              </w:rPr>
              <w:fldChar w:fldCharType="separate"/>
            </w:r>
            <w:r>
              <w:rPr>
                <w:rFonts w:hint="default"/>
                <w:sz w:val="24"/>
                <w:szCs w:val="24"/>
                <w:lang w:val="en-US"/>
              </w:rPr>
              <w:t>[4]</w:t>
            </w:r>
            <w:r>
              <w:rPr>
                <w:rFonts w:hint="default"/>
                <w:sz w:val="24"/>
                <w:szCs w:val="24"/>
                <w:lang w:val="en-US"/>
              </w:rPr>
              <w:fldChar w:fldCharType="end"/>
            </w:r>
            <w:r>
              <w:rPr>
                <w:sz w:val="24"/>
                <w:szCs w:val="24"/>
              </w:rPr>
              <w:t>。近年来，集成特征选择方法逐渐成为研究热点。通过结合多种特征选择策略，集成方法能够提高选择的准确性和稳定性</w:t>
            </w:r>
            <w:r>
              <w:rPr>
                <w:rFonts w:hint="default"/>
                <w:sz w:val="24"/>
                <w:szCs w:val="24"/>
                <w:lang w:val="en-US"/>
              </w:rPr>
              <w:fldChar w:fldCharType="begin"/>
            </w:r>
            <w:r>
              <w:rPr>
                <w:rFonts w:hint="default"/>
                <w:sz w:val="24"/>
                <w:szCs w:val="24"/>
                <w:lang w:val="en-US"/>
              </w:rPr>
              <w:instrText xml:space="preserve"> REF _Ref24405 \r \h </w:instrText>
            </w:r>
            <w:r>
              <w:rPr>
                <w:rFonts w:hint="default"/>
                <w:sz w:val="24"/>
                <w:szCs w:val="24"/>
                <w:lang w:val="en-US"/>
              </w:rPr>
              <w:fldChar w:fldCharType="separate"/>
            </w:r>
            <w:r>
              <w:rPr>
                <w:rFonts w:hint="default"/>
                <w:sz w:val="24"/>
                <w:szCs w:val="24"/>
                <w:lang w:val="en-US"/>
              </w:rPr>
              <w:t>[5]</w:t>
            </w:r>
            <w:r>
              <w:rPr>
                <w:rFonts w:hint="default"/>
                <w:sz w:val="24"/>
                <w:szCs w:val="24"/>
                <w:lang w:val="en-US"/>
              </w:rPr>
              <w:fldChar w:fldCharType="end"/>
            </w:r>
            <w:r>
              <w:rPr>
                <w:rFonts w:hint="default"/>
                <w:sz w:val="24"/>
                <w:szCs w:val="24"/>
                <w:lang w:val="en-US"/>
              </w:rPr>
              <w:fldChar w:fldCharType="begin"/>
            </w:r>
            <w:r>
              <w:rPr>
                <w:rFonts w:hint="default"/>
                <w:sz w:val="24"/>
                <w:szCs w:val="24"/>
                <w:lang w:val="en-US"/>
              </w:rPr>
              <w:instrText xml:space="preserve"> REF _Ref29687 \r \h </w:instrText>
            </w:r>
            <w:r>
              <w:rPr>
                <w:rFonts w:hint="default"/>
                <w:sz w:val="24"/>
                <w:szCs w:val="24"/>
                <w:lang w:val="en-US"/>
              </w:rPr>
              <w:fldChar w:fldCharType="separate"/>
            </w:r>
            <w:r>
              <w:rPr>
                <w:rFonts w:hint="default"/>
                <w:sz w:val="24"/>
                <w:szCs w:val="24"/>
                <w:lang w:val="en-US"/>
              </w:rPr>
              <w:t>[9]</w:t>
            </w:r>
            <w:r>
              <w:rPr>
                <w:rFonts w:hint="default"/>
                <w:sz w:val="24"/>
                <w:szCs w:val="24"/>
                <w:lang w:val="en-US"/>
              </w:rPr>
              <w:fldChar w:fldCharType="end"/>
            </w:r>
            <w:r>
              <w:rPr>
                <w:rFonts w:hint="default"/>
                <w:sz w:val="24"/>
                <w:szCs w:val="24"/>
                <w:lang w:val="en-US"/>
              </w:rPr>
              <w:fldChar w:fldCharType="begin"/>
            </w:r>
            <w:r>
              <w:rPr>
                <w:rFonts w:hint="default"/>
                <w:sz w:val="24"/>
                <w:szCs w:val="24"/>
                <w:lang w:val="en-US"/>
              </w:rPr>
              <w:instrText xml:space="preserve"> REF _Ref29697 \r \h </w:instrText>
            </w:r>
            <w:r>
              <w:rPr>
                <w:rFonts w:hint="default"/>
                <w:sz w:val="24"/>
                <w:szCs w:val="24"/>
                <w:lang w:val="en-US"/>
              </w:rPr>
              <w:fldChar w:fldCharType="separate"/>
            </w:r>
            <w:r>
              <w:rPr>
                <w:rFonts w:hint="default"/>
                <w:sz w:val="24"/>
                <w:szCs w:val="24"/>
                <w:lang w:val="en-US"/>
              </w:rPr>
              <w:t>[10]</w:t>
            </w:r>
            <w:r>
              <w:rPr>
                <w:rFonts w:hint="default"/>
                <w:sz w:val="24"/>
                <w:szCs w:val="24"/>
                <w:lang w:val="en-US"/>
              </w:rPr>
              <w:fldChar w:fldCharType="end"/>
            </w:r>
            <w:r>
              <w:rPr>
                <w:rFonts w:hint="default"/>
                <w:sz w:val="24"/>
                <w:szCs w:val="24"/>
                <w:lang w:val="en-US"/>
              </w:rPr>
              <w:fldChar w:fldCharType="begin"/>
            </w:r>
            <w:r>
              <w:rPr>
                <w:rFonts w:hint="default"/>
                <w:sz w:val="24"/>
                <w:szCs w:val="24"/>
                <w:lang w:val="en-US"/>
              </w:rPr>
              <w:instrText xml:space="preserve"> REF _Ref29700 \r \h </w:instrText>
            </w:r>
            <w:r>
              <w:rPr>
                <w:rFonts w:hint="default"/>
                <w:sz w:val="24"/>
                <w:szCs w:val="24"/>
                <w:lang w:val="en-US"/>
              </w:rPr>
              <w:fldChar w:fldCharType="separate"/>
            </w:r>
            <w:r>
              <w:rPr>
                <w:rFonts w:hint="default"/>
                <w:sz w:val="24"/>
                <w:szCs w:val="24"/>
                <w:lang w:val="en-US"/>
              </w:rPr>
              <w:t>[11]</w:t>
            </w:r>
            <w:r>
              <w:rPr>
                <w:rFonts w:hint="default"/>
                <w:sz w:val="24"/>
                <w:szCs w:val="24"/>
                <w:lang w:val="en-US"/>
              </w:rPr>
              <w:fldChar w:fldCharType="end"/>
            </w:r>
            <w:r>
              <w:rPr>
                <w:rFonts w:hint="default"/>
                <w:sz w:val="24"/>
                <w:szCs w:val="24"/>
                <w:lang w:val="en-US"/>
              </w:rPr>
              <w:fldChar w:fldCharType="begin"/>
            </w:r>
            <w:r>
              <w:rPr>
                <w:rFonts w:hint="default"/>
                <w:sz w:val="24"/>
                <w:szCs w:val="24"/>
                <w:lang w:val="en-US"/>
              </w:rPr>
              <w:instrText xml:space="preserve"> REF _Ref29704 \r \h </w:instrText>
            </w:r>
            <w:r>
              <w:rPr>
                <w:rFonts w:hint="default"/>
                <w:sz w:val="24"/>
                <w:szCs w:val="24"/>
                <w:lang w:val="en-US"/>
              </w:rPr>
              <w:fldChar w:fldCharType="separate"/>
            </w:r>
            <w:r>
              <w:rPr>
                <w:rFonts w:hint="default"/>
                <w:sz w:val="24"/>
                <w:szCs w:val="24"/>
                <w:lang w:val="en-US"/>
              </w:rPr>
              <w:t>[12]</w:t>
            </w:r>
            <w:r>
              <w:rPr>
                <w:rFonts w:hint="default"/>
                <w:sz w:val="24"/>
                <w:szCs w:val="24"/>
                <w:lang w:val="en-US"/>
              </w:rPr>
              <w:fldChar w:fldCharType="end"/>
            </w:r>
            <w:r>
              <w:rPr>
                <w:rFonts w:hint="default"/>
                <w:sz w:val="24"/>
                <w:szCs w:val="24"/>
                <w:lang w:val="en-US"/>
              </w:rPr>
              <w:fldChar w:fldCharType="begin"/>
            </w:r>
            <w:r>
              <w:rPr>
                <w:rFonts w:hint="default"/>
                <w:sz w:val="24"/>
                <w:szCs w:val="24"/>
                <w:lang w:val="en-US"/>
              </w:rPr>
              <w:instrText xml:space="preserve"> REF _Ref29939 \r \h </w:instrText>
            </w:r>
            <w:r>
              <w:rPr>
                <w:rFonts w:hint="default"/>
                <w:sz w:val="24"/>
                <w:szCs w:val="24"/>
                <w:lang w:val="en-US"/>
              </w:rPr>
              <w:fldChar w:fldCharType="separate"/>
            </w:r>
            <w:r>
              <w:rPr>
                <w:rFonts w:hint="default"/>
                <w:sz w:val="24"/>
                <w:szCs w:val="24"/>
                <w:lang w:val="en-US"/>
              </w:rPr>
              <w:t>[13]</w:t>
            </w:r>
            <w:r>
              <w:rPr>
                <w:rFonts w:hint="default"/>
                <w:sz w:val="24"/>
                <w:szCs w:val="24"/>
                <w:lang w:val="en-US"/>
              </w:rPr>
              <w:fldChar w:fldCharType="end"/>
            </w:r>
            <w:r>
              <w:rPr>
                <w:sz w:val="24"/>
                <w:szCs w:val="24"/>
              </w:rPr>
              <w:t>。例如，</w:t>
            </w:r>
            <w:r>
              <w:rPr>
                <w:rFonts w:hint="eastAsia"/>
                <w:sz w:val="24"/>
                <w:szCs w:val="24"/>
              </w:rPr>
              <w:t>结合三种不同的特征选择方法（BSPC、随机森林、DUBStepR），通过分析单细胞RNA测序数据（GSE103334），研究了神经退行性疾病模型（CK-p25）中微胶细胞活化过程中基因表达的动态变化</w:t>
            </w:r>
            <w:r>
              <w:rPr>
                <w:rFonts w:hint="eastAsia"/>
                <w:sz w:val="24"/>
                <w:szCs w:val="24"/>
                <w:lang w:eastAsia="zh-CN"/>
              </w:rPr>
              <w:fldChar w:fldCharType="begin"/>
            </w:r>
            <w:r>
              <w:rPr>
                <w:rFonts w:hint="eastAsia"/>
                <w:sz w:val="24"/>
                <w:szCs w:val="24"/>
                <w:lang w:eastAsia="zh-CN"/>
              </w:rPr>
              <w:instrText xml:space="preserve"> REF _Ref23105 \r \h </w:instrText>
            </w:r>
            <w:r>
              <w:rPr>
                <w:rFonts w:hint="eastAsia"/>
                <w:sz w:val="24"/>
                <w:szCs w:val="24"/>
                <w:lang w:eastAsia="zh-CN"/>
              </w:rPr>
              <w:fldChar w:fldCharType="separate"/>
            </w:r>
            <w:r>
              <w:rPr>
                <w:rFonts w:hint="eastAsia"/>
                <w:sz w:val="24"/>
                <w:szCs w:val="24"/>
                <w:lang w:eastAsia="zh-CN"/>
              </w:rPr>
              <w:t>[6]</w:t>
            </w:r>
            <w:r>
              <w:rPr>
                <w:rFonts w:hint="eastAsia"/>
                <w:sz w:val="24"/>
                <w:szCs w:val="24"/>
                <w:lang w:eastAsia="zh-CN"/>
              </w:rPr>
              <w:fldChar w:fldCharType="end"/>
            </w:r>
            <w:r>
              <w:rPr>
                <w:rFonts w:hint="eastAsia"/>
                <w:sz w:val="24"/>
                <w:szCs w:val="24"/>
              </w:rPr>
              <w:t>。</w:t>
            </w:r>
          </w:p>
          <w:p w14:paraId="7976961F">
            <w:pPr>
              <w:pStyle w:val="7"/>
              <w:keepNext w:val="0"/>
              <w:keepLines w:val="0"/>
              <w:widowControl/>
              <w:suppressLineNumbers w:val="0"/>
              <w:rPr>
                <w:sz w:val="24"/>
                <w:szCs w:val="24"/>
              </w:rPr>
            </w:pPr>
            <w:r>
              <w:rPr>
                <w:rStyle w:val="10"/>
                <w:sz w:val="24"/>
                <w:szCs w:val="24"/>
              </w:rPr>
              <w:t>单细胞RNA测序在AD研究中的进展</w:t>
            </w:r>
          </w:p>
          <w:p w14:paraId="1FC065F3">
            <w:pPr>
              <w:pStyle w:val="7"/>
              <w:keepNext w:val="0"/>
              <w:keepLines w:val="0"/>
              <w:widowControl/>
              <w:suppressLineNumbers w:val="0"/>
              <w:rPr>
                <w:sz w:val="24"/>
                <w:szCs w:val="24"/>
              </w:rPr>
            </w:pPr>
            <w:r>
              <w:rPr>
                <w:sz w:val="24"/>
                <w:szCs w:val="24"/>
              </w:rPr>
              <w:t xml:space="preserve">单细胞RNA测序技术在AD研究中取得了显著进展。通过该技术，研究人员能够分析多种脑细胞类型，包括神经元、少突胶质细胞、星形胶质细胞和小胶质细胞，发现这些细胞类型在AD患者中表现出明显的基因表达差异。 </w:t>
            </w:r>
            <w:r>
              <w:rPr>
                <w:sz w:val="24"/>
                <w:szCs w:val="24"/>
                <w:lang w:val="en-US" w:eastAsia="zh-CN"/>
              </w:rPr>
              <w:t>此外，单细胞分析有助于对AD大脑中受到扰动的各种细胞过程进行细致入微的描述，揭示健康衰老和认知能力下降之间的差异，并突出显示与AD相关的细胞类型特异性分子程序</w:t>
            </w:r>
            <w:r>
              <w:rPr>
                <w:rFonts w:hint="default"/>
                <w:sz w:val="24"/>
                <w:szCs w:val="24"/>
                <w:lang w:val="en-US" w:eastAsia="zh-CN"/>
              </w:rPr>
              <w:fldChar w:fldCharType="begin"/>
            </w:r>
            <w:r>
              <w:rPr>
                <w:rFonts w:hint="default"/>
                <w:sz w:val="24"/>
                <w:szCs w:val="24"/>
                <w:lang w:val="en-US" w:eastAsia="zh-CN"/>
              </w:rPr>
              <w:instrText xml:space="preserve"> REF _Ref25678 \r \h </w:instrText>
            </w:r>
            <w:r>
              <w:rPr>
                <w:rFonts w:hint="default"/>
                <w:sz w:val="24"/>
                <w:szCs w:val="24"/>
                <w:lang w:val="en-US" w:eastAsia="zh-CN"/>
              </w:rPr>
              <w:fldChar w:fldCharType="separate"/>
            </w:r>
            <w:r>
              <w:rPr>
                <w:rFonts w:hint="default"/>
                <w:sz w:val="24"/>
                <w:szCs w:val="24"/>
                <w:lang w:val="en-US" w:eastAsia="zh-CN"/>
              </w:rPr>
              <w:t>[7]</w:t>
            </w:r>
            <w:r>
              <w:rPr>
                <w:rFonts w:hint="default"/>
                <w:sz w:val="24"/>
                <w:szCs w:val="24"/>
                <w:lang w:val="en-US" w:eastAsia="zh-CN"/>
              </w:rPr>
              <w:fldChar w:fldCharType="end"/>
            </w:r>
            <w:r>
              <w:rPr>
                <w:sz w:val="24"/>
                <w:szCs w:val="24"/>
                <w:lang w:val="en-US" w:eastAsia="zh-CN"/>
              </w:rPr>
              <w:t xml:space="preserve">。 </w:t>
            </w:r>
          </w:p>
          <w:p w14:paraId="1D414C7D">
            <w:pPr>
              <w:pStyle w:val="7"/>
              <w:keepNext w:val="0"/>
              <w:keepLines w:val="0"/>
              <w:widowControl/>
              <w:suppressLineNumbers w:val="0"/>
              <w:rPr>
                <w:sz w:val="24"/>
                <w:szCs w:val="24"/>
              </w:rPr>
            </w:pPr>
            <w:r>
              <w:rPr>
                <w:sz w:val="24"/>
                <w:szCs w:val="24"/>
              </w:rPr>
              <w:t>尽管取得了上述进展，基于深度学习的特征选择方法在AD单细胞RNA测序数据分析中仍面临挑战</w:t>
            </w:r>
            <w:r>
              <w:rPr>
                <w:rFonts w:hint="default"/>
                <w:sz w:val="24"/>
                <w:szCs w:val="24"/>
                <w:lang w:val="en-US"/>
              </w:rPr>
              <w:fldChar w:fldCharType="begin"/>
            </w:r>
            <w:r>
              <w:rPr>
                <w:rFonts w:hint="default"/>
                <w:sz w:val="24"/>
                <w:szCs w:val="24"/>
                <w:lang w:val="en-US"/>
              </w:rPr>
              <w:instrText xml:space="preserve"> REF _Ref25995 \r \h </w:instrText>
            </w:r>
            <w:r>
              <w:rPr>
                <w:rFonts w:hint="default"/>
                <w:sz w:val="24"/>
                <w:szCs w:val="24"/>
                <w:lang w:val="en-US"/>
              </w:rPr>
              <w:fldChar w:fldCharType="separate"/>
            </w:r>
            <w:r>
              <w:rPr>
                <w:rFonts w:hint="default"/>
                <w:sz w:val="24"/>
                <w:szCs w:val="24"/>
                <w:lang w:val="en-US"/>
              </w:rPr>
              <w:t>[8]</w:t>
            </w:r>
            <w:r>
              <w:rPr>
                <w:rFonts w:hint="default"/>
                <w:sz w:val="24"/>
                <w:szCs w:val="24"/>
                <w:lang w:val="en-US"/>
              </w:rPr>
              <w:fldChar w:fldCharType="end"/>
            </w:r>
            <w:r>
              <w:rPr>
                <w:sz w:val="24"/>
                <w:szCs w:val="24"/>
              </w:rPr>
              <w:t>。例如，如何选择适当的网络结构和参数设置，以及如何解决数据稀疏性和噪声干扰等问题，仍需进一步研究。未来的研究需要优化和改进这些方法，以满足更高精度、更准确的AD单细胞数据分析需求。</w:t>
            </w:r>
          </w:p>
          <w:p w14:paraId="7CDAE980">
            <w:pPr>
              <w:rPr>
                <w:sz w:val="24"/>
                <w:szCs w:val="24"/>
              </w:rPr>
            </w:pPr>
            <w:r>
              <w:rPr>
                <w:rFonts w:hint="eastAsia"/>
                <w:sz w:val="24"/>
                <w:szCs w:val="24"/>
              </w:rPr>
              <w:t>二．现有设备和实验条件：</w:t>
            </w:r>
          </w:p>
          <w:p w14:paraId="753CC982">
            <w:pPr>
              <w:rPr>
                <w:rFonts w:hint="eastAsia"/>
                <w:sz w:val="24"/>
                <w:szCs w:val="24"/>
                <w:lang w:val="en-US" w:eastAsia="zh-CN"/>
              </w:rPr>
            </w:pPr>
            <w:r>
              <w:rPr>
                <w:rFonts w:hint="eastAsia"/>
                <w:sz w:val="24"/>
                <w:szCs w:val="24"/>
              </w:rPr>
              <w:t>现有设备：</w:t>
            </w:r>
            <w:r>
              <w:rPr>
                <w:rFonts w:hint="eastAsia"/>
                <w:sz w:val="24"/>
                <w:szCs w:val="24"/>
                <w:lang w:val="en-US" w:eastAsia="zh-CN"/>
              </w:rPr>
              <w:t>计算机一台</w:t>
            </w:r>
          </w:p>
          <w:p w14:paraId="5E96AE3C">
            <w:pPr>
              <w:rPr>
                <w:rFonts w:hint="default"/>
                <w:sz w:val="24"/>
                <w:szCs w:val="24"/>
                <w:lang w:val="en-US" w:eastAsia="zh-CN"/>
              </w:rPr>
            </w:pPr>
            <w:bookmarkStart w:id="13" w:name="_GoBack"/>
            <w:bookmarkEnd w:id="13"/>
          </w:p>
          <w:p w14:paraId="4DC75995">
            <w:pPr>
              <w:rPr>
                <w:rFonts w:hint="eastAsia"/>
                <w:sz w:val="24"/>
                <w:szCs w:val="24"/>
              </w:rPr>
            </w:pPr>
          </w:p>
          <w:p w14:paraId="380B83BA">
            <w:pPr>
              <w:rPr>
                <w:sz w:val="24"/>
                <w:szCs w:val="24"/>
              </w:rPr>
            </w:pPr>
            <w:r>
              <w:rPr>
                <w:rFonts w:hint="eastAsia"/>
                <w:sz w:val="24"/>
                <w:szCs w:val="24"/>
              </w:rPr>
              <w:t>三．已查阅的文献资料：</w:t>
            </w:r>
          </w:p>
          <w:p w14:paraId="0B4D4FFC">
            <w:pPr>
              <w:pStyle w:val="16"/>
              <w:numPr>
                <w:ilvl w:val="0"/>
                <w:numId w:val="2"/>
              </w:numPr>
              <w:ind w:firstLineChars="0"/>
              <w:rPr>
                <w:sz w:val="24"/>
                <w:szCs w:val="24"/>
              </w:rPr>
            </w:pPr>
            <w:bookmarkStart w:id="0" w:name="_Ref21567"/>
            <w:r>
              <w:rPr>
                <w:rFonts w:hint="eastAsia"/>
                <w:sz w:val="24"/>
                <w:szCs w:val="24"/>
              </w:rPr>
              <w:t>Neff R A, Wang M, Vatansever S, et al. Molecular subtyping of Alzheimer’s disease using RNA sequencing data reveals novel mechanisms and targets[J]. Science advances, 2021, 7(2): eabb5398.</w:t>
            </w:r>
          </w:p>
          <w:p w14:paraId="28C5378A">
            <w:pPr>
              <w:pStyle w:val="16"/>
              <w:numPr>
                <w:ilvl w:val="0"/>
                <w:numId w:val="2"/>
              </w:numPr>
              <w:ind w:firstLineChars="0"/>
              <w:rPr>
                <w:sz w:val="24"/>
                <w:szCs w:val="24"/>
              </w:rPr>
            </w:pPr>
            <w:bookmarkStart w:id="1" w:name="_Ref21939"/>
            <w:r>
              <w:rPr>
                <w:rFonts w:hint="eastAsia"/>
                <w:sz w:val="24"/>
                <w:szCs w:val="24"/>
              </w:rPr>
              <w:t>Alshamlan H, Omar S, Aljurayyad R, et al. Identifying effective feature selection methods for Alzheimer’s disease biomarker gene detection using machine learning[J]. Diagnostics, 2023, 13(10): 1771.</w:t>
            </w:r>
            <w:bookmarkEnd w:id="0"/>
            <w:bookmarkEnd w:id="1"/>
          </w:p>
          <w:p w14:paraId="5779C377">
            <w:pPr>
              <w:pStyle w:val="16"/>
              <w:numPr>
                <w:ilvl w:val="0"/>
                <w:numId w:val="2"/>
              </w:numPr>
              <w:ind w:firstLineChars="0"/>
              <w:rPr>
                <w:sz w:val="24"/>
                <w:szCs w:val="24"/>
              </w:rPr>
            </w:pPr>
            <w:bookmarkStart w:id="2" w:name="_Ref21946"/>
            <w:r>
              <w:rPr>
                <w:rFonts w:hint="eastAsia"/>
                <w:sz w:val="24"/>
                <w:szCs w:val="24"/>
              </w:rPr>
              <w:t>Paplomatas P, Krokidis M G, Vlamos P, et al. An ensemble feature selection approach for analysis and modeling of transcriptome data in alzheimer’s disease[J]. Applied Sciences, 2023, 13(4): 2353.</w:t>
            </w:r>
            <w:bookmarkEnd w:id="2"/>
          </w:p>
          <w:p w14:paraId="6AD3D833">
            <w:pPr>
              <w:pStyle w:val="16"/>
              <w:numPr>
                <w:ilvl w:val="0"/>
                <w:numId w:val="2"/>
              </w:numPr>
              <w:ind w:firstLineChars="0"/>
              <w:rPr>
                <w:sz w:val="24"/>
                <w:szCs w:val="24"/>
              </w:rPr>
            </w:pPr>
            <w:bookmarkStart w:id="3" w:name="_Ref22925"/>
            <w:r>
              <w:rPr>
                <w:rFonts w:hint="eastAsia"/>
                <w:sz w:val="24"/>
                <w:szCs w:val="24"/>
              </w:rPr>
              <w:t>Stańczyk U. Feature evaluation by filter, wrapper, and embedded approaches[J]. Feature selection for data and pattern recognition, 2015: 29-44.</w:t>
            </w:r>
            <w:bookmarkEnd w:id="3"/>
          </w:p>
          <w:p w14:paraId="2AFAEF1A">
            <w:pPr>
              <w:pStyle w:val="16"/>
              <w:numPr>
                <w:ilvl w:val="0"/>
                <w:numId w:val="2"/>
              </w:numPr>
              <w:ind w:firstLineChars="0"/>
              <w:rPr>
                <w:sz w:val="24"/>
                <w:szCs w:val="24"/>
              </w:rPr>
            </w:pPr>
            <w:bookmarkStart w:id="4" w:name="_Ref24405"/>
            <w:r>
              <w:rPr>
                <w:rFonts w:hint="eastAsia"/>
                <w:sz w:val="24"/>
                <w:szCs w:val="24"/>
              </w:rPr>
              <w:t>Bolón-Canedo V, Alonso-Betanzos A. Ensembles for feature selection: A review and future trends[J]. Information fusion, 2019, 52: 1-12.</w:t>
            </w:r>
            <w:bookmarkEnd w:id="4"/>
          </w:p>
          <w:p w14:paraId="1AF37411">
            <w:pPr>
              <w:pStyle w:val="16"/>
              <w:numPr>
                <w:ilvl w:val="0"/>
                <w:numId w:val="2"/>
              </w:numPr>
              <w:ind w:firstLineChars="0"/>
              <w:rPr>
                <w:sz w:val="24"/>
                <w:szCs w:val="24"/>
              </w:rPr>
            </w:pPr>
            <w:bookmarkStart w:id="5" w:name="_Ref23105"/>
            <w:r>
              <w:rPr>
                <w:rFonts w:hint="eastAsia"/>
                <w:sz w:val="24"/>
                <w:szCs w:val="24"/>
              </w:rPr>
              <w:t>Paplomatas P, Krokidis M G, Vlamos P, et al. An ensemble feature selection approach for analysis and modeling of transcriptome data in alzheimer’s disease[J]. Applied Sciences, 2023, 13(4): 2353.</w:t>
            </w:r>
            <w:bookmarkEnd w:id="5"/>
          </w:p>
          <w:p w14:paraId="0D64AD78">
            <w:pPr>
              <w:pStyle w:val="16"/>
              <w:numPr>
                <w:ilvl w:val="0"/>
                <w:numId w:val="2"/>
              </w:numPr>
              <w:ind w:firstLineChars="0"/>
              <w:rPr>
                <w:sz w:val="24"/>
                <w:szCs w:val="24"/>
              </w:rPr>
            </w:pPr>
            <w:bookmarkStart w:id="6" w:name="_Ref25678"/>
            <w:r>
              <w:rPr>
                <w:rFonts w:hint="eastAsia"/>
                <w:sz w:val="24"/>
                <w:szCs w:val="24"/>
              </w:rPr>
              <w:t>Jin W, Pei J J, Roy J R, et al. Comprehensive review on single-cell RNA sequencing: A new frontier in Alzheimer's disease research[J]. Ageing Research Reviews, 2024: 102454.</w:t>
            </w:r>
            <w:bookmarkEnd w:id="6"/>
          </w:p>
          <w:p w14:paraId="093C63E3">
            <w:pPr>
              <w:pStyle w:val="16"/>
              <w:numPr>
                <w:ilvl w:val="0"/>
                <w:numId w:val="2"/>
              </w:numPr>
              <w:ind w:firstLineChars="0"/>
              <w:rPr>
                <w:sz w:val="24"/>
                <w:szCs w:val="24"/>
              </w:rPr>
            </w:pPr>
            <w:bookmarkStart w:id="7" w:name="_Ref25995"/>
            <w:r>
              <w:rPr>
                <w:rFonts w:hint="eastAsia"/>
                <w:sz w:val="24"/>
                <w:szCs w:val="24"/>
              </w:rPr>
              <w:t>Neff R A, Wang M, Vatansever S, et al. Molecular subtyping of Alzheimer’s disease using RNA sequencing data reveals novel mechanisms and targets[J]. Science advances, 2021, 7(2): eabb5398.</w:t>
            </w:r>
            <w:bookmarkEnd w:id="7"/>
          </w:p>
          <w:p w14:paraId="4D9FFF40">
            <w:pPr>
              <w:pStyle w:val="16"/>
              <w:numPr>
                <w:ilvl w:val="0"/>
                <w:numId w:val="2"/>
              </w:numPr>
              <w:ind w:firstLineChars="0"/>
              <w:rPr>
                <w:sz w:val="24"/>
                <w:szCs w:val="24"/>
              </w:rPr>
            </w:pPr>
            <w:bookmarkStart w:id="8" w:name="_Ref29687"/>
            <w:r>
              <w:rPr>
                <w:rFonts w:hint="eastAsia"/>
                <w:sz w:val="24"/>
                <w:szCs w:val="24"/>
              </w:rPr>
              <w:t>HK R, HA D, MS P K, et al. A robust framework for Alzheimer’s disease detection and staging: incorporating multi-feature integration, MRMR feature selection, and Random Forest classification[J]. Multimedia Tools and Applications, 2024: 1-29.</w:t>
            </w:r>
            <w:bookmarkEnd w:id="8"/>
          </w:p>
          <w:p w14:paraId="6F87DB18">
            <w:pPr>
              <w:pStyle w:val="16"/>
              <w:numPr>
                <w:ilvl w:val="0"/>
                <w:numId w:val="2"/>
              </w:numPr>
              <w:ind w:firstLineChars="0"/>
              <w:rPr>
                <w:sz w:val="24"/>
                <w:szCs w:val="24"/>
              </w:rPr>
            </w:pPr>
            <w:bookmarkStart w:id="9" w:name="_Ref29697"/>
            <w:r>
              <w:rPr>
                <w:rFonts w:hint="eastAsia"/>
                <w:sz w:val="24"/>
                <w:szCs w:val="24"/>
              </w:rPr>
              <w:t>Faisal F U R, Khatri U, Kwon G R. Diagnosis of Alzheimer's disease using combined feature selection method[J]. Journal of korea multimedia society, 2021, 24(5): 667-675.</w:t>
            </w:r>
            <w:bookmarkEnd w:id="9"/>
          </w:p>
          <w:p w14:paraId="0D9E73A1">
            <w:pPr>
              <w:pStyle w:val="16"/>
              <w:numPr>
                <w:ilvl w:val="0"/>
                <w:numId w:val="2"/>
              </w:numPr>
              <w:ind w:firstLineChars="0"/>
              <w:rPr>
                <w:sz w:val="24"/>
                <w:szCs w:val="24"/>
              </w:rPr>
            </w:pPr>
            <w:bookmarkStart w:id="10" w:name="_Ref29700"/>
            <w:r>
              <w:rPr>
                <w:rFonts w:hint="eastAsia"/>
                <w:sz w:val="24"/>
                <w:szCs w:val="24"/>
              </w:rPr>
              <w:t>Osipowicz M, Wilczynski B, Machnicka M A, et al. Careful feature selection is key in classification of Alzheimer’s disease patients based on whole-genome sequencing data[J]. NAR Genomics and Bioinformatics, 2021, 3(3): lqab069.</w:t>
            </w:r>
            <w:bookmarkEnd w:id="10"/>
          </w:p>
          <w:p w14:paraId="4918A463">
            <w:pPr>
              <w:pStyle w:val="16"/>
              <w:numPr>
                <w:ilvl w:val="0"/>
                <w:numId w:val="2"/>
              </w:numPr>
              <w:ind w:firstLineChars="0"/>
              <w:rPr>
                <w:sz w:val="24"/>
                <w:szCs w:val="24"/>
              </w:rPr>
            </w:pPr>
            <w:bookmarkStart w:id="11" w:name="_Ref29704"/>
            <w:r>
              <w:rPr>
                <w:rFonts w:hint="eastAsia"/>
                <w:sz w:val="24"/>
                <w:szCs w:val="24"/>
              </w:rPr>
              <w:t>Mahendran N, PM D R V. A deep learning framework with an embedded-based feature selection approach for the early detection of the Alzheimer's disease[J]. Computers in Biology and Medicine, 2022, 141: 105056.</w:t>
            </w:r>
            <w:bookmarkEnd w:id="11"/>
          </w:p>
          <w:p w14:paraId="15CFAEF2">
            <w:pPr>
              <w:pStyle w:val="16"/>
              <w:numPr>
                <w:ilvl w:val="0"/>
                <w:numId w:val="2"/>
              </w:numPr>
              <w:ind w:firstLineChars="0"/>
              <w:rPr>
                <w:sz w:val="24"/>
                <w:szCs w:val="24"/>
              </w:rPr>
            </w:pPr>
            <w:bookmarkStart w:id="12" w:name="_Ref29939"/>
            <w:r>
              <w:rPr>
                <w:rFonts w:hint="eastAsia"/>
                <w:sz w:val="24"/>
                <w:szCs w:val="24"/>
              </w:rPr>
              <w:t>El-Gawady A, Tawfik B B S, Makhlouf M A. Hybrid Feature Selection Method for Predicting Alzheimer’s Disease Using Gene Expression Data[J]. CMC-COMPUTERS MATERIALS &amp; CONTINUA, 2023, 74(3): 5559-5572.</w:t>
            </w:r>
            <w:bookmarkEnd w:id="12"/>
          </w:p>
          <w:p w14:paraId="714A8921">
            <w:pPr>
              <w:pStyle w:val="16"/>
              <w:widowControl w:val="0"/>
              <w:numPr>
                <w:ilvl w:val="0"/>
                <w:numId w:val="0"/>
              </w:numPr>
              <w:tabs>
                <w:tab w:val="left" w:pos="420"/>
              </w:tabs>
              <w:jc w:val="both"/>
              <w:rPr>
                <w:sz w:val="24"/>
                <w:szCs w:val="24"/>
              </w:rPr>
            </w:pPr>
          </w:p>
          <w:p w14:paraId="265E7763">
            <w:pPr>
              <w:pStyle w:val="3"/>
              <w:tabs>
                <w:tab w:val="left" w:pos="5832"/>
              </w:tabs>
              <w:spacing w:after="0" w:line="400" w:lineRule="exact"/>
              <w:ind w:left="0" w:leftChars="0" w:firstLine="0" w:firstLineChars="0"/>
              <w:rPr>
                <w:rFonts w:ascii="宋体" w:hAnsi="宋体"/>
                <w:color w:val="000000"/>
                <w:sz w:val="24"/>
                <w:szCs w:val="24"/>
              </w:rPr>
            </w:pPr>
          </w:p>
          <w:p w14:paraId="094F120B">
            <w:pPr>
              <w:rPr>
                <w:rFonts w:ascii="宋体" w:hAnsi="宋体"/>
                <w:sz w:val="24"/>
                <w:szCs w:val="24"/>
              </w:rPr>
            </w:pPr>
          </w:p>
        </w:tc>
      </w:tr>
      <w:tr w14:paraId="5FE7BC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jc w:val="center"/>
        </w:trPr>
        <w:tc>
          <w:tcPr>
            <w:tcW w:w="8953" w:type="dxa"/>
            <w:vAlign w:val="center"/>
          </w:tcPr>
          <w:p w14:paraId="063F76EE">
            <w:pPr>
              <w:rPr>
                <w:rFonts w:ascii="宋体" w:hAnsi="宋体"/>
                <w:b/>
                <w:bCs/>
                <w:sz w:val="28"/>
                <w:szCs w:val="28"/>
              </w:rPr>
            </w:pPr>
            <w:r>
              <w:rPr>
                <w:rFonts w:hint="eastAsia" w:ascii="宋体" w:hAnsi="宋体"/>
                <w:bCs/>
                <w:sz w:val="28"/>
                <w:szCs w:val="28"/>
              </w:rPr>
              <w:t>3、实施方案、进度实施计划及预期提交的毕业设计资料</w:t>
            </w:r>
          </w:p>
        </w:tc>
      </w:tr>
      <w:tr w14:paraId="187A4D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3" w:hRule="atLeast"/>
          <w:jc w:val="center"/>
        </w:trPr>
        <w:tc>
          <w:tcPr>
            <w:tcW w:w="8953" w:type="dxa"/>
          </w:tcPr>
          <w:p w14:paraId="711627AD">
            <w:pPr>
              <w:pStyle w:val="3"/>
              <w:tabs>
                <w:tab w:val="left" w:pos="5832"/>
              </w:tabs>
              <w:spacing w:after="0" w:line="400" w:lineRule="exact"/>
              <w:rPr>
                <w:rFonts w:hint="eastAsia" w:ascii="宋体" w:hAnsi="宋体"/>
                <w:color w:val="000000"/>
                <w:sz w:val="24"/>
                <w:szCs w:val="24"/>
              </w:rPr>
            </w:pPr>
            <w:r>
              <w:rPr>
                <w:rFonts w:hint="eastAsia" w:ascii="宋体" w:hAnsi="宋体"/>
                <w:color w:val="000000"/>
                <w:sz w:val="24"/>
                <w:szCs w:val="24"/>
              </w:rPr>
              <w:t>一.实施方案:</w:t>
            </w:r>
          </w:p>
          <w:p w14:paraId="69F159A5">
            <w:pPr>
              <w:pStyle w:val="3"/>
              <w:tabs>
                <w:tab w:val="left" w:pos="5832"/>
              </w:tabs>
              <w:spacing w:after="0" w:line="400" w:lineRule="exact"/>
              <w:rPr>
                <w:rFonts w:hint="eastAsia" w:ascii="宋体" w:hAnsi="宋体"/>
                <w:color w:val="000000"/>
                <w:sz w:val="24"/>
                <w:szCs w:val="24"/>
              </w:rPr>
            </w:pPr>
            <w:r>
              <w:rPr>
                <w:rFonts w:hint="eastAsia" w:ascii="宋体" w:hAnsi="宋体"/>
                <w:color w:val="000000"/>
                <w:sz w:val="24"/>
                <w:szCs w:val="24"/>
              </w:rPr>
              <w:t>（1）数据预处理</w:t>
            </w:r>
          </w:p>
          <w:p w14:paraId="65C33C9A">
            <w:pPr>
              <w:pStyle w:val="3"/>
              <w:tabs>
                <w:tab w:val="left" w:pos="5832"/>
              </w:tabs>
              <w:spacing w:after="0" w:line="400" w:lineRule="exact"/>
              <w:rPr>
                <w:rFonts w:hint="eastAsia" w:ascii="宋体" w:hAnsi="宋体"/>
                <w:color w:val="000000"/>
                <w:sz w:val="24"/>
                <w:szCs w:val="24"/>
              </w:rPr>
            </w:pPr>
            <w:r>
              <w:rPr>
                <w:rFonts w:hint="eastAsia" w:ascii="宋体" w:hAnsi="宋体"/>
                <w:color w:val="000000"/>
                <w:sz w:val="24"/>
                <w:szCs w:val="24"/>
              </w:rPr>
              <w:t>针对开源数据库（如NCBI、GEO、ADNI</w:t>
            </w:r>
            <w:r>
              <w:rPr>
                <w:rFonts w:hint="eastAsia" w:ascii="宋体" w:hAnsi="宋体"/>
                <w:color w:val="000000"/>
                <w:sz w:val="24"/>
                <w:szCs w:val="24"/>
                <w:lang w:eastAsia="zh-CN"/>
              </w:rPr>
              <w:t>，</w:t>
            </w:r>
            <w:r>
              <w:rPr>
                <w:rFonts w:hint="eastAsia" w:ascii="宋体" w:hAnsi="宋体"/>
                <w:color w:val="000000"/>
                <w:sz w:val="24"/>
                <w:szCs w:val="24"/>
                <w:lang w:val="en-US" w:eastAsia="zh-CN"/>
              </w:rPr>
              <w:t>ADSP</w:t>
            </w:r>
            <w:r>
              <w:rPr>
                <w:rFonts w:hint="eastAsia" w:ascii="宋体" w:hAnsi="宋体"/>
                <w:color w:val="000000"/>
                <w:sz w:val="24"/>
                <w:szCs w:val="24"/>
              </w:rPr>
              <w:t>）获取的原始数据进行预处理，包括</w:t>
            </w:r>
          </w:p>
          <w:p w14:paraId="72692318">
            <w:pPr>
              <w:pStyle w:val="3"/>
              <w:tabs>
                <w:tab w:val="left" w:pos="5832"/>
              </w:tabs>
              <w:spacing w:after="0" w:line="400" w:lineRule="exact"/>
              <w:rPr>
                <w:rFonts w:hint="eastAsia" w:ascii="宋体" w:hAnsi="宋体"/>
                <w:color w:val="000000"/>
                <w:sz w:val="24"/>
                <w:szCs w:val="24"/>
              </w:rPr>
            </w:pPr>
            <w:r>
              <w:rPr>
                <w:rFonts w:hint="eastAsia" w:ascii="宋体" w:hAnsi="宋体"/>
                <w:color w:val="000000"/>
                <w:sz w:val="24"/>
                <w:szCs w:val="24"/>
              </w:rPr>
              <w:t>缺失值处理，标准化，非数值形数据编码，平衡数据标签。经过这些步骤可以将复</w:t>
            </w:r>
          </w:p>
          <w:p w14:paraId="57AEEAF7">
            <w:pPr>
              <w:pStyle w:val="3"/>
              <w:tabs>
                <w:tab w:val="left" w:pos="5832"/>
              </w:tabs>
              <w:spacing w:after="0" w:line="400" w:lineRule="exact"/>
              <w:rPr>
                <w:rFonts w:hint="eastAsia" w:ascii="宋体" w:hAnsi="宋体"/>
                <w:color w:val="000000"/>
                <w:sz w:val="24"/>
                <w:szCs w:val="24"/>
              </w:rPr>
            </w:pPr>
            <w:r>
              <w:rPr>
                <w:rFonts w:hint="eastAsia" w:ascii="宋体" w:hAnsi="宋体"/>
                <w:color w:val="000000"/>
                <w:sz w:val="24"/>
                <w:szCs w:val="24"/>
              </w:rPr>
              <w:t>杂、异构的原始数据转化为高质量的、统一格式的标准化数据集，为后续特征选择、</w:t>
            </w:r>
          </w:p>
          <w:p w14:paraId="47F9688F">
            <w:pPr>
              <w:pStyle w:val="3"/>
              <w:tabs>
                <w:tab w:val="left" w:pos="5832"/>
              </w:tabs>
              <w:spacing w:after="0" w:line="400" w:lineRule="exact"/>
              <w:rPr>
                <w:rFonts w:hint="eastAsia" w:ascii="宋体" w:hAnsi="宋体"/>
                <w:color w:val="000000"/>
                <w:sz w:val="24"/>
                <w:szCs w:val="24"/>
              </w:rPr>
            </w:pPr>
            <w:r>
              <w:rPr>
                <w:rFonts w:hint="eastAsia" w:ascii="宋体" w:hAnsi="宋体"/>
                <w:color w:val="000000"/>
                <w:sz w:val="24"/>
                <w:szCs w:val="24"/>
              </w:rPr>
              <w:t>模型训练和评估提供坚实的基础。</w:t>
            </w:r>
          </w:p>
          <w:p w14:paraId="26C0255D">
            <w:pPr>
              <w:pStyle w:val="3"/>
              <w:tabs>
                <w:tab w:val="left" w:pos="5832"/>
              </w:tabs>
              <w:spacing w:after="0" w:line="400" w:lineRule="exact"/>
              <w:rPr>
                <w:rFonts w:hint="eastAsia" w:ascii="宋体" w:hAnsi="宋体"/>
                <w:color w:val="000000"/>
                <w:sz w:val="24"/>
                <w:szCs w:val="24"/>
              </w:rPr>
            </w:pPr>
            <w:r>
              <w:rPr>
                <w:rFonts w:hint="eastAsia" w:ascii="宋体" w:hAnsi="宋体"/>
                <w:color w:val="000000"/>
                <w:sz w:val="24"/>
                <w:szCs w:val="24"/>
              </w:rPr>
              <w:t>（</w:t>
            </w:r>
            <w:r>
              <w:rPr>
                <w:rFonts w:hint="eastAsia" w:ascii="宋体" w:hAnsi="宋体"/>
                <w:color w:val="000000"/>
                <w:sz w:val="24"/>
                <w:szCs w:val="24"/>
                <w:lang w:val="en-US" w:eastAsia="zh-CN"/>
              </w:rPr>
              <w:t>2</w:t>
            </w:r>
            <w:r>
              <w:rPr>
                <w:rFonts w:hint="eastAsia" w:ascii="宋体" w:hAnsi="宋体"/>
                <w:color w:val="000000"/>
                <w:sz w:val="24"/>
                <w:szCs w:val="24"/>
              </w:rPr>
              <w:t>）特征提取与</w:t>
            </w:r>
            <w:r>
              <w:rPr>
                <w:rFonts w:hint="eastAsia" w:ascii="宋体" w:hAnsi="宋体"/>
                <w:color w:val="000000"/>
                <w:sz w:val="24"/>
                <w:szCs w:val="24"/>
                <w:lang w:val="en-US" w:eastAsia="zh-CN"/>
              </w:rPr>
              <w:t>集成</w:t>
            </w:r>
            <w:r>
              <w:rPr>
                <w:rFonts w:hint="eastAsia" w:ascii="宋体" w:hAnsi="宋体"/>
                <w:color w:val="000000"/>
                <w:sz w:val="24"/>
                <w:szCs w:val="24"/>
              </w:rPr>
              <w:t>方法</w:t>
            </w:r>
          </w:p>
          <w:p w14:paraId="5E080FB8">
            <w:pPr>
              <w:pStyle w:val="3"/>
              <w:tabs>
                <w:tab w:val="left" w:pos="5832"/>
              </w:tabs>
              <w:spacing w:after="0" w:line="400" w:lineRule="exact"/>
              <w:rPr>
                <w:rFonts w:hint="eastAsia" w:ascii="宋体" w:hAnsi="宋体"/>
                <w:color w:val="000000"/>
                <w:sz w:val="24"/>
                <w:szCs w:val="24"/>
              </w:rPr>
            </w:pPr>
            <w:r>
              <w:rPr>
                <w:rFonts w:hint="eastAsia" w:ascii="宋体" w:hAnsi="宋体"/>
                <w:color w:val="000000"/>
                <w:sz w:val="24"/>
                <w:szCs w:val="24"/>
              </w:rPr>
              <w:t>特征选择分为三种主要方法：过滤式：通过统计指标筛选对目标变量影响较大的特</w:t>
            </w:r>
          </w:p>
          <w:p w14:paraId="6D94C735">
            <w:pPr>
              <w:pStyle w:val="3"/>
              <w:tabs>
                <w:tab w:val="left" w:pos="5832"/>
              </w:tabs>
              <w:spacing w:after="0" w:line="400" w:lineRule="exact"/>
              <w:rPr>
                <w:rFonts w:hint="eastAsia" w:ascii="宋体" w:hAnsi="宋体"/>
                <w:color w:val="000000"/>
                <w:sz w:val="24"/>
                <w:szCs w:val="24"/>
              </w:rPr>
            </w:pPr>
            <w:r>
              <w:rPr>
                <w:rFonts w:hint="eastAsia" w:ascii="宋体" w:hAnsi="宋体"/>
                <w:color w:val="000000"/>
                <w:sz w:val="24"/>
                <w:szCs w:val="24"/>
              </w:rPr>
              <w:t>征（</w:t>
            </w:r>
            <w:r>
              <w:rPr>
                <w:rFonts w:hint="eastAsia" w:ascii="宋体" w:hAnsi="宋体"/>
                <w:color w:val="000000"/>
                <w:sz w:val="24"/>
                <w:szCs w:val="24"/>
                <w:lang w:val="en-US" w:eastAsia="zh-CN"/>
              </w:rPr>
              <w:t>CFS，MRMR</w:t>
            </w:r>
            <w:r>
              <w:rPr>
                <w:rFonts w:hint="eastAsia" w:ascii="宋体" w:hAnsi="宋体"/>
                <w:color w:val="000000"/>
                <w:sz w:val="24"/>
                <w:szCs w:val="24"/>
              </w:rPr>
              <w:t>），形成特征子集1。包裹式：结合特定模型的性能（</w:t>
            </w:r>
            <w:r>
              <w:rPr>
                <w:rFonts w:hint="eastAsia" w:ascii="宋体" w:hAnsi="宋体"/>
                <w:color w:val="000000"/>
                <w:sz w:val="24"/>
                <w:szCs w:val="24"/>
                <w:lang w:val="en-US" w:eastAsia="zh-CN"/>
              </w:rPr>
              <w:t>RFE</w:t>
            </w:r>
            <w:r>
              <w:rPr>
                <w:rFonts w:hint="eastAsia" w:ascii="宋体" w:hAnsi="宋体"/>
                <w:color w:val="000000"/>
                <w:sz w:val="24"/>
                <w:szCs w:val="24"/>
              </w:rPr>
              <w:t>）来选择特</w:t>
            </w:r>
          </w:p>
          <w:p w14:paraId="7FB51956">
            <w:pPr>
              <w:pStyle w:val="3"/>
              <w:tabs>
                <w:tab w:val="left" w:pos="5832"/>
              </w:tabs>
              <w:spacing w:after="0" w:line="400" w:lineRule="exact"/>
              <w:rPr>
                <w:rFonts w:hint="eastAsia" w:ascii="宋体" w:hAnsi="宋体"/>
                <w:color w:val="000000"/>
                <w:sz w:val="24"/>
                <w:szCs w:val="24"/>
              </w:rPr>
            </w:pPr>
            <w:r>
              <w:rPr>
                <w:rFonts w:hint="eastAsia" w:ascii="宋体" w:hAnsi="宋体"/>
                <w:color w:val="000000"/>
                <w:sz w:val="24"/>
                <w:szCs w:val="24"/>
              </w:rPr>
              <w:t>征，形成特征子集2。嵌入式：在模型训练过程中通过正则化方法选择特征（如LASSO</w:t>
            </w:r>
          </w:p>
          <w:p w14:paraId="1A359091">
            <w:pPr>
              <w:pStyle w:val="3"/>
              <w:tabs>
                <w:tab w:val="left" w:pos="5832"/>
              </w:tabs>
              <w:spacing w:after="0" w:line="400" w:lineRule="exact"/>
              <w:rPr>
                <w:rFonts w:hint="eastAsia" w:ascii="宋体" w:hAnsi="宋体"/>
                <w:color w:val="000000"/>
                <w:sz w:val="24"/>
                <w:szCs w:val="24"/>
                <w:lang w:val="en-US" w:eastAsia="zh-CN"/>
              </w:rPr>
            </w:pPr>
            <w:r>
              <w:rPr>
                <w:rFonts w:hint="eastAsia" w:ascii="宋体" w:hAnsi="宋体"/>
                <w:color w:val="000000"/>
                <w:sz w:val="24"/>
                <w:szCs w:val="24"/>
              </w:rPr>
              <w:t>回归等），形成特征子集3。</w:t>
            </w:r>
            <w:r>
              <w:rPr>
                <w:rFonts w:hint="eastAsia" w:ascii="宋体" w:hAnsi="宋体"/>
                <w:color w:val="000000"/>
                <w:sz w:val="24"/>
                <w:szCs w:val="24"/>
                <w:lang w:val="en-US" w:eastAsia="zh-CN"/>
              </w:rPr>
              <w:t>将三个特征子集按照不同的集成策略得到一个新的集成</w:t>
            </w:r>
          </w:p>
          <w:p w14:paraId="1624B899">
            <w:pPr>
              <w:pStyle w:val="3"/>
              <w:tabs>
                <w:tab w:val="left" w:pos="5832"/>
              </w:tabs>
              <w:spacing w:after="0" w:line="400" w:lineRule="exact"/>
              <w:rPr>
                <w:rFonts w:hint="default" w:ascii="宋体" w:hAnsi="宋体"/>
                <w:color w:val="000000"/>
                <w:sz w:val="24"/>
                <w:szCs w:val="24"/>
                <w:lang w:val="en-US" w:eastAsia="zh-CN"/>
              </w:rPr>
            </w:pPr>
            <w:r>
              <w:rPr>
                <w:rFonts w:hint="eastAsia" w:ascii="宋体" w:hAnsi="宋体"/>
                <w:color w:val="000000"/>
                <w:sz w:val="24"/>
                <w:szCs w:val="24"/>
                <w:lang w:val="en-US" w:eastAsia="zh-CN"/>
              </w:rPr>
              <w:t>后的子集，再通过RF，SVM，GBDT做分类评估。</w:t>
            </w:r>
          </w:p>
          <w:p w14:paraId="69F15EA6">
            <w:pPr>
              <w:pStyle w:val="3"/>
              <w:tabs>
                <w:tab w:val="left" w:pos="5832"/>
              </w:tabs>
              <w:spacing w:after="0" w:line="400" w:lineRule="exact"/>
              <w:rPr>
                <w:rFonts w:hint="default" w:ascii="宋体" w:hAnsi="宋体" w:eastAsia="宋体"/>
                <w:color w:val="000000"/>
                <w:sz w:val="24"/>
                <w:szCs w:val="24"/>
                <w:lang w:val="en-US" w:eastAsia="zh-CN"/>
              </w:rPr>
            </w:pPr>
            <w:r>
              <w:rPr>
                <w:rFonts w:hint="eastAsia" w:ascii="宋体" w:hAnsi="宋体"/>
                <w:color w:val="000000"/>
                <w:sz w:val="24"/>
                <w:szCs w:val="24"/>
              </w:rPr>
              <w:t>（</w:t>
            </w:r>
            <w:r>
              <w:rPr>
                <w:rFonts w:hint="eastAsia" w:ascii="宋体" w:hAnsi="宋体"/>
                <w:color w:val="000000"/>
                <w:sz w:val="24"/>
                <w:szCs w:val="24"/>
                <w:lang w:val="en-US" w:eastAsia="zh-CN"/>
              </w:rPr>
              <w:t>3</w:t>
            </w:r>
            <w:r>
              <w:rPr>
                <w:rFonts w:hint="eastAsia" w:ascii="宋体" w:hAnsi="宋体"/>
                <w:color w:val="000000"/>
                <w:sz w:val="24"/>
                <w:szCs w:val="24"/>
              </w:rPr>
              <w:t>）</w:t>
            </w:r>
            <w:r>
              <w:rPr>
                <w:rFonts w:hint="eastAsia" w:ascii="宋体" w:hAnsi="宋体"/>
                <w:color w:val="000000"/>
                <w:sz w:val="24"/>
                <w:szCs w:val="24"/>
                <w:lang w:val="en-US" w:eastAsia="zh-CN"/>
              </w:rPr>
              <w:t>分类模型构建与评估</w:t>
            </w:r>
          </w:p>
          <w:p w14:paraId="48B1DE43">
            <w:pPr>
              <w:pStyle w:val="3"/>
              <w:tabs>
                <w:tab w:val="left" w:pos="5832"/>
              </w:tabs>
              <w:spacing w:after="0" w:line="400" w:lineRule="exact"/>
              <w:rPr>
                <w:rFonts w:hint="eastAsia" w:ascii="宋体" w:hAnsi="宋体"/>
                <w:color w:val="000000"/>
                <w:sz w:val="24"/>
                <w:szCs w:val="24"/>
              </w:rPr>
            </w:pPr>
            <w:r>
              <w:rPr>
                <w:rFonts w:hint="eastAsia" w:ascii="宋体" w:hAnsi="宋体"/>
                <w:color w:val="000000"/>
                <w:sz w:val="24"/>
                <w:szCs w:val="24"/>
              </w:rPr>
              <w:t>模型性能评估采用多种指标，包括 F1-Score、AUC和 MCC。通过特征评估和模型性</w:t>
            </w:r>
          </w:p>
          <w:p w14:paraId="3A2D042D">
            <w:pPr>
              <w:pStyle w:val="3"/>
              <w:tabs>
                <w:tab w:val="left" w:pos="5832"/>
              </w:tabs>
              <w:spacing w:after="0" w:line="400" w:lineRule="exact"/>
              <w:rPr>
                <w:rFonts w:hint="eastAsia" w:ascii="宋体" w:hAnsi="宋体"/>
                <w:color w:val="000000"/>
                <w:sz w:val="24"/>
                <w:szCs w:val="24"/>
              </w:rPr>
            </w:pPr>
            <w:r>
              <w:rPr>
                <w:rFonts w:hint="eastAsia" w:ascii="宋体" w:hAnsi="宋体"/>
                <w:color w:val="000000"/>
                <w:sz w:val="24"/>
                <w:szCs w:val="24"/>
              </w:rPr>
              <w:t>能的综合分析，进一步优化特征选择过程，提升模型的泛化能力。</w:t>
            </w:r>
          </w:p>
          <w:p w14:paraId="51BD291F">
            <w:pPr>
              <w:pStyle w:val="3"/>
              <w:tabs>
                <w:tab w:val="left" w:pos="5832"/>
              </w:tabs>
              <w:spacing w:after="0" w:line="400" w:lineRule="exact"/>
              <w:rPr>
                <w:rFonts w:hint="eastAsia" w:ascii="宋体" w:hAnsi="宋体"/>
                <w:color w:val="000000"/>
                <w:sz w:val="24"/>
                <w:szCs w:val="24"/>
              </w:rPr>
            </w:pPr>
            <w:r>
              <w:rPr>
                <w:rFonts w:hint="eastAsia" w:ascii="宋体" w:hAnsi="宋体"/>
                <w:color w:val="000000"/>
                <w:sz w:val="24"/>
                <w:szCs w:val="24"/>
              </w:rPr>
              <w:t>（4）功能验证与应用</w:t>
            </w:r>
          </w:p>
          <w:p w14:paraId="03E27BF1">
            <w:pPr>
              <w:pStyle w:val="3"/>
              <w:tabs>
                <w:tab w:val="left" w:pos="5832"/>
              </w:tabs>
              <w:spacing w:after="0" w:line="400" w:lineRule="exact"/>
              <w:rPr>
                <w:rFonts w:hint="eastAsia" w:ascii="宋体" w:hAnsi="宋体"/>
                <w:color w:val="000000"/>
                <w:sz w:val="24"/>
                <w:szCs w:val="24"/>
              </w:rPr>
            </w:pPr>
            <w:r>
              <w:rPr>
                <w:rFonts w:hint="eastAsia" w:ascii="宋体" w:hAnsi="宋体"/>
                <w:color w:val="000000"/>
                <w:sz w:val="24"/>
                <w:szCs w:val="24"/>
              </w:rPr>
              <w:t>为了验证最终特征集的生物学意义或实际应用价值，采用文献验证</w:t>
            </w:r>
            <w:r>
              <w:rPr>
                <w:rFonts w:hint="eastAsia" w:ascii="宋体" w:hAnsi="宋体"/>
                <w:color w:val="000000"/>
                <w:sz w:val="24"/>
                <w:szCs w:val="24"/>
                <w:lang w:eastAsia="zh-CN"/>
              </w:rPr>
              <w:t>，</w:t>
            </w:r>
            <w:r>
              <w:rPr>
                <w:rFonts w:hint="eastAsia" w:ascii="宋体" w:hAnsi="宋体"/>
                <w:color w:val="000000"/>
                <w:sz w:val="24"/>
                <w:szCs w:val="24"/>
              </w:rPr>
              <w:t>KEGG通路分析</w:t>
            </w:r>
          </w:p>
          <w:p w14:paraId="28A6FC9C">
            <w:pPr>
              <w:pStyle w:val="3"/>
              <w:tabs>
                <w:tab w:val="left" w:pos="5832"/>
              </w:tabs>
              <w:spacing w:after="0" w:line="400" w:lineRule="exact"/>
              <w:rPr>
                <w:rFonts w:hint="eastAsia" w:ascii="宋体" w:hAnsi="宋体"/>
                <w:color w:val="000000"/>
                <w:sz w:val="24"/>
                <w:szCs w:val="24"/>
                <w:lang w:eastAsia="zh-CN"/>
              </w:rPr>
            </w:pPr>
            <w:r>
              <w:rPr>
                <w:rFonts w:hint="eastAsia" w:ascii="宋体" w:hAnsi="宋体"/>
                <w:color w:val="000000"/>
                <w:sz w:val="24"/>
                <w:szCs w:val="24"/>
                <w:lang w:val="en-US" w:eastAsia="zh-CN"/>
              </w:rPr>
              <w:t>和</w:t>
            </w:r>
            <w:r>
              <w:rPr>
                <w:rFonts w:hint="eastAsia" w:ascii="宋体" w:hAnsi="宋体"/>
                <w:color w:val="000000"/>
                <w:sz w:val="24"/>
                <w:szCs w:val="24"/>
              </w:rPr>
              <w:t>泛化能力测试</w:t>
            </w:r>
            <w:r>
              <w:rPr>
                <w:rFonts w:hint="eastAsia" w:ascii="宋体" w:hAnsi="宋体"/>
                <w:color w:val="000000"/>
                <w:sz w:val="24"/>
                <w:szCs w:val="24"/>
                <w:lang w:eastAsia="zh-CN"/>
              </w:rPr>
              <w:t>，尝试为结果提供解释性和可靠性支持。</w:t>
            </w:r>
          </w:p>
          <w:p w14:paraId="014C7425">
            <w:pPr>
              <w:pStyle w:val="3"/>
              <w:tabs>
                <w:tab w:val="left" w:pos="5832"/>
              </w:tabs>
              <w:spacing w:after="0" w:line="400" w:lineRule="exact"/>
              <w:rPr>
                <w:rFonts w:hint="default" w:ascii="宋体" w:hAnsi="宋体"/>
                <w:color w:val="000000"/>
                <w:sz w:val="24"/>
                <w:szCs w:val="24"/>
                <w:lang w:val="en-US" w:eastAsia="zh-CN"/>
              </w:rPr>
            </w:pPr>
            <w:r>
              <w:rPr>
                <w:rFonts w:hint="eastAsia" w:ascii="宋体" w:hAnsi="宋体"/>
                <w:color w:val="000000"/>
                <w:sz w:val="24"/>
                <w:szCs w:val="24"/>
                <w:lang w:val="en-US" w:eastAsia="zh-CN"/>
              </w:rPr>
              <w:t>总体架构如图一所示</w:t>
            </w:r>
          </w:p>
          <w:p w14:paraId="3734D764">
            <w:pPr>
              <w:pStyle w:val="3"/>
              <w:tabs>
                <w:tab w:val="left" w:pos="5832"/>
              </w:tabs>
              <w:spacing w:after="0" w:line="400" w:lineRule="exact"/>
              <w:rPr>
                <w:rFonts w:hint="eastAsia" w:ascii="宋体" w:hAnsi="宋体"/>
                <w:color w:val="000000"/>
                <w:sz w:val="24"/>
                <w:lang w:val="en-US" w:eastAsia="zh-CN"/>
              </w:rPr>
            </w:pPr>
          </w:p>
          <w:p w14:paraId="174B9C07">
            <w:pPr>
              <w:pStyle w:val="3"/>
              <w:tabs>
                <w:tab w:val="left" w:pos="5832"/>
              </w:tabs>
              <w:spacing w:after="0" w:line="400" w:lineRule="exact"/>
              <w:rPr>
                <w:rFonts w:hint="eastAsia" w:ascii="宋体" w:hAnsi="宋体"/>
                <w:color w:val="000000"/>
                <w:sz w:val="24"/>
                <w:lang w:val="en-US" w:eastAsia="zh-CN"/>
              </w:rPr>
            </w:pPr>
          </w:p>
          <w:p w14:paraId="3E0CE0FB">
            <w:pPr>
              <w:pStyle w:val="3"/>
              <w:tabs>
                <w:tab w:val="left" w:pos="5832"/>
              </w:tabs>
              <w:spacing w:after="0" w:line="400" w:lineRule="exact"/>
              <w:rPr>
                <w:rFonts w:hint="eastAsia" w:ascii="宋体" w:hAnsi="宋体"/>
                <w:color w:val="000000"/>
                <w:sz w:val="24"/>
                <w:lang w:val="en-US" w:eastAsia="zh-CN"/>
              </w:rPr>
            </w:pPr>
          </w:p>
          <w:p w14:paraId="4DCE4D9F">
            <w:pPr>
              <w:pStyle w:val="3"/>
              <w:tabs>
                <w:tab w:val="left" w:pos="5832"/>
              </w:tabs>
              <w:spacing w:after="0" w:line="400" w:lineRule="exact"/>
              <w:rPr>
                <w:rFonts w:hint="eastAsia" w:ascii="宋体" w:hAnsi="宋体"/>
                <w:color w:val="000000"/>
                <w:sz w:val="24"/>
                <w:lang w:val="en-US" w:eastAsia="zh-CN"/>
              </w:rPr>
            </w:pPr>
          </w:p>
          <w:p w14:paraId="12F9C7D0">
            <w:pPr>
              <w:pStyle w:val="3"/>
              <w:tabs>
                <w:tab w:val="left" w:pos="5832"/>
              </w:tabs>
              <w:spacing w:after="0" w:line="400" w:lineRule="exact"/>
              <w:rPr>
                <w:rFonts w:hint="eastAsia" w:ascii="宋体" w:hAnsi="宋体"/>
                <w:color w:val="000000"/>
                <w:sz w:val="24"/>
              </w:rPr>
            </w:pPr>
            <w:r>
              <w:drawing>
                <wp:anchor distT="0" distB="0" distL="114300" distR="114300" simplePos="0" relativeHeight="251659264" behindDoc="0" locked="0" layoutInCell="1" allowOverlap="1">
                  <wp:simplePos x="0" y="0"/>
                  <wp:positionH relativeFrom="column">
                    <wp:posOffset>-102235</wp:posOffset>
                  </wp:positionH>
                  <wp:positionV relativeFrom="paragraph">
                    <wp:posOffset>-9972675</wp:posOffset>
                  </wp:positionV>
                  <wp:extent cx="5362575" cy="8298180"/>
                  <wp:effectExtent l="0" t="0" r="0" b="7620"/>
                  <wp:wrapTopAndBottom/>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1"/>
                          <a:stretch>
                            <a:fillRect/>
                          </a:stretch>
                        </pic:blipFill>
                        <pic:spPr>
                          <a:xfrm>
                            <a:off x="0" y="0"/>
                            <a:ext cx="5362575" cy="8298180"/>
                          </a:xfrm>
                          <a:prstGeom prst="rect">
                            <a:avLst/>
                          </a:prstGeom>
                          <a:noFill/>
                          <a:ln>
                            <a:noFill/>
                          </a:ln>
                        </pic:spPr>
                      </pic:pic>
                    </a:graphicData>
                  </a:graphic>
                </wp:anchor>
              </w:drawing>
            </w:r>
          </w:p>
          <w:p w14:paraId="3F8E3EE2">
            <w:pPr>
              <w:pStyle w:val="3"/>
              <w:tabs>
                <w:tab w:val="left" w:pos="5832"/>
              </w:tabs>
              <w:spacing w:after="0" w:line="400" w:lineRule="exact"/>
              <w:rPr>
                <w:rFonts w:ascii="宋体" w:hAnsi="宋体"/>
                <w:color w:val="000000"/>
                <w:sz w:val="24"/>
              </w:rPr>
            </w:pPr>
            <w:r>
              <w:rPr>
                <w:rFonts w:hint="eastAsia" w:ascii="宋体" w:hAnsi="宋体"/>
                <w:color w:val="000000"/>
                <w:sz w:val="24"/>
              </w:rPr>
              <w:t>图 1 项目总体组织结构</w:t>
            </w:r>
          </w:p>
          <w:p w14:paraId="166DEFD0">
            <w:pPr>
              <w:pStyle w:val="3"/>
              <w:tabs>
                <w:tab w:val="left" w:pos="5832"/>
              </w:tabs>
              <w:spacing w:after="0" w:line="400" w:lineRule="exact"/>
              <w:rPr>
                <w:rFonts w:hint="eastAsia" w:ascii="宋体" w:hAnsi="宋体"/>
                <w:color w:val="000000"/>
                <w:sz w:val="24"/>
              </w:rPr>
            </w:pPr>
            <w:r>
              <w:rPr>
                <w:rFonts w:hint="eastAsia" w:ascii="宋体" w:hAnsi="宋体"/>
                <w:color w:val="000000"/>
                <w:sz w:val="24"/>
              </w:rPr>
              <w:t>二．进度实施计划：</w:t>
            </w:r>
          </w:p>
          <w:p w14:paraId="6CB03A9F">
            <w:pPr>
              <w:pStyle w:val="3"/>
              <w:tabs>
                <w:tab w:val="left" w:pos="5832"/>
              </w:tabs>
              <w:spacing w:after="0" w:line="400" w:lineRule="exact"/>
              <w:rPr>
                <w:rFonts w:hint="eastAsia" w:ascii="宋体" w:hAnsi="宋体"/>
                <w:color w:val="000000"/>
                <w:sz w:val="24"/>
              </w:rPr>
            </w:pPr>
            <w:r>
              <w:rPr>
                <w:rFonts w:hint="eastAsia" w:ascii="宋体" w:hAnsi="宋体"/>
                <w:color w:val="000000"/>
                <w:sz w:val="24"/>
              </w:rPr>
              <w:t>（1）第1～2周：查阅各种文献和相关资料，了解课题发展方向及成果，编写毕业设计开题报告；</w:t>
            </w:r>
          </w:p>
          <w:p w14:paraId="129539C7">
            <w:pPr>
              <w:pStyle w:val="3"/>
              <w:tabs>
                <w:tab w:val="left" w:pos="5832"/>
              </w:tabs>
              <w:spacing w:after="0" w:line="400" w:lineRule="exact"/>
              <w:rPr>
                <w:rFonts w:hint="eastAsia" w:ascii="宋体" w:hAnsi="宋体"/>
                <w:color w:val="000000"/>
                <w:sz w:val="24"/>
              </w:rPr>
            </w:pPr>
            <w:r>
              <w:rPr>
                <w:rFonts w:hint="eastAsia" w:ascii="宋体" w:hAnsi="宋体"/>
                <w:color w:val="000000"/>
                <w:sz w:val="24"/>
              </w:rPr>
              <w:t>（2）第3～4周：大量阅读相关文献资料，学习总结已有的方法并探索可用于解决问题的方法；</w:t>
            </w:r>
          </w:p>
          <w:p w14:paraId="7F767445">
            <w:pPr>
              <w:pStyle w:val="3"/>
              <w:tabs>
                <w:tab w:val="left" w:pos="5832"/>
              </w:tabs>
              <w:spacing w:after="0" w:line="400" w:lineRule="exact"/>
              <w:rPr>
                <w:rFonts w:hint="eastAsia" w:ascii="宋体" w:hAnsi="宋体"/>
                <w:color w:val="000000"/>
                <w:sz w:val="24"/>
              </w:rPr>
            </w:pPr>
            <w:r>
              <w:rPr>
                <w:rFonts w:hint="eastAsia" w:ascii="宋体" w:hAnsi="宋体"/>
                <w:color w:val="000000"/>
                <w:sz w:val="24"/>
              </w:rPr>
              <w:t>（3）第5～7周：搜集阿尔兹海默症生物标志物数据集以及后续可能用到的泛化性验证数据集合，进行前期数据预处理，利用已有算法做预实验并分析结果；</w:t>
            </w:r>
          </w:p>
          <w:p w14:paraId="3E06B3B3">
            <w:pPr>
              <w:pStyle w:val="3"/>
              <w:tabs>
                <w:tab w:val="left" w:pos="5832"/>
              </w:tabs>
              <w:spacing w:after="0" w:line="400" w:lineRule="exact"/>
              <w:rPr>
                <w:rFonts w:hint="eastAsia" w:ascii="宋体" w:hAnsi="宋体"/>
                <w:color w:val="000000"/>
                <w:sz w:val="24"/>
              </w:rPr>
            </w:pPr>
            <w:r>
              <w:rPr>
                <w:rFonts w:hint="eastAsia" w:ascii="宋体" w:hAnsi="宋体"/>
                <w:color w:val="000000"/>
                <w:sz w:val="24"/>
              </w:rPr>
              <w:t>（4）第8～1</w:t>
            </w:r>
            <w:r>
              <w:rPr>
                <w:rFonts w:hint="eastAsia" w:ascii="宋体" w:hAnsi="宋体"/>
                <w:color w:val="000000"/>
                <w:sz w:val="24"/>
                <w:lang w:val="en-US" w:eastAsia="zh-CN"/>
              </w:rPr>
              <w:t>2</w:t>
            </w:r>
            <w:r>
              <w:rPr>
                <w:rFonts w:hint="eastAsia" w:ascii="宋体" w:hAnsi="宋体"/>
                <w:color w:val="000000"/>
                <w:sz w:val="24"/>
              </w:rPr>
              <w:t>周：算法研究与设计，设计并实现三类传统的特征选择算法中的各一种，完成特征选择算法算法的实现和调试，评估特征选择算法的性能，并进行参数调优，实现三种ensemble策略，做一个不同领域的泛化性实验，并记录实验过程，分析结果，作为毕业论文的实验部分的参考。</w:t>
            </w:r>
          </w:p>
          <w:p w14:paraId="25665599">
            <w:pPr>
              <w:pStyle w:val="3"/>
              <w:tabs>
                <w:tab w:val="left" w:pos="5832"/>
              </w:tabs>
              <w:spacing w:after="0" w:line="400" w:lineRule="exact"/>
              <w:rPr>
                <w:rFonts w:hint="eastAsia" w:ascii="宋体" w:hAnsi="宋体"/>
                <w:color w:val="000000"/>
                <w:sz w:val="24"/>
              </w:rPr>
            </w:pPr>
            <w:r>
              <w:rPr>
                <w:rFonts w:hint="eastAsia" w:ascii="宋体" w:hAnsi="宋体"/>
                <w:color w:val="000000"/>
                <w:sz w:val="24"/>
              </w:rPr>
              <w:t>（5）第13～15周：毕业论文撰写及润色；</w:t>
            </w:r>
          </w:p>
          <w:p w14:paraId="1A85CA57">
            <w:pPr>
              <w:pStyle w:val="3"/>
              <w:tabs>
                <w:tab w:val="left" w:pos="5832"/>
              </w:tabs>
              <w:spacing w:after="0" w:line="400" w:lineRule="exact"/>
              <w:rPr>
                <w:rFonts w:hint="eastAsia" w:ascii="宋体" w:hAnsi="宋体"/>
                <w:color w:val="000000"/>
                <w:sz w:val="24"/>
              </w:rPr>
            </w:pPr>
            <w:r>
              <w:rPr>
                <w:rFonts w:hint="eastAsia" w:ascii="宋体" w:hAnsi="宋体"/>
                <w:color w:val="000000"/>
                <w:sz w:val="24"/>
              </w:rPr>
              <w:t>（6）第16周：毕业设计答辩；</w:t>
            </w:r>
          </w:p>
          <w:p w14:paraId="603E5EF7">
            <w:pPr>
              <w:pStyle w:val="3"/>
              <w:tabs>
                <w:tab w:val="left" w:pos="5832"/>
              </w:tabs>
              <w:spacing w:after="0" w:line="400" w:lineRule="exact"/>
              <w:rPr>
                <w:rFonts w:hint="eastAsia" w:ascii="宋体" w:hAnsi="宋体"/>
                <w:color w:val="000000"/>
                <w:sz w:val="24"/>
              </w:rPr>
            </w:pPr>
          </w:p>
          <w:p w14:paraId="70B773EE">
            <w:pPr>
              <w:pStyle w:val="3"/>
              <w:tabs>
                <w:tab w:val="left" w:pos="5832"/>
              </w:tabs>
              <w:spacing w:after="0" w:line="400" w:lineRule="exact"/>
              <w:rPr>
                <w:rFonts w:hint="eastAsia" w:ascii="宋体" w:hAnsi="宋体"/>
                <w:color w:val="000000"/>
                <w:sz w:val="24"/>
              </w:rPr>
            </w:pPr>
            <w:r>
              <w:rPr>
                <w:rFonts w:hint="eastAsia" w:ascii="宋体" w:hAnsi="宋体"/>
                <w:color w:val="000000"/>
                <w:sz w:val="24"/>
              </w:rPr>
              <w:t>三．预期提交的毕业设计资料：</w:t>
            </w:r>
          </w:p>
          <w:p w14:paraId="64427C89">
            <w:pPr>
              <w:pStyle w:val="3"/>
              <w:tabs>
                <w:tab w:val="left" w:pos="5832"/>
              </w:tabs>
              <w:spacing w:after="0" w:line="400" w:lineRule="exact"/>
              <w:rPr>
                <w:rFonts w:ascii="宋体" w:hAnsi="宋体"/>
                <w:szCs w:val="21"/>
              </w:rPr>
            </w:pPr>
            <w:r>
              <w:rPr>
                <w:rFonts w:hint="eastAsia" w:ascii="宋体" w:hAnsi="宋体"/>
                <w:color w:val="000000"/>
                <w:sz w:val="24"/>
              </w:rPr>
              <w:t>（</w:t>
            </w:r>
            <w:r>
              <w:rPr>
                <w:rFonts w:hint="eastAsia" w:ascii="宋体" w:hAnsi="宋体"/>
                <w:color w:val="000000"/>
                <w:sz w:val="24"/>
                <w:lang w:val="en-US" w:eastAsia="zh-CN"/>
              </w:rPr>
              <w:t>1</w:t>
            </w:r>
            <w:r>
              <w:rPr>
                <w:rFonts w:hint="eastAsia" w:ascii="宋体" w:hAnsi="宋体"/>
                <w:color w:val="000000"/>
                <w:sz w:val="24"/>
              </w:rPr>
              <w:t>）</w:t>
            </w:r>
            <w:r>
              <w:rPr>
                <w:rFonts w:ascii="宋体" w:hAnsi="宋体"/>
                <w:szCs w:val="21"/>
              </w:rPr>
              <w:t>毕业设计开题报告1份；</w:t>
            </w:r>
          </w:p>
          <w:p w14:paraId="713887DD">
            <w:pPr>
              <w:pStyle w:val="3"/>
              <w:tabs>
                <w:tab w:val="left" w:pos="5832"/>
              </w:tabs>
              <w:spacing w:after="0" w:line="400" w:lineRule="exact"/>
              <w:rPr>
                <w:rFonts w:ascii="宋体" w:hAnsi="宋体"/>
                <w:szCs w:val="21"/>
              </w:rPr>
            </w:pPr>
            <w:r>
              <w:rPr>
                <w:rFonts w:hint="eastAsia" w:ascii="宋体" w:hAnsi="宋体"/>
                <w:color w:val="000000"/>
                <w:sz w:val="24"/>
              </w:rPr>
              <w:t>（</w:t>
            </w:r>
            <w:r>
              <w:rPr>
                <w:rFonts w:hint="eastAsia" w:ascii="宋体" w:hAnsi="宋体"/>
                <w:color w:val="000000"/>
                <w:sz w:val="24"/>
                <w:lang w:val="en-US" w:eastAsia="zh-CN"/>
              </w:rPr>
              <w:t>2</w:t>
            </w:r>
            <w:r>
              <w:rPr>
                <w:rFonts w:hint="eastAsia" w:ascii="宋体" w:hAnsi="宋体"/>
                <w:color w:val="000000"/>
                <w:sz w:val="24"/>
              </w:rPr>
              <w:t>）</w:t>
            </w:r>
            <w:r>
              <w:rPr>
                <w:rFonts w:ascii="宋体" w:hAnsi="宋体"/>
                <w:szCs w:val="21"/>
              </w:rPr>
              <w:t xml:space="preserve">英文翻译材料1份(包括不少于2万字符的英文原文和译文); </w:t>
            </w:r>
          </w:p>
          <w:p w14:paraId="4545C788">
            <w:pPr>
              <w:pStyle w:val="3"/>
              <w:tabs>
                <w:tab w:val="left" w:pos="5832"/>
              </w:tabs>
              <w:spacing w:after="0" w:line="400" w:lineRule="exact"/>
              <w:rPr>
                <w:rFonts w:ascii="宋体" w:hAnsi="宋体"/>
                <w:szCs w:val="21"/>
              </w:rPr>
            </w:pPr>
            <w:r>
              <w:rPr>
                <w:rFonts w:hint="eastAsia" w:ascii="宋体" w:hAnsi="宋体"/>
                <w:color w:val="000000"/>
                <w:sz w:val="24"/>
              </w:rPr>
              <w:t>（</w:t>
            </w:r>
            <w:r>
              <w:rPr>
                <w:rFonts w:hint="eastAsia" w:ascii="宋体" w:hAnsi="宋体"/>
                <w:color w:val="000000"/>
                <w:sz w:val="24"/>
                <w:lang w:val="en-US" w:eastAsia="zh-CN"/>
              </w:rPr>
              <w:t>3</w:t>
            </w:r>
            <w:r>
              <w:rPr>
                <w:rFonts w:hint="eastAsia" w:ascii="宋体" w:hAnsi="宋体"/>
                <w:color w:val="000000"/>
                <w:sz w:val="24"/>
              </w:rPr>
              <w:t>）</w:t>
            </w:r>
            <w:r>
              <w:rPr>
                <w:rFonts w:ascii="宋体" w:hAnsi="宋体"/>
                <w:szCs w:val="21"/>
              </w:rPr>
              <w:t xml:space="preserve">完成相关软件系统一套(包含源程序清单,用户使用说明书); </w:t>
            </w:r>
          </w:p>
          <w:p w14:paraId="767B2870">
            <w:pPr>
              <w:pStyle w:val="3"/>
              <w:tabs>
                <w:tab w:val="left" w:pos="5832"/>
              </w:tabs>
              <w:spacing w:after="0" w:line="400" w:lineRule="exact"/>
              <w:rPr>
                <w:rFonts w:ascii="宋体" w:hAnsi="宋体"/>
                <w:szCs w:val="21"/>
              </w:rPr>
            </w:pPr>
            <w:r>
              <w:rPr>
                <w:rFonts w:hint="eastAsia" w:ascii="宋体" w:hAnsi="宋体"/>
                <w:color w:val="000000"/>
                <w:sz w:val="24"/>
              </w:rPr>
              <w:t>（</w:t>
            </w:r>
            <w:r>
              <w:rPr>
                <w:rFonts w:hint="eastAsia" w:ascii="宋体" w:hAnsi="宋体"/>
                <w:color w:val="000000"/>
                <w:sz w:val="24"/>
                <w:lang w:val="en-US" w:eastAsia="zh-CN"/>
              </w:rPr>
              <w:t>4</w:t>
            </w:r>
            <w:r>
              <w:rPr>
                <w:rFonts w:hint="eastAsia" w:ascii="宋体" w:hAnsi="宋体"/>
                <w:color w:val="000000"/>
                <w:sz w:val="24"/>
              </w:rPr>
              <w:t>）</w:t>
            </w:r>
            <w:r>
              <w:rPr>
                <w:rFonts w:ascii="宋体" w:hAnsi="宋体"/>
                <w:szCs w:val="21"/>
              </w:rPr>
              <w:t>毕业设计说明书1份(不少于1.5万字，附中英文摘要，其中英文摘要300~500个英文单词)。</w:t>
            </w:r>
          </w:p>
        </w:tc>
      </w:tr>
      <w:tr w14:paraId="036BDA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jc w:val="center"/>
        </w:trPr>
        <w:tc>
          <w:tcPr>
            <w:tcW w:w="8953" w:type="dxa"/>
            <w:vAlign w:val="center"/>
          </w:tcPr>
          <w:p w14:paraId="593B007D">
            <w:pPr>
              <w:rPr>
                <w:sz w:val="28"/>
                <w:szCs w:val="28"/>
              </w:rPr>
            </w:pPr>
            <w:r>
              <w:rPr>
                <w:rFonts w:hint="eastAsia"/>
                <w:bCs/>
                <w:sz w:val="28"/>
                <w:szCs w:val="28"/>
              </w:rPr>
              <w:t>指导教师意见</w:t>
            </w:r>
          </w:p>
        </w:tc>
      </w:tr>
      <w:tr w14:paraId="70CAD0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3" w:hRule="atLeast"/>
          <w:jc w:val="center"/>
        </w:trPr>
        <w:tc>
          <w:tcPr>
            <w:tcW w:w="8953" w:type="dxa"/>
          </w:tcPr>
          <w:p w14:paraId="379D1F63">
            <w:pPr>
              <w:ind w:firstLine="480" w:firstLineChars="200"/>
              <w:rPr>
                <w:sz w:val="24"/>
              </w:rPr>
            </w:pPr>
          </w:p>
          <w:p w14:paraId="31A6A274">
            <w:pPr>
              <w:rPr>
                <w:sz w:val="24"/>
              </w:rPr>
            </w:pPr>
          </w:p>
          <w:p w14:paraId="6D6C92A2">
            <w:pPr>
              <w:rPr>
                <w:rFonts w:ascii="宋体" w:hAnsi="宋体"/>
                <w:sz w:val="28"/>
              </w:rPr>
            </w:pPr>
            <w:r>
              <w:rPr>
                <w:rFonts w:hint="eastAsia"/>
              </w:rPr>
              <w:t xml:space="preserve">                                                </w:t>
            </w:r>
            <w:r>
              <w:rPr>
                <w:rFonts w:hint="eastAsia" w:ascii="宋体" w:hAnsi="宋体"/>
              </w:rPr>
              <w:t xml:space="preserve"> </w:t>
            </w:r>
            <w:r>
              <w:rPr>
                <w:rFonts w:hint="eastAsia" w:ascii="宋体" w:hAnsi="宋体"/>
                <w:sz w:val="28"/>
              </w:rPr>
              <w:t>指导教师：</w:t>
            </w:r>
            <w:r>
              <w:rPr>
                <w:rFonts w:hint="eastAsia" w:ascii="宋体" w:hAnsi="宋体"/>
                <w:sz w:val="28"/>
              </w:rPr>
              <w:drawing>
                <wp:inline distT="0" distB="0" distL="114300" distR="114300">
                  <wp:extent cx="952500" cy="476250"/>
                  <wp:effectExtent l="0" t="0" r="0" b="0"/>
                  <wp:docPr id="100002" name="图片 1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图片 100002"/>
                          <pic:cNvPicPr>
                            <a:picLocks noChangeAspect="1"/>
                          </pic:cNvPicPr>
                        </pic:nvPicPr>
                        <pic:blipFill>
                          <a:blip r:embed="rId12"/>
                          <a:stretch>
                            <a:fillRect/>
                          </a:stretch>
                        </pic:blipFill>
                        <pic:spPr>
                          <a:xfrm>
                            <a:off x="0" y="0"/>
                            <a:ext cx="952500" cy="476250"/>
                          </a:xfrm>
                          <a:prstGeom prst="rect">
                            <a:avLst/>
                          </a:prstGeom>
                        </pic:spPr>
                      </pic:pic>
                    </a:graphicData>
                  </a:graphic>
                </wp:inline>
              </w:drawing>
            </w:r>
          </w:p>
          <w:p w14:paraId="435C8854">
            <w:pPr>
              <w:ind w:right="280"/>
              <w:jc w:val="right"/>
              <w:rPr>
                <w:rFonts w:ascii="宋体" w:hAnsi="宋体"/>
                <w:szCs w:val="21"/>
              </w:rPr>
            </w:pPr>
          </w:p>
        </w:tc>
      </w:tr>
      <w:tr w14:paraId="2BED90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jc w:val="center"/>
        </w:trPr>
        <w:tc>
          <w:tcPr>
            <w:tcW w:w="8953" w:type="dxa"/>
          </w:tcPr>
          <w:p w14:paraId="1131390C">
            <w:pPr>
              <w:rPr>
                <w:rFonts w:ascii="宋体" w:hAnsi="宋体"/>
                <w:sz w:val="28"/>
              </w:rPr>
            </w:pPr>
            <w:r>
              <w:rPr>
                <w:rFonts w:hint="eastAsia" w:ascii="宋体" w:hAnsi="宋体"/>
                <w:sz w:val="28"/>
              </w:rPr>
              <w:t>开题小组意见</w:t>
            </w:r>
          </w:p>
        </w:tc>
      </w:tr>
      <w:tr w14:paraId="5185AC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jc w:val="center"/>
        </w:trPr>
        <w:tc>
          <w:tcPr>
            <w:tcW w:w="8953" w:type="dxa"/>
          </w:tcPr>
          <w:p w14:paraId="2C2B2023">
            <w:pPr>
              <w:ind w:firstLine="480" w:firstLineChars="200"/>
              <w:rPr>
                <w:rFonts w:ascii="宋体" w:hAnsi="宋体"/>
                <w:sz w:val="24"/>
              </w:rPr>
            </w:pPr>
          </w:p>
          <w:p w14:paraId="5F47E931">
            <w:pPr>
              <w:rPr>
                <w:rFonts w:ascii="宋体" w:hAnsi="宋体"/>
                <w:sz w:val="24"/>
              </w:rPr>
            </w:pPr>
          </w:p>
          <w:p w14:paraId="7CB7F490">
            <w:pPr>
              <w:ind w:firstLine="280" w:firstLineChars="100"/>
              <w:rPr>
                <w:rFonts w:ascii="宋体" w:hAnsi="宋体"/>
                <w:sz w:val="28"/>
              </w:rPr>
            </w:pPr>
            <w:r>
              <w:rPr>
                <w:rFonts w:hint="eastAsia" w:ascii="宋体" w:hAnsi="宋体"/>
                <w:sz w:val="28"/>
              </w:rPr>
              <w:t xml:space="preserve">开题小组组长签字：              </w:t>
            </w:r>
          </w:p>
          <w:p w14:paraId="0DAE97C5">
            <w:pPr>
              <w:rPr>
                <w:rFonts w:ascii="宋体" w:hAnsi="宋体"/>
                <w:sz w:val="28"/>
                <w:szCs w:val="28"/>
              </w:rPr>
            </w:pPr>
          </w:p>
        </w:tc>
      </w:tr>
      <w:tr w14:paraId="371534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jc w:val="center"/>
        </w:trPr>
        <w:tc>
          <w:tcPr>
            <w:tcW w:w="8953" w:type="dxa"/>
          </w:tcPr>
          <w:p w14:paraId="1CFFE72F">
            <w:pPr>
              <w:rPr>
                <w:rFonts w:ascii="宋体" w:hAnsi="宋体"/>
                <w:sz w:val="28"/>
              </w:rPr>
            </w:pPr>
            <w:r>
              <w:rPr>
                <w:rFonts w:hint="eastAsia" w:ascii="宋体" w:hAnsi="宋体"/>
                <w:sz w:val="28"/>
              </w:rPr>
              <w:t>院系审核意见</w:t>
            </w:r>
          </w:p>
        </w:tc>
      </w:tr>
      <w:tr w14:paraId="0C1BF7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0" w:hRule="atLeast"/>
          <w:jc w:val="center"/>
        </w:trPr>
        <w:tc>
          <w:tcPr>
            <w:tcW w:w="8953" w:type="dxa"/>
          </w:tcPr>
          <w:p w14:paraId="2F839A5F">
            <w:pPr>
              <w:ind w:firstLine="480" w:firstLineChars="200"/>
              <w:rPr>
                <w:rFonts w:ascii="宋体" w:hAnsi="宋体"/>
                <w:sz w:val="24"/>
              </w:rPr>
            </w:pPr>
          </w:p>
          <w:p w14:paraId="62692FA1">
            <w:pPr>
              <w:jc w:val="right"/>
              <w:rPr>
                <w:rFonts w:ascii="宋体" w:hAnsi="宋体"/>
                <w:sz w:val="28"/>
              </w:rPr>
            </w:pPr>
          </w:p>
          <w:p w14:paraId="206248C9">
            <w:pPr>
              <w:ind w:right="560" w:firstLine="4200" w:firstLineChars="1500"/>
              <w:rPr>
                <w:rFonts w:ascii="宋体" w:hAnsi="宋体"/>
                <w:sz w:val="28"/>
              </w:rPr>
            </w:pPr>
            <w:r>
              <w:rPr>
                <w:rFonts w:hint="eastAsia" w:ascii="宋体" w:hAnsi="宋体"/>
                <w:sz w:val="28"/>
              </w:rPr>
              <w:t>院系主管领导签字：</w:t>
            </w:r>
          </w:p>
          <w:p w14:paraId="54331183">
            <w:pPr>
              <w:ind w:right="280"/>
              <w:jc w:val="right"/>
              <w:rPr>
                <w:rFonts w:ascii="宋体" w:hAnsi="宋体"/>
                <w:szCs w:val="21"/>
              </w:rPr>
            </w:pPr>
          </w:p>
        </w:tc>
      </w:tr>
    </w:tbl>
    <w:p w14:paraId="1CADFE2F">
      <w:pPr>
        <w:rPr>
          <w:rFonts w:ascii="宋体" w:hAnsi="宋体"/>
          <w:szCs w:val="21"/>
        </w:rPr>
      </w:pPr>
    </w:p>
    <w:sectPr>
      <w:headerReference r:id="rId8" w:type="first"/>
      <w:headerReference r:id="rId6" w:type="default"/>
      <w:headerReference r:id="rId7" w:type="even"/>
      <w:pgSz w:w="11906" w:h="16838"/>
      <w:pgMar w:top="1134" w:right="1418"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
    <w:altName w:val="Times New Roman"/>
    <w:panose1 w:val="00000000000000000000"/>
    <w:charset w:val="00"/>
    <w:family w:val="roman"/>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710AF3">
    <w:pPr>
      <w:jc w:val="center"/>
      <w:rPr>
        <w:rFonts w:ascii="宋体" w:hAnsi="宋体"/>
        <w:bCs/>
        <w:sz w:val="36"/>
        <w:szCs w:val="36"/>
      </w:rPr>
    </w:pPr>
  </w:p>
  <w:p w14:paraId="09EE275E">
    <w:r>
      <w:pict>
        <v:shape id="_x0000_s4098" o:spid="_x0000_s4098" o:spt="136" type="#_x0000_t136" style="position:absolute;left:0pt;height:100pt;width:500pt;mso-position-horizontal:center;mso-position-horizontal-relative:page;mso-position-vertical:center;mso-position-vertical-relative:page;rotation:-2621440f;z-index:251660288;mso-width-relative:page;mso-height-relative:page;" fillcolor="#FFC0CB" filled="t" stroked="t" coordsize="21600,21600">
          <v:path/>
          <v:fill on="t" focussize="0,0"/>
          <v:stroke color="#FFC0CB"/>
          <v:imagedata o:title=""/>
          <o:lock v:ext="edit"/>
          <v:textpath on="t" fitshape="t" fitpath="t" trim="f" xscale="f" string="       桂林电子科技大学      " style="font-family:Arial;font-size:36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7B89CC">
    <w:r>
      <w:pict>
        <v:shape id="_x0000_s4099" o:spid="_x0000_s4099" o:spt="136" type="#_x0000_t136" style="position:absolute;left:0pt;height:100pt;width:500pt;mso-position-horizontal:center;mso-position-horizontal-relative:page;mso-position-vertical:center;mso-position-vertical-relative:page;rotation:-2621440f;z-index:251662336;mso-width-relative:page;mso-height-relative:page;" fillcolor="#FFC0CB" filled="t" stroked="t" coordsize="21600,21600">
          <v:path/>
          <v:fill on="t" focussize="0,0"/>
          <v:stroke color="#FFC0CB"/>
          <v:imagedata o:title=""/>
          <o:lock v:ext="edit"/>
          <v:textpath on="t" fitshape="t" fitpath="t" trim="f" xscale="f" string="       桂林电子科技大学      " style="font-family:Arial;font-size:36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FDE690">
    <w:r>
      <w:pict>
        <v:shape id="_x0000_s4097" o:spid="_x0000_s4097" o:spt="136" type="#_x0000_t136" style="position:absolute;left:0pt;height:100pt;width:500pt;mso-position-horizontal:center;mso-position-horizontal-relative:page;mso-position-vertical:center;mso-position-vertical-relative:page;rotation:-2621440f;z-index:251661312;mso-width-relative:page;mso-height-relative:page;" fillcolor="#FFC0CB" filled="t" stroked="t" coordsize="21600,21600">
          <v:path/>
          <v:fill on="t" focussize="0,0"/>
          <v:stroke color="#FFC0CB"/>
          <v:imagedata o:title=""/>
          <o:lock v:ext="edit"/>
          <v:textpath on="t" fitshape="t" fitpath="t" trim="f" xscale="f" string="       桂林电子科技大学      " style="font-family:Arial;font-size:36pt;v-text-align:center;"/>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8CBEC6">
    <w:pPr>
      <w:jc w:val="center"/>
      <w:rPr>
        <w:rFonts w:ascii="宋体" w:hAnsi="宋体"/>
        <w:bCs/>
        <w:sz w:val="36"/>
        <w:szCs w:val="36"/>
      </w:rPr>
    </w:pPr>
    <w:r>
      <w:rPr>
        <w:rFonts w:hint="eastAsia" w:ascii="宋体" w:hAnsi="宋体"/>
        <w:bCs/>
        <w:sz w:val="36"/>
        <w:szCs w:val="36"/>
      </w:rPr>
      <w:t>毕业设计（论文）开题报告</w:t>
    </w:r>
  </w:p>
  <w:p w14:paraId="7324B0D3">
    <w:r>
      <w:pict>
        <v:shape id="_x0000_s4101" o:spid="_x0000_s4101" o:spt="136" type="#_x0000_t136" style="position:absolute;left:0pt;height:100pt;width:500pt;mso-position-horizontal:center;mso-position-horizontal-relative:page;mso-position-vertical:center;mso-position-vertical-relative:page;rotation:-2621440f;z-index:251663360;mso-width-relative:page;mso-height-relative:page;" fillcolor="#FFC0CB" filled="t" stroked="t" coordsize="21600,21600">
          <v:path/>
          <v:fill on="t" focussize="0,0"/>
          <v:stroke color="#FFC0CB"/>
          <v:imagedata o:title=""/>
          <o:lock v:ext="edit"/>
          <v:textpath on="t" fitshape="t" fitpath="t" trim="f" xscale="f" string="       桂林电子科技大学      " style="font-family:Arial;font-size:36pt;v-text-align:center;"/>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9D01C8">
    <w:r>
      <w:pict>
        <v:shape id="_x0000_s4102" o:spid="_x0000_s4102" o:spt="136" type="#_x0000_t136" style="position:absolute;left:0pt;height:100pt;width:500pt;mso-position-horizontal:center;mso-position-horizontal-relative:page;mso-position-vertical:center;mso-position-vertical-relative:page;rotation:-2621440f;z-index:251665408;mso-width-relative:page;mso-height-relative:page;" fillcolor="#FFC0CB" filled="t" stroked="t" coordsize="21600,21600">
          <v:path/>
          <v:fill on="t" focussize="0,0"/>
          <v:stroke color="#FFC0CB"/>
          <v:imagedata o:title=""/>
          <o:lock v:ext="edit"/>
          <v:textpath on="t" fitshape="t" fitpath="t" trim="f" xscale="f" string="       桂林电子科技大学      " style="font-family:Arial;font-size:36pt;v-text-align:center;"/>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47290C">
    <w:r>
      <w:pict>
        <v:shape id="_x0000_s4100" o:spid="_x0000_s4100" o:spt="136" type="#_x0000_t136" style="position:absolute;left:0pt;height:100pt;width:500pt;mso-position-horizontal:center;mso-position-horizontal-relative:page;mso-position-vertical:center;mso-position-vertical-relative:page;rotation:-2621440f;z-index:251664384;mso-width-relative:page;mso-height-relative:page;" fillcolor="#FFC0CB" filled="t" stroked="t" coordsize="21600,21600">
          <v:path/>
          <v:fill on="t" focussize="0,0"/>
          <v:stroke color="#FFC0CB"/>
          <v:imagedata o:title=""/>
          <o:lock v:ext="edit"/>
          <v:textpath on="t" fitshape="t" fitpath="t" trim="f" xscale="f" string="       桂林电子科技大学      " style="font-family:Arial;font-size:36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821A13"/>
    <w:multiLevelType w:val="singleLevel"/>
    <w:tmpl w:val="0C821A13"/>
    <w:lvl w:ilvl="0" w:tentative="0">
      <w:start w:val="2"/>
      <w:numFmt w:val="chineseCounting"/>
      <w:suff w:val="nothing"/>
      <w:lvlText w:val="%1．"/>
      <w:lvlJc w:val="left"/>
      <w:rPr>
        <w:rFonts w:hint="eastAsia"/>
      </w:rPr>
    </w:lvl>
  </w:abstractNum>
  <w:abstractNum w:abstractNumId="1">
    <w:nsid w:val="66FCD753"/>
    <w:multiLevelType w:val="singleLevel"/>
    <w:tmpl w:val="66FCD753"/>
    <w:lvl w:ilvl="0" w:tentative="0">
      <w:start w:val="1"/>
      <w:numFmt w:val="decimal"/>
      <w:lvlText w:val="[%1]"/>
      <w:lvlJc w:val="left"/>
      <w:pPr>
        <w:tabs>
          <w:tab w:val="left" w:pos="420"/>
        </w:tabs>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rsids>
    <w:rsidRoot w:val="00974CAF"/>
    <w:rsid w:val="00025CF1"/>
    <w:rsid w:val="00041212"/>
    <w:rsid w:val="00073A68"/>
    <w:rsid w:val="000D4426"/>
    <w:rsid w:val="00141605"/>
    <w:rsid w:val="001E1164"/>
    <w:rsid w:val="001F6028"/>
    <w:rsid w:val="0022447E"/>
    <w:rsid w:val="00224907"/>
    <w:rsid w:val="002322C9"/>
    <w:rsid w:val="00241F5B"/>
    <w:rsid w:val="002B0CEB"/>
    <w:rsid w:val="002B3F5A"/>
    <w:rsid w:val="002D1285"/>
    <w:rsid w:val="002D1F4F"/>
    <w:rsid w:val="002F4807"/>
    <w:rsid w:val="00325D25"/>
    <w:rsid w:val="00361F53"/>
    <w:rsid w:val="003718E8"/>
    <w:rsid w:val="00374392"/>
    <w:rsid w:val="00380F5E"/>
    <w:rsid w:val="00393213"/>
    <w:rsid w:val="003B4000"/>
    <w:rsid w:val="003C2A9C"/>
    <w:rsid w:val="003F41D5"/>
    <w:rsid w:val="00443C3F"/>
    <w:rsid w:val="0048227B"/>
    <w:rsid w:val="00487685"/>
    <w:rsid w:val="004B3D3C"/>
    <w:rsid w:val="005009AE"/>
    <w:rsid w:val="0051173E"/>
    <w:rsid w:val="00530E5A"/>
    <w:rsid w:val="00560655"/>
    <w:rsid w:val="00576F28"/>
    <w:rsid w:val="0059379D"/>
    <w:rsid w:val="005B7E5B"/>
    <w:rsid w:val="005F7AF6"/>
    <w:rsid w:val="0062356C"/>
    <w:rsid w:val="006319C9"/>
    <w:rsid w:val="006448B1"/>
    <w:rsid w:val="0066396A"/>
    <w:rsid w:val="006C6055"/>
    <w:rsid w:val="006D280D"/>
    <w:rsid w:val="0071193E"/>
    <w:rsid w:val="007211A3"/>
    <w:rsid w:val="00723CFB"/>
    <w:rsid w:val="0075630B"/>
    <w:rsid w:val="0082550D"/>
    <w:rsid w:val="008262A2"/>
    <w:rsid w:val="008345D0"/>
    <w:rsid w:val="00852A28"/>
    <w:rsid w:val="00861193"/>
    <w:rsid w:val="008930DE"/>
    <w:rsid w:val="008A3125"/>
    <w:rsid w:val="008D2DC0"/>
    <w:rsid w:val="008D7F68"/>
    <w:rsid w:val="008E5C31"/>
    <w:rsid w:val="008E6353"/>
    <w:rsid w:val="00902B2C"/>
    <w:rsid w:val="009149BD"/>
    <w:rsid w:val="00956206"/>
    <w:rsid w:val="0096519A"/>
    <w:rsid w:val="00965B11"/>
    <w:rsid w:val="00974CAF"/>
    <w:rsid w:val="00984539"/>
    <w:rsid w:val="00992CE7"/>
    <w:rsid w:val="009A4415"/>
    <w:rsid w:val="00A10D7D"/>
    <w:rsid w:val="00A17198"/>
    <w:rsid w:val="00A171B0"/>
    <w:rsid w:val="00A2041F"/>
    <w:rsid w:val="00A213C7"/>
    <w:rsid w:val="00A26310"/>
    <w:rsid w:val="00A40483"/>
    <w:rsid w:val="00A41E3C"/>
    <w:rsid w:val="00A84DD1"/>
    <w:rsid w:val="00A92DCF"/>
    <w:rsid w:val="00A9405C"/>
    <w:rsid w:val="00AC2C5A"/>
    <w:rsid w:val="00AC5CC0"/>
    <w:rsid w:val="00AD2DB1"/>
    <w:rsid w:val="00AD6A4B"/>
    <w:rsid w:val="00AE4EF5"/>
    <w:rsid w:val="00B605AD"/>
    <w:rsid w:val="00B87205"/>
    <w:rsid w:val="00BA1A55"/>
    <w:rsid w:val="00BD1193"/>
    <w:rsid w:val="00BD6166"/>
    <w:rsid w:val="00BF1524"/>
    <w:rsid w:val="00BF1A43"/>
    <w:rsid w:val="00BF1B02"/>
    <w:rsid w:val="00BF2081"/>
    <w:rsid w:val="00C82F53"/>
    <w:rsid w:val="00CB7C97"/>
    <w:rsid w:val="00CE7869"/>
    <w:rsid w:val="00CE79E9"/>
    <w:rsid w:val="00CF0C4F"/>
    <w:rsid w:val="00D4301F"/>
    <w:rsid w:val="00D4623B"/>
    <w:rsid w:val="00D50330"/>
    <w:rsid w:val="00D52537"/>
    <w:rsid w:val="00DD1D92"/>
    <w:rsid w:val="00DE099D"/>
    <w:rsid w:val="00DE4630"/>
    <w:rsid w:val="00DF1473"/>
    <w:rsid w:val="00E31F3A"/>
    <w:rsid w:val="00E52974"/>
    <w:rsid w:val="00E55E4B"/>
    <w:rsid w:val="00E61C00"/>
    <w:rsid w:val="00E66951"/>
    <w:rsid w:val="00E83185"/>
    <w:rsid w:val="00E92623"/>
    <w:rsid w:val="00ED2736"/>
    <w:rsid w:val="00ED3467"/>
    <w:rsid w:val="00ED5887"/>
    <w:rsid w:val="00EE0048"/>
    <w:rsid w:val="00EE65E3"/>
    <w:rsid w:val="00F26188"/>
    <w:rsid w:val="00F82860"/>
    <w:rsid w:val="00FC7CD1"/>
    <w:rsid w:val="01264F98"/>
    <w:rsid w:val="015E4AD6"/>
    <w:rsid w:val="023A109F"/>
    <w:rsid w:val="028265A2"/>
    <w:rsid w:val="02DF1F2C"/>
    <w:rsid w:val="03080D78"/>
    <w:rsid w:val="03B46A51"/>
    <w:rsid w:val="043B2EAD"/>
    <w:rsid w:val="044B7594"/>
    <w:rsid w:val="04506958"/>
    <w:rsid w:val="04FE0667"/>
    <w:rsid w:val="052B334B"/>
    <w:rsid w:val="05D37841"/>
    <w:rsid w:val="060F2843"/>
    <w:rsid w:val="065169B7"/>
    <w:rsid w:val="07267E44"/>
    <w:rsid w:val="08031F33"/>
    <w:rsid w:val="08346591"/>
    <w:rsid w:val="08BB45BC"/>
    <w:rsid w:val="08C76F83"/>
    <w:rsid w:val="0A4A6971"/>
    <w:rsid w:val="0AF35493"/>
    <w:rsid w:val="0B156206"/>
    <w:rsid w:val="0B1B33B4"/>
    <w:rsid w:val="0B957346"/>
    <w:rsid w:val="0C5B233E"/>
    <w:rsid w:val="0CF32576"/>
    <w:rsid w:val="0D0802D6"/>
    <w:rsid w:val="0D411534"/>
    <w:rsid w:val="0D841421"/>
    <w:rsid w:val="0E8D2557"/>
    <w:rsid w:val="0EA0446C"/>
    <w:rsid w:val="0EC06B1B"/>
    <w:rsid w:val="0EE50315"/>
    <w:rsid w:val="0F207F1E"/>
    <w:rsid w:val="0FA638D0"/>
    <w:rsid w:val="0FB00BF3"/>
    <w:rsid w:val="10260F59"/>
    <w:rsid w:val="102A2753"/>
    <w:rsid w:val="10945E1E"/>
    <w:rsid w:val="10E70644"/>
    <w:rsid w:val="11335637"/>
    <w:rsid w:val="124F6BCB"/>
    <w:rsid w:val="12C66037"/>
    <w:rsid w:val="12E36BE9"/>
    <w:rsid w:val="12E7492B"/>
    <w:rsid w:val="133D279D"/>
    <w:rsid w:val="137B3CB5"/>
    <w:rsid w:val="13855EF2"/>
    <w:rsid w:val="13954387"/>
    <w:rsid w:val="13AD711E"/>
    <w:rsid w:val="13F866C4"/>
    <w:rsid w:val="13FE38DE"/>
    <w:rsid w:val="1424570B"/>
    <w:rsid w:val="14381006"/>
    <w:rsid w:val="14C173FE"/>
    <w:rsid w:val="14E053D4"/>
    <w:rsid w:val="14F25809"/>
    <w:rsid w:val="16B03286"/>
    <w:rsid w:val="16EE2B7A"/>
    <w:rsid w:val="17620A24"/>
    <w:rsid w:val="18253800"/>
    <w:rsid w:val="18BA2A92"/>
    <w:rsid w:val="19CB76F3"/>
    <w:rsid w:val="1A27385F"/>
    <w:rsid w:val="1A907657"/>
    <w:rsid w:val="1AD309CB"/>
    <w:rsid w:val="1AD5371A"/>
    <w:rsid w:val="1B0D0CA7"/>
    <w:rsid w:val="1B147125"/>
    <w:rsid w:val="1B373B51"/>
    <w:rsid w:val="1CAC2742"/>
    <w:rsid w:val="1CFE11EF"/>
    <w:rsid w:val="1F42113B"/>
    <w:rsid w:val="1FD562E2"/>
    <w:rsid w:val="1FED7578"/>
    <w:rsid w:val="206F7D0E"/>
    <w:rsid w:val="2083720E"/>
    <w:rsid w:val="20D364EF"/>
    <w:rsid w:val="22244B28"/>
    <w:rsid w:val="23250B58"/>
    <w:rsid w:val="23264FFC"/>
    <w:rsid w:val="24683C57"/>
    <w:rsid w:val="24E567F1"/>
    <w:rsid w:val="259A7F19"/>
    <w:rsid w:val="25EB4C7B"/>
    <w:rsid w:val="266D4CF0"/>
    <w:rsid w:val="26881B2A"/>
    <w:rsid w:val="269F3D14"/>
    <w:rsid w:val="271C2272"/>
    <w:rsid w:val="27757232"/>
    <w:rsid w:val="27871DE1"/>
    <w:rsid w:val="27CB43C4"/>
    <w:rsid w:val="27EB411E"/>
    <w:rsid w:val="27F97A47"/>
    <w:rsid w:val="28C30F5E"/>
    <w:rsid w:val="29564B97"/>
    <w:rsid w:val="298A4BC1"/>
    <w:rsid w:val="2A0D7481"/>
    <w:rsid w:val="2A2C3629"/>
    <w:rsid w:val="2A3E7D03"/>
    <w:rsid w:val="2A4E4E38"/>
    <w:rsid w:val="2A994305"/>
    <w:rsid w:val="2AA35184"/>
    <w:rsid w:val="2AE65071"/>
    <w:rsid w:val="2B66126F"/>
    <w:rsid w:val="2B6C7C6C"/>
    <w:rsid w:val="2C92725E"/>
    <w:rsid w:val="2CAD5E46"/>
    <w:rsid w:val="2D6F75A0"/>
    <w:rsid w:val="2DAF3E40"/>
    <w:rsid w:val="2E5D564A"/>
    <w:rsid w:val="2E884DBD"/>
    <w:rsid w:val="2F5702EB"/>
    <w:rsid w:val="2F61667B"/>
    <w:rsid w:val="2FCF297D"/>
    <w:rsid w:val="2FE73D65"/>
    <w:rsid w:val="304B698A"/>
    <w:rsid w:val="30590337"/>
    <w:rsid w:val="322A7F39"/>
    <w:rsid w:val="323A056C"/>
    <w:rsid w:val="325356E2"/>
    <w:rsid w:val="32713DBA"/>
    <w:rsid w:val="327E12E9"/>
    <w:rsid w:val="32F0397E"/>
    <w:rsid w:val="33604E27"/>
    <w:rsid w:val="33B0446E"/>
    <w:rsid w:val="33DC34B5"/>
    <w:rsid w:val="35AB75E3"/>
    <w:rsid w:val="35E30B2B"/>
    <w:rsid w:val="360A60B7"/>
    <w:rsid w:val="369F50E2"/>
    <w:rsid w:val="3821593A"/>
    <w:rsid w:val="3837515E"/>
    <w:rsid w:val="386F7515"/>
    <w:rsid w:val="389648E4"/>
    <w:rsid w:val="38D66725"/>
    <w:rsid w:val="39855D6C"/>
    <w:rsid w:val="39D76BF8"/>
    <w:rsid w:val="3A3F56E0"/>
    <w:rsid w:val="3A6366DE"/>
    <w:rsid w:val="3AA34D2C"/>
    <w:rsid w:val="3AB16893"/>
    <w:rsid w:val="3B1D42F5"/>
    <w:rsid w:val="3B3A743F"/>
    <w:rsid w:val="3C2F4ACA"/>
    <w:rsid w:val="3CE77152"/>
    <w:rsid w:val="3DEE62BF"/>
    <w:rsid w:val="3EC4428E"/>
    <w:rsid w:val="3F7722E4"/>
    <w:rsid w:val="3FE80830"/>
    <w:rsid w:val="410B1343"/>
    <w:rsid w:val="414A0B92"/>
    <w:rsid w:val="41B94E35"/>
    <w:rsid w:val="421B33FA"/>
    <w:rsid w:val="42286848"/>
    <w:rsid w:val="42562684"/>
    <w:rsid w:val="43135AE7"/>
    <w:rsid w:val="44F41E19"/>
    <w:rsid w:val="44F806D0"/>
    <w:rsid w:val="452D3B70"/>
    <w:rsid w:val="453D1784"/>
    <w:rsid w:val="45515B7F"/>
    <w:rsid w:val="457479F1"/>
    <w:rsid w:val="458319E2"/>
    <w:rsid w:val="45833BAC"/>
    <w:rsid w:val="4601059C"/>
    <w:rsid w:val="46DD5122"/>
    <w:rsid w:val="471548BC"/>
    <w:rsid w:val="47174AD8"/>
    <w:rsid w:val="47D227AD"/>
    <w:rsid w:val="492E6109"/>
    <w:rsid w:val="49A34401"/>
    <w:rsid w:val="4A007AA5"/>
    <w:rsid w:val="4A4E246D"/>
    <w:rsid w:val="4A800BE6"/>
    <w:rsid w:val="4AF57CD3"/>
    <w:rsid w:val="4AFC64BF"/>
    <w:rsid w:val="4B086EBC"/>
    <w:rsid w:val="4D9A3D6D"/>
    <w:rsid w:val="4D9C722F"/>
    <w:rsid w:val="4DF27705"/>
    <w:rsid w:val="4E760336"/>
    <w:rsid w:val="4ED516F0"/>
    <w:rsid w:val="4F1813ED"/>
    <w:rsid w:val="4F9547EC"/>
    <w:rsid w:val="4F9A44F8"/>
    <w:rsid w:val="501047BA"/>
    <w:rsid w:val="509E5922"/>
    <w:rsid w:val="50F96FFC"/>
    <w:rsid w:val="510065DD"/>
    <w:rsid w:val="51850890"/>
    <w:rsid w:val="51AD119B"/>
    <w:rsid w:val="52911BE2"/>
    <w:rsid w:val="53003007"/>
    <w:rsid w:val="53C41B44"/>
    <w:rsid w:val="53FE5DAD"/>
    <w:rsid w:val="54307E41"/>
    <w:rsid w:val="54F50023"/>
    <w:rsid w:val="55426099"/>
    <w:rsid w:val="555421E4"/>
    <w:rsid w:val="56E402C9"/>
    <w:rsid w:val="57491CAE"/>
    <w:rsid w:val="577A5BFA"/>
    <w:rsid w:val="58112E7E"/>
    <w:rsid w:val="585D60C3"/>
    <w:rsid w:val="58DB2B70"/>
    <w:rsid w:val="596C575F"/>
    <w:rsid w:val="598C3104"/>
    <w:rsid w:val="59C7413C"/>
    <w:rsid w:val="59F64A21"/>
    <w:rsid w:val="59FB5B93"/>
    <w:rsid w:val="5A64198B"/>
    <w:rsid w:val="5AAF5488"/>
    <w:rsid w:val="5AB75D14"/>
    <w:rsid w:val="5AE605F2"/>
    <w:rsid w:val="5AFF2110"/>
    <w:rsid w:val="5B046CCA"/>
    <w:rsid w:val="5BE755A7"/>
    <w:rsid w:val="5C3C4601"/>
    <w:rsid w:val="5C515F3F"/>
    <w:rsid w:val="5C82434A"/>
    <w:rsid w:val="5C993372"/>
    <w:rsid w:val="5CE46DB3"/>
    <w:rsid w:val="5CE7689D"/>
    <w:rsid w:val="5D3A4C25"/>
    <w:rsid w:val="5DD87105"/>
    <w:rsid w:val="5F976E6B"/>
    <w:rsid w:val="60003F04"/>
    <w:rsid w:val="600A2FD4"/>
    <w:rsid w:val="604F09E7"/>
    <w:rsid w:val="60CE64F5"/>
    <w:rsid w:val="60FA6BA5"/>
    <w:rsid w:val="613F280A"/>
    <w:rsid w:val="61804420"/>
    <w:rsid w:val="61AF3E33"/>
    <w:rsid w:val="61BF7F27"/>
    <w:rsid w:val="62803BD5"/>
    <w:rsid w:val="62C0797A"/>
    <w:rsid w:val="63626C83"/>
    <w:rsid w:val="63674FF9"/>
    <w:rsid w:val="63E8362C"/>
    <w:rsid w:val="64552344"/>
    <w:rsid w:val="653F727C"/>
    <w:rsid w:val="65AC068A"/>
    <w:rsid w:val="67A1421E"/>
    <w:rsid w:val="67BF46A4"/>
    <w:rsid w:val="68BB30BE"/>
    <w:rsid w:val="692A0243"/>
    <w:rsid w:val="6A2922A9"/>
    <w:rsid w:val="6A8A48B0"/>
    <w:rsid w:val="6A8B38CC"/>
    <w:rsid w:val="6A935974"/>
    <w:rsid w:val="6C8247FD"/>
    <w:rsid w:val="6CB76AEF"/>
    <w:rsid w:val="6CCA3E19"/>
    <w:rsid w:val="6CFF0450"/>
    <w:rsid w:val="6D5B09CB"/>
    <w:rsid w:val="6D7777CF"/>
    <w:rsid w:val="6D9B526C"/>
    <w:rsid w:val="6E4449D8"/>
    <w:rsid w:val="6E777A87"/>
    <w:rsid w:val="6E7B6E4B"/>
    <w:rsid w:val="6F4B4A6F"/>
    <w:rsid w:val="6F655B31"/>
    <w:rsid w:val="6F765F90"/>
    <w:rsid w:val="6F7940C6"/>
    <w:rsid w:val="6FAB0966"/>
    <w:rsid w:val="704C6CF1"/>
    <w:rsid w:val="70A628A5"/>
    <w:rsid w:val="71C64881"/>
    <w:rsid w:val="723932A5"/>
    <w:rsid w:val="724617F1"/>
    <w:rsid w:val="72B017B9"/>
    <w:rsid w:val="72B8241C"/>
    <w:rsid w:val="72C52C0C"/>
    <w:rsid w:val="735063D7"/>
    <w:rsid w:val="738F5872"/>
    <w:rsid w:val="753D30AC"/>
    <w:rsid w:val="75530B22"/>
    <w:rsid w:val="76116AFD"/>
    <w:rsid w:val="76487B08"/>
    <w:rsid w:val="76524935"/>
    <w:rsid w:val="766F7295"/>
    <w:rsid w:val="769413F2"/>
    <w:rsid w:val="77DE26C9"/>
    <w:rsid w:val="77E3618D"/>
    <w:rsid w:val="788259A6"/>
    <w:rsid w:val="788A2AAC"/>
    <w:rsid w:val="78941235"/>
    <w:rsid w:val="78B6564F"/>
    <w:rsid w:val="78EF0B61"/>
    <w:rsid w:val="79055E20"/>
    <w:rsid w:val="7B1228E5"/>
    <w:rsid w:val="7BC4360D"/>
    <w:rsid w:val="7BDE7397"/>
    <w:rsid w:val="7C7970C0"/>
    <w:rsid w:val="7CB2612E"/>
    <w:rsid w:val="7CC77E2B"/>
    <w:rsid w:val="7D6E64F9"/>
    <w:rsid w:val="7DBD2FDC"/>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Body Text Indent"/>
    <w:basedOn w:val="1"/>
    <w:qFormat/>
    <w:uiPriority w:val="0"/>
    <w:pPr>
      <w:spacing w:after="0" w:line="360" w:lineRule="exact"/>
      <w:ind w:left="538" w:hanging="538" w:hangingChars="192"/>
    </w:pPr>
    <w:rPr>
      <w:sz w:val="28"/>
    </w:rPr>
  </w:style>
  <w:style w:type="paragraph" w:styleId="4">
    <w:name w:val="Balloon Text"/>
    <w:basedOn w:val="1"/>
    <w:semiHidden/>
    <w:qFormat/>
    <w:uiPriority w:val="0"/>
    <w:rPr>
      <w:sz w:val="18"/>
      <w:szCs w:val="18"/>
    </w:rPr>
  </w:style>
  <w:style w:type="paragraph" w:styleId="5">
    <w:name w:val="footer"/>
    <w:basedOn w:val="1"/>
    <w:link w:val="15"/>
    <w:qFormat/>
    <w:uiPriority w:val="0"/>
    <w:pPr>
      <w:tabs>
        <w:tab w:val="center" w:pos="4153"/>
        <w:tab w:val="right" w:pos="8306"/>
      </w:tabs>
      <w:snapToGrid w:val="0"/>
      <w:jc w:val="left"/>
    </w:pPr>
    <w:rPr>
      <w:sz w:val="18"/>
      <w:szCs w:val="18"/>
      <w:lang w:val="zh-CN" w:eastAsia="zh-CN"/>
    </w:rPr>
  </w:style>
  <w:style w:type="paragraph" w:styleId="6">
    <w:name w:val="header"/>
    <w:basedOn w:val="1"/>
    <w:link w:val="14"/>
    <w:qFormat/>
    <w:uiPriority w:val="0"/>
    <w:pPr>
      <w:pBdr>
        <w:bottom w:val="single" w:color="auto" w:sz="6" w:space="1"/>
      </w:pBdr>
      <w:tabs>
        <w:tab w:val="center" w:pos="4153"/>
        <w:tab w:val="right" w:pos="8306"/>
      </w:tabs>
      <w:snapToGrid w:val="0"/>
      <w:jc w:val="center"/>
    </w:pPr>
    <w:rPr>
      <w:sz w:val="18"/>
      <w:szCs w:val="18"/>
      <w:lang w:val="zh-CN" w:eastAsia="zh-CN"/>
    </w:rPr>
  </w:style>
  <w:style w:type="paragraph" w:styleId="7">
    <w:name w:val="Normal (Web)"/>
    <w:basedOn w:val="1"/>
    <w:qFormat/>
    <w:uiPriority w:val="0"/>
    <w:pPr>
      <w:spacing w:before="0" w:beforeAutospacing="1" w:after="0" w:afterAutospacing="1"/>
    </w:pPr>
    <w:rPr>
      <w:rFonts w:cs="Times New Roman"/>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qFormat/>
    <w:uiPriority w:val="0"/>
    <w:rPr>
      <w:color w:val="0000FF"/>
      <w:u w:val="single"/>
    </w:rPr>
  </w:style>
  <w:style w:type="character" w:customStyle="1" w:styleId="13">
    <w:name w:val="grame"/>
    <w:basedOn w:val="9"/>
    <w:qFormat/>
    <w:uiPriority w:val="0"/>
  </w:style>
  <w:style w:type="character" w:customStyle="1" w:styleId="14">
    <w:name w:val="页眉 字符"/>
    <w:link w:val="6"/>
    <w:qFormat/>
    <w:uiPriority w:val="0"/>
    <w:rPr>
      <w:kern w:val="2"/>
      <w:sz w:val="18"/>
      <w:szCs w:val="18"/>
    </w:rPr>
  </w:style>
  <w:style w:type="character" w:customStyle="1" w:styleId="15">
    <w:name w:val="页脚 字符"/>
    <w:link w:val="5"/>
    <w:qFormat/>
    <w:uiPriority w:val="0"/>
    <w:rPr>
      <w:kern w:val="2"/>
      <w:sz w:val="18"/>
      <w:szCs w:val="18"/>
    </w:rPr>
  </w:style>
  <w:style w:type="paragraph" w:styleId="16">
    <w:name w:val="List Paragraph"/>
    <w:basedOn w:val="1"/>
    <w:autoRedefine/>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6.xml"/><Relationship Id="rId7" Type="http://schemas.openxmlformats.org/officeDocument/2006/relationships/header" Target="header5.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3.jpe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Info spid="_x0000_s4101"/>
    <customShpInfo spid="_x0000_s4102"/>
    <customShpInfo spid="_x0000_s410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gliet_jwc</Company>
  <Pages>9</Pages>
  <Words>2768</Words>
  <Characters>4870</Characters>
  <Lines>9</Lines>
  <Paragraphs>2</Paragraphs>
  <TotalTime>1</TotalTime>
  <ScaleCrop>false</ScaleCrop>
  <LinksUpToDate>false</LinksUpToDate>
  <CharactersWithSpaces>5252</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2018-11-09T03:17:00Z</dcterms:created>
  <dc:creator>tlg</dc:creator>
  <cp:lastModifiedBy>Forever alone</cp:lastModifiedBy>
  <cp:lastPrinted>2012-03-09T08:32:00Z</cp:lastPrinted>
  <dcterms:modified xsi:type="dcterms:W3CDTF">2024-12-29T15:11:41Z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2.3.0</vt:lpwstr>
  </property>
  <property fmtid="{D5CDD505-2E9C-101B-9397-08002B2CF9AE}" pid="4" name="KSOTemplateDocerSaveRecord">
    <vt:lpwstr>eyJoZGlkIjoiNjY2Y2QxNjFmY2FlNTFjNmE4NWU3M2RmYmRkYmVjZTEiLCJ1c2VySWQiOiI1NTE4MTE4MTAifQ==</vt:lpwstr>
  </property>
  <property fmtid="{D5CDD505-2E9C-101B-9397-08002B2CF9AE}" pid="5" name="KSOProductBuildVer">
    <vt:lpwstr>2052-12.1.0.19770</vt:lpwstr>
  </property>
  <property fmtid="{D5CDD505-2E9C-101B-9397-08002B2CF9AE}" pid="6" name="ICV">
    <vt:lpwstr>28AFB9AD794540DA8C6D9A13CDD2029D_12</vt:lpwstr>
  </property>
</Properties>
</file>