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Insight-Pro V2 需求文档</w:t>
      </w:r>
    </w:p>
    <w:p>
      <w:pPr>
        <w:spacing w:after="300"/>
      </w:pPr>
      <w:r>
        <w:rPr>
          <w:color w:val="697380"/>
          <w:sz w:val="18"/>
        </w:rPr>
        <w:t>精简版 · 页面仅定义标题、目标与核心能力</w:t>
      </w:r>
    </w:p>
    <w:p>
      <w:pPr>
        <w:pStyle w:val="Heading1"/>
        <w:spacing w:before="200" w:after="100"/>
      </w:pPr>
      <w:r>
        <w:t>1. 项目目标</w:t>
      </w:r>
    </w:p>
    <w:p>
      <w:pPr>
        <w:pStyle w:val="ListBullet"/>
        <w:spacing w:after="40"/>
      </w:pPr>
      <w:r>
        <w:t>将 Insight-Pro 从“固定数据源采集 + AI 总结”升级为“热点发现 + 事件聚合 + 趋势判断 + 商业/技术双视角情报平台”。</w:t>
      </w:r>
    </w:p>
    <w:p>
      <w:pPr>
        <w:pStyle w:val="ListBullet"/>
        <w:spacing w:after="40"/>
      </w:pPr>
      <w:r>
        <w:t>重点解决：热点漏抓、内容偏虚、UI 信息密度过高、数据源更新不同步、缺少统一管理后台等问题。</w:t>
      </w:r>
    </w:p>
    <w:p>
      <w:pPr>
        <w:pStyle w:val="ListBullet"/>
        <w:spacing w:after="40"/>
      </w:pPr>
      <w:r>
        <w:t>兼容现有系统，优先增量演进，不做无必要的技术栈重写。</w:t>
      </w:r>
    </w:p>
    <w:p>
      <w:pPr>
        <w:pStyle w:val="Heading1"/>
        <w:spacing w:before="200" w:after="100"/>
      </w:pPr>
      <w:r>
        <w:t>2. 五大业务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定位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技术生态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开源项目、开发者技术、模型、Agent、AI Infra 等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AI 应用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AI 产品、新功能、新应用和产品趋势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解决方案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云与 AI 解决方案、参考架构、最佳实践及页面变化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社区洞察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开发者/用户讨论、热点、痛点、口碑与增长信号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友商动态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公司级战略、产品、价格、合作、市场与生态动作</w:t>
            </w:r>
          </w:p>
        </w:tc>
      </w:tr>
    </w:tbl>
    <w:p>
      <w:pPr>
        <w:pStyle w:val="Heading1"/>
        <w:spacing w:before="200" w:after="100"/>
      </w:pPr>
      <w:r>
        <w:t>3. 数据源与采集</w:t>
      </w:r>
    </w:p>
    <w:p>
      <w:pPr>
        <w:pStyle w:val="ListBullet"/>
        <w:spacing w:after="40"/>
      </w:pPr>
      <w:r>
        <w:t>建立唯一 Source Registry，统一维护数据源、业务归属、优先级、可信等级、采集频率和健康状态。</w:t>
      </w:r>
    </w:p>
    <w:p>
      <w:pPr>
        <w:pStyle w:val="ListBullet"/>
        <w:spacing w:after="40"/>
      </w:pPr>
      <w:r>
        <w:t>技术生态扩展 GitHub、Hugging Face、Hacker News、arXiv、开发者社区；AI 应用扩展官方发布、Product Hunt 等；解决方案覆盖主流云厂商架构与最佳实践。</w:t>
      </w:r>
    </w:p>
    <w:p>
      <w:pPr>
        <w:pStyle w:val="ListBullet"/>
        <w:spacing w:after="40"/>
      </w:pPr>
      <w:r>
        <w:t>社区数据以讨论趋势和痛点为主；友商数据以官方公司级动态为主；增加华为云公开能力作为 Self Reference。</w:t>
      </w:r>
    </w:p>
    <w:p>
      <w:pPr>
        <w:pStyle w:val="ListBullet"/>
        <w:spacing w:after="40"/>
      </w:pPr>
      <w:r>
        <w:t>所有数据源通过统一 Adapter 接入，支持增量、分页、重试、限流、超时、失败隔离和健康检查。</w:t>
      </w:r>
    </w:p>
    <w:p>
      <w:pPr>
        <w:pStyle w:val="Heading1"/>
        <w:spacing w:before="200" w:after="100"/>
      </w:pPr>
      <w:r>
        <w:t>4. 热点发现与覆盖</w:t>
      </w:r>
    </w:p>
    <w:p>
      <w:pPr>
        <w:pStyle w:val="ListBullet"/>
        <w:spacing w:after="40"/>
      </w:pPr>
      <w:r>
        <w:t>建立 Discovery Sentinel，发现固定数据源之外的新产品、新项目、新技术和突发热点。</w:t>
      </w:r>
    </w:p>
    <w:p>
      <w:pPr>
        <w:pStyle w:val="ListBullet"/>
        <w:spacing w:after="40"/>
      </w:pPr>
      <w:r>
        <w:t>建立 Hotspot Coverage Audit，与 GitHub Trending、Hacker News、Product Hunt、Hugging Face、主要厂商官方发布等基准源对照。</w:t>
      </w:r>
    </w:p>
    <w:p>
      <w:pPr>
        <w:pStyle w:val="ListBullet"/>
        <w:spacing w:after="40"/>
      </w:pPr>
      <w:r>
        <w:t>每日输出热点覆盖率、漏抓条目及漏抓原因；热点排序必须考虑增长速度和异常变化，而非仅看绝对值。</w:t>
      </w:r>
    </w:p>
    <w:p>
      <w:pPr>
        <w:pStyle w:val="Heading1"/>
        <w:spacing w:before="200" w:after="100"/>
      </w:pPr>
      <w:r>
        <w:t>5. 数据与事件中心</w:t>
      </w:r>
    </w:p>
    <w:p>
      <w:pPr>
        <w:pStyle w:val="ListBullet"/>
        <w:spacing w:after="40"/>
      </w:pPr>
      <w:r>
        <w:t>RawItem：保存原始采集内容和证据，不允许被 AI 覆盖。</w:t>
      </w:r>
    </w:p>
    <w:p>
      <w:pPr>
        <w:pStyle w:val="ListBullet"/>
        <w:spacing w:after="40"/>
      </w:pPr>
      <w:r>
        <w:t>Entity：统一公司、产品、Repository、模型、技术、解决方案等实体及别名。</w:t>
      </w:r>
    </w:p>
    <w:p>
      <w:pPr>
        <w:pStyle w:val="ListBullet"/>
        <w:spacing w:after="40"/>
      </w:pPr>
      <w:r>
        <w:t>Event：多来源描述同一事件时聚合为唯一 event_id，作为首页、Radar、邮件和详情页共同数据源。</w:t>
      </w:r>
    </w:p>
    <w:p>
      <w:pPr>
        <w:pStyle w:val="ListBullet"/>
        <w:spacing w:after="40"/>
      </w:pPr>
      <w:r>
        <w:t>MetricSnapshot：保存 Stars、Mentions、Rank 等历史指标，支持 1h/6h/24h/7d/30d 趋势计算。</w:t>
      </w:r>
    </w:p>
    <w:p>
      <w:pPr>
        <w:pStyle w:val="ListBullet"/>
        <w:spacing w:after="40"/>
      </w:pPr>
      <w:r>
        <w:t>严格区分事件时间、发布时间、采集时间、首次发现时间和最后更新时间。</w:t>
      </w:r>
    </w:p>
    <w:p>
      <w:pPr>
        <w:pStyle w:val="Heading1"/>
        <w:spacing w:before="200" w:after="100"/>
      </w:pPr>
      <w:r>
        <w:t>6. 评分与 AI 分析</w:t>
      </w:r>
    </w:p>
    <w:p>
      <w:pPr>
        <w:pStyle w:val="ListBullet"/>
        <w:spacing w:after="40"/>
      </w:pPr>
      <w:r>
        <w:t>建立 HotScore、Business Priority、DevTrendScore、RepoScore 等工程化评分。</w:t>
      </w:r>
    </w:p>
    <w:p>
      <w:pPr>
        <w:pStyle w:val="ListBullet"/>
        <w:spacing w:after="40"/>
      </w:pPr>
      <w:r>
        <w:t>评分基于真实指标；AI 负责解释事实、变化、影响和机会，不直接虚构热度、增长或事实。</w:t>
      </w:r>
    </w:p>
    <w:p>
      <w:pPr>
        <w:pStyle w:val="ListBullet"/>
        <w:spacing w:after="40"/>
      </w:pPr>
      <w:r>
        <w:t>来源分为 P0 第一方、P1 可靠二手、P2 发现型来源；核心情报必须有可追溯 Evidence。</w:t>
      </w:r>
    </w:p>
    <w:p>
      <w:pPr>
        <w:pStyle w:val="ListBullet"/>
        <w:spacing w:after="40"/>
      </w:pPr>
      <w:r>
        <w:t>每次 AI 分析记录 Prompt 版本、分析版本、证据、模型和生成时间。</w:t>
      </w:r>
    </w:p>
    <w:p>
      <w:pPr>
        <w:pStyle w:val="Heading1"/>
        <w:spacing w:before="200" w:after="100"/>
      </w:pPr>
      <w:r>
        <w:t>7. 两类邮件</w:t>
      </w:r>
    </w:p>
    <w:p>
      <w:pPr>
        <w:pStyle w:val="Heading2"/>
        <w:spacing w:before="120" w:after="60"/>
      </w:pPr>
      <w:r>
        <w:t>7.1 商业洞察邮件</w:t>
      </w:r>
    </w:p>
    <w:p>
      <w:pPr>
        <w:pStyle w:val="ListBullet"/>
        <w:spacing w:after="40"/>
      </w:pPr>
      <w:r>
        <w:t>定位：今天 AI 市场发生了什么，对业务意味着什么。</w:t>
      </w:r>
    </w:p>
    <w:p>
      <w:pPr>
        <w:pStyle w:val="ListBullet"/>
        <w:spacing w:after="40"/>
      </w:pPr>
      <w:r>
        <w:t>跨五大业务统一挑选少量核心事件，强调标题、数字、变化、商业影响和来源，减少长段文字。</w:t>
      </w:r>
    </w:p>
    <w:p>
      <w:pPr>
        <w:pStyle w:val="Heading2"/>
        <w:spacing w:before="120" w:after="60"/>
      </w:pPr>
      <w:r>
        <w:t>7.2 技术项目洞察邮件</w:t>
      </w:r>
    </w:p>
    <w:p>
      <w:pPr>
        <w:pStyle w:val="ListBullet"/>
        <w:spacing w:after="40"/>
      </w:pPr>
      <w:r>
        <w:t>定位：开发者最近在研究什么，哪些技术和项目值得研究。</w:t>
      </w:r>
    </w:p>
    <w:p>
      <w:pPr>
        <w:pStyle w:val="ListBullet"/>
        <w:spacing w:after="40"/>
      </w:pPr>
      <w:r>
        <w:t>保留 GitHub 项目评估，同时增加开发者趋势、技术主题和真实增长数据。</w:t>
      </w:r>
    </w:p>
    <w:p>
      <w:pPr>
        <w:pStyle w:val="ListBullet"/>
        <w:spacing w:after="40"/>
      </w:pPr>
      <w:r>
        <w:t>同一事件可进入两封邮件，但共享 event_id，商业和技术视角分别分析。</w:t>
      </w:r>
    </w:p>
    <w:p>
      <w:pPr>
        <w:pStyle w:val="Heading1"/>
        <w:spacing w:before="200" w:after="100"/>
      </w:pPr>
      <w:r>
        <w:t>8. 用户端 UI</w:t>
      </w:r>
    </w:p>
    <w:p>
      <w:r>
        <w:rPr>
          <w:b/>
        </w:rPr>
        <w:t>原则：</w:t>
      </w:r>
      <w:r>
        <w:t>页面只承载必要信息，优先显示标题、变化、结论和下钻入口，不在单页堆满所有分析内容。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首页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快速理解当天最重要变化与热点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情报 Radar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展示真实事件、热度、时间和变化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技术生态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查看技术趋势与重点项目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AI 应用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查看新产品与产品趋势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解决方案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查看方案新增与重要变化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社区洞察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查看讨论热点和用户痛点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友商动态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查看竞争对手重要公司级动作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Event Detail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查看事件证据、来源和分析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Repository Detail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查看项目趋势、成熟度和技术评估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全局搜索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统一搜索事件、实体、项目和来源</w:t>
            </w:r>
          </w:p>
        </w:tc>
      </w:tr>
    </w:tbl>
    <w:p>
      <w:pPr>
        <w:pStyle w:val="Heading2"/>
        <w:spacing w:before="120" w:after="60"/>
      </w:pPr>
      <w:r>
        <w:t>8.1 视觉规范</w:t>
      </w:r>
    </w:p>
    <w:p>
      <w:pPr>
        <w:pStyle w:val="ListBullet"/>
        <w:spacing w:after="40"/>
      </w:pPr>
      <w:r>
        <w:t>支持浅色/深色主题，建立统一 Design Token 和组件规范。</w:t>
      </w:r>
    </w:p>
    <w:p>
      <w:pPr>
        <w:pStyle w:val="ListBullet"/>
        <w:spacing w:after="40"/>
      </w:pPr>
      <w:r>
        <w:t>减少连续长文本，强化标题、数字、状态、趋势和少量辅助说明。</w:t>
      </w:r>
    </w:p>
    <w:p>
      <w:pPr>
        <w:pStyle w:val="ListBullet"/>
        <w:spacing w:after="40"/>
      </w:pPr>
      <w:r>
        <w:t>PC 优先并兼容常见分辨率；邮件兼容主流邮件客户端。</w:t>
      </w:r>
    </w:p>
    <w:p>
      <w:pPr>
        <w:pStyle w:val="Heading1"/>
        <w:spacing w:before="200" w:after="100"/>
      </w:pPr>
      <w:r>
        <w:t>9. 管理后台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管理页面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管理首页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查看系统总体运行状态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数据源管理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新增、编辑、启停、测试、手动执行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采集任务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查看任务、错误、日志、重试和重跑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Event / Entity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合并、拆分、纠错、重新评分和重新分析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评分配置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管理评分权重与版本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Prompt 管理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集中管理、版本化、发布与回滚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邮件管理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模板、预览、测试、历史与发送状态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热点覆盖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查看覆盖率和漏抓热点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系统与审计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权限、配置、操作记录和系统状态</w:t>
            </w:r>
          </w:p>
        </w:tc>
      </w:tr>
    </w:tbl>
    <w:p>
      <w:pPr>
        <w:pStyle w:val="Heading1"/>
        <w:spacing w:before="200" w:after="100"/>
      </w:pPr>
      <w:r>
        <w:t>10. 系统兼容与适配</w:t>
      </w:r>
    </w:p>
    <w:p>
      <w:pPr>
        <w:pStyle w:val="ListBullet"/>
        <w:spacing w:after="40"/>
      </w:pPr>
      <w:r>
        <w:t>优先复用现有前端、后端、数据库、调度、缓存、Docker/systemd 和已有业务数据。</w:t>
      </w:r>
    </w:p>
    <w:p>
      <w:pPr>
        <w:pStyle w:val="ListBullet"/>
        <w:spacing w:after="40"/>
      </w:pPr>
      <w:r>
        <w:t>新接口建议使用 /api/v2，旧接口保留或提供兼容层；数据库通过 Migration 和 Backfill 升级。</w:t>
      </w:r>
    </w:p>
    <w:p>
      <w:pPr>
        <w:pStyle w:val="ListBullet"/>
        <w:spacing w:after="40"/>
      </w:pPr>
      <w:r>
        <w:t>支持 V1/V2 阶段性共存和 Feature Flag 灰度切换。</w:t>
      </w:r>
    </w:p>
    <w:p>
      <w:pPr>
        <w:pStyle w:val="ListBullet"/>
        <w:spacing w:after="40"/>
      </w:pPr>
      <w:r>
        <w:t>明确缓存依赖、TTL 和失效规则；数据源新增、修改、关闭后，采集、监控、统计、Radar 和邮件自动同步。</w:t>
      </w:r>
    </w:p>
    <w:p>
      <w:pPr>
        <w:pStyle w:val="Heading1"/>
        <w:spacing w:before="200" w:after="100"/>
      </w:pPr>
      <w:r>
        <w:t>11. 系统运行与质量</w:t>
      </w:r>
    </w:p>
    <w:p>
      <w:pPr>
        <w:pStyle w:val="ListBullet"/>
        <w:spacing w:after="40"/>
      </w:pPr>
      <w:r>
        <w:t>监控 Source Health、Crawler、Event、AI Analysis、Email 全链路状态。</w:t>
      </w:r>
    </w:p>
    <w:p>
      <w:pPr>
        <w:pStyle w:val="ListBullet"/>
        <w:spacing w:after="40"/>
      </w:pPr>
      <w:r>
        <w:t>识别采集量异常下降、重复、空值、时间错误、异常指标、失效 URL 和陈旧来源。</w:t>
      </w:r>
    </w:p>
    <w:p>
      <w:pPr>
        <w:pStyle w:val="ListBullet"/>
        <w:spacing w:after="40"/>
      </w:pPr>
      <w:r>
        <w:t>关键异常支持告警、定位和重跑；核心链路必须具备自动化回归测试。</w:t>
      </w:r>
    </w:p>
    <w:p>
      <w:pPr>
        <w:pStyle w:val="Heading1"/>
        <w:spacing w:before="200" w:after="100"/>
      </w:pPr>
      <w:r>
        <w:t>12. 权限与审计</w:t>
      </w:r>
    </w:p>
    <w:p>
      <w:pPr>
        <w:pStyle w:val="ListBullet"/>
        <w:spacing w:after="40"/>
      </w:pPr>
      <w:r>
        <w:t>至少支持 Admin、Operator、Analyst、Viewer。</w:t>
      </w:r>
    </w:p>
    <w:p>
      <w:pPr>
        <w:pStyle w:val="ListBullet"/>
        <w:spacing w:after="40"/>
      </w:pPr>
      <w:r>
        <w:t>数据源、评分、Prompt、Event 合并/拆分等高风险操作受权限控制，并记录完整审计日志。</w:t>
      </w:r>
    </w:p>
    <w:p>
      <w:pPr>
        <w:pStyle w:val="Heading1"/>
        <w:spacing w:before="200" w:after="100"/>
      </w:pPr>
      <w:r>
        <w:t>13. 实施阶段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0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现状扫描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1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Source / RawItem / Entity / Event 数据基础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2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Discovery / Coverage / Trend / Score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3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商业邮件 + 技术邮件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4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首页 / Radar / 业务页 / 详情页 UI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5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管理后台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Phase 6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迁移、灰度、回归与 V1 下线</w:t>
            </w:r>
          </w:p>
        </w:tc>
      </w:tr>
    </w:tbl>
    <w:p>
      <w:pPr>
        <w:pStyle w:val="Heading1"/>
        <w:spacing w:before="200" w:after="100"/>
      </w:pPr>
      <w:r>
        <w:t>14. 核心验收</w:t>
      </w:r>
    </w:p>
    <w:p>
      <w:pPr>
        <w:pStyle w:val="ListBullet"/>
        <w:spacing w:after="40"/>
      </w:pPr>
      <w:r>
        <w:t>热点覆盖率可量化，并能查看漏抓热点及原因。</w:t>
      </w:r>
    </w:p>
    <w:p>
      <w:pPr>
        <w:pStyle w:val="ListBullet"/>
        <w:spacing w:after="40"/>
      </w:pPr>
      <w:r>
        <w:t>核心情报可从邮件/页面回溯到 Event、Evidence、RawItem 和 Source。</w:t>
      </w:r>
    </w:p>
    <w:p>
      <w:pPr>
        <w:pStyle w:val="ListBullet"/>
        <w:spacing w:after="40"/>
      </w:pPr>
      <w:r>
        <w:t>新增或修改数据源不需要在多个组件和任务中重复改代码。</w:t>
      </w:r>
    </w:p>
    <w:p>
      <w:pPr>
        <w:pStyle w:val="ListBullet"/>
        <w:spacing w:after="40"/>
      </w:pPr>
      <w:r>
        <w:t>商业邮件减少长篇总结；技术邮件具备真实开发者趋势和项目增长信息。</w:t>
      </w:r>
    </w:p>
    <w:p>
      <w:pPr>
        <w:pStyle w:val="ListBullet"/>
        <w:spacing w:after="40"/>
      </w:pPr>
      <w:r>
        <w:t>页面信息密度得到控制，重点清晰，详情按需下钻。</w:t>
      </w:r>
    </w:p>
    <w:p>
      <w:pPr>
        <w:pStyle w:val="ListBullet"/>
        <w:spacing w:after="40"/>
      </w:pPr>
      <w:r>
        <w:t>V2 上线不破坏现有数据和现网核心能力。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19191"/>
        <w:sz w:val="16"/>
      </w:rPr>
      <w:t>Insight-Pro V2 | Requirement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6"/>
        <w:sz w:val="16"/>
      </w:rPr>
      <w:t>INSIGHT-PRO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A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