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Insight-Pro V2 需求清单表</w:t>
      </w:r>
    </w:p>
    <w:p>
      <w:pPr>
        <w:spacing w:after="300"/>
      </w:pPr>
      <w:r>
        <w:rPr>
          <w:color w:val="697380"/>
          <w:sz w:val="18"/>
        </w:rPr>
        <w:t>用于需求评审、优先级确认、研发拆分与验收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tblHeader w:val="true"/>
          <w:tblHeader w:val="true"/>
          <w:tblHeader w:val="true"/>
          <w:tblHeader w:val="true"/>
        </w:trPr>
        <w:tc>
          <w:tcPr>
            <w:tcW w:type="dxa" w:w="2045"/>
            <w:shd w:fill="1F4E78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  <w:sz w:val="18"/>
              </w:rPr>
              <w:t>需求项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  <w:sz w:val="18"/>
              </w:rPr>
              <w:t>验收状态</w:t>
            </w:r>
          </w:p>
        </w:tc>
      </w:tr>
      <w:tr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01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总体架构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统一 Event 驱动情报架构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□ 待确认</w:t>
            </w:r>
          </w:p>
        </w:tc>
      </w:tr>
      <w:tr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02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业务模型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重定义五大业务边界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□ 待确认</w:t>
            </w:r>
          </w:p>
        </w:tc>
      </w:tr>
      <w:tr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03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数据源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建立唯一 Source Registry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□ 待确认</w:t>
            </w:r>
          </w:p>
        </w:tc>
      </w:tr>
      <w:tr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04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数据源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统一 Source Adapter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□ 待确认</w:t>
            </w:r>
          </w:p>
        </w:tc>
      </w:tr>
      <w:tr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05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数据源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扩充技术生态来源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□ 待确认</w:t>
            </w:r>
          </w:p>
        </w:tc>
      </w:tr>
      <w:tr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06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数据源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扩充 AI 应用来源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□ 待确认</w:t>
            </w:r>
          </w:p>
        </w:tc>
      </w:tr>
      <w:tr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07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数据源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扩充解决方案来源并支持 Diff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□ 待确认</w:t>
            </w:r>
          </w:p>
        </w:tc>
      </w:tr>
      <w:tr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08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数据源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社区来源升级为讨论/痛点趋势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7F4E8"/>
          </w:tcPr>
          <w:p>
            <w:pPr>
              <w:spacing w:after="0"/>
            </w:pPr>
            <w:r>
              <w:rPr>
                <w:sz w:val="16"/>
              </w:rPr>
              <w:t>P1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□ 待确认</w:t>
            </w:r>
          </w:p>
        </w:tc>
      </w:tr>
      <w:tr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09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数据源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完善友商公司级动态来源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□ 待确认</w:t>
            </w:r>
          </w:p>
        </w:tc>
      </w:tr>
      <w:tr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10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数据源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增加华为云 Self Reference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7F4E8"/>
          </w:tcPr>
          <w:p>
            <w:pPr>
              <w:spacing w:after="0"/>
            </w:pPr>
            <w:r>
              <w:rPr>
                <w:sz w:val="16"/>
              </w:rPr>
              <w:t>P1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□ 待确认</w:t>
            </w:r>
          </w:p>
        </w:tc>
      </w:tr>
      <w:tr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11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热点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建设 Discovery Sentinel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□ 待确认</w:t>
            </w:r>
          </w:p>
        </w:tc>
      </w:tr>
      <w:tr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热点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建设 Hotspot Coverage Audit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□ 待确认</w:t>
            </w:r>
          </w:p>
        </w:tc>
      </w:tr>
      <w:tr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13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热点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支持 1h/6h/24h/7d 趋势与 Velocity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□ 待确认</w:t>
            </w:r>
          </w:p>
        </w:tc>
      </w:tr>
      <w:tr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14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数据模型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统一 RawItem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□ 待确认</w:t>
            </w:r>
          </w:p>
        </w:tc>
      </w:tr>
      <w:tr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15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数据模型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统一 Entity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□ 待确认</w:t>
            </w:r>
          </w:p>
        </w:tc>
      </w:tr>
      <w:tr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16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数据模型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统一 Event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□ 待确认</w:t>
            </w:r>
          </w:p>
        </w:tc>
      </w:tr>
      <w:tr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数据模型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建立 MetricSnapshot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□ 待确认</w:t>
            </w:r>
          </w:p>
        </w:tc>
      </w:tr>
      <w:tr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数据模型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统一时间语义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□ 待确认</w:t>
            </w:r>
          </w:p>
        </w:tc>
      </w:tr>
      <w:tr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19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评分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HotScore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□ 待确认</w:t>
            </w:r>
          </w:p>
        </w:tc>
      </w:tr>
      <w:tr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20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评分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Business Priority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□ 待确认</w:t>
            </w:r>
          </w:p>
        </w:tc>
      </w:tr>
      <w:tr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评分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DevTrendScore / RepoScore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□ 待确认</w:t>
            </w:r>
          </w:p>
        </w:tc>
      </w:tr>
      <w:tr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22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可信度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Evidence 与 P0/P1/P2 来源等级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□ 待确认</w:t>
            </w:r>
          </w:p>
        </w:tc>
      </w:tr>
      <w:tr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23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AI分析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分析结果版本化与可追溯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□ 待确认</w:t>
            </w:r>
          </w:p>
        </w:tc>
      </w:tr>
      <w:tr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24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邮件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商业洞察邮件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□ 待确认</w:t>
            </w:r>
          </w:p>
        </w:tc>
      </w:tr>
      <w:tr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25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邮件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技术项目洞察邮件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□ 待确认</w:t>
            </w:r>
          </w:p>
        </w:tc>
      </w:tr>
      <w:tr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26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邮件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双邮件事件去重与双视角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□ 待确认</w:t>
            </w:r>
          </w:p>
        </w:tc>
      </w:tr>
      <w:tr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27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邮件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邮件视觉整改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□ 待确认</w:t>
            </w:r>
          </w:p>
        </w:tc>
      </w:tr>
      <w:tr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28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UI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首页情报化重构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□ 待确认</w:t>
            </w:r>
          </w:p>
        </w:tc>
      </w:tr>
      <w:tr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29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UI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真实事件 Radar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□ 待确认</w:t>
            </w:r>
          </w:p>
        </w:tc>
      </w:tr>
      <w:tr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30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UI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五大业务页面统一改造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7F4E8"/>
          </w:tcPr>
          <w:p>
            <w:pPr>
              <w:spacing w:after="0"/>
            </w:pPr>
            <w:r>
              <w:rPr>
                <w:sz w:val="16"/>
              </w:rPr>
              <w:t>P1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□ 待确认</w:t>
            </w:r>
          </w:p>
        </w:tc>
      </w:tr>
      <w:tr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31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UI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Event Detail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□ 待确认</w:t>
            </w:r>
          </w:p>
        </w:tc>
      </w:tr>
      <w:tr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32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UI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Repository Detail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7F4E8"/>
          </w:tcPr>
          <w:p>
            <w:pPr>
              <w:spacing w:after="0"/>
            </w:pPr>
            <w:r>
              <w:rPr>
                <w:sz w:val="16"/>
              </w:rPr>
              <w:t>P1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□ 待确认</w:t>
            </w:r>
          </w:p>
        </w:tc>
      </w:tr>
      <w:tr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33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UI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全局搜索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7F4E8"/>
          </w:tcPr>
          <w:p>
            <w:pPr>
              <w:spacing w:after="0"/>
            </w:pPr>
            <w:r>
              <w:rPr>
                <w:sz w:val="16"/>
              </w:rPr>
              <w:t>P1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□ 待确认</w:t>
            </w:r>
          </w:p>
        </w:tc>
      </w:tr>
      <w:tr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UI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双主题与统一 Design System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7F4E8"/>
          </w:tcPr>
          <w:p>
            <w:pPr>
              <w:spacing w:after="0"/>
            </w:pPr>
            <w:r>
              <w:rPr>
                <w:sz w:val="16"/>
              </w:rPr>
              <w:t>P1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□ 待确认</w:t>
            </w:r>
          </w:p>
        </w:tc>
      </w:tr>
      <w:tr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35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管理后台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管理首页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□ 待确认</w:t>
            </w:r>
          </w:p>
        </w:tc>
      </w:tr>
      <w:tr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36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管理后台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数据源管理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□ 待确认</w:t>
            </w:r>
          </w:p>
        </w:tc>
      </w:tr>
      <w:tr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37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管理后台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采集任务管理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□ 待确认</w:t>
            </w:r>
          </w:p>
        </w:tc>
      </w:tr>
      <w:tr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38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管理后台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Event / Entity 管理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□ 待确认</w:t>
            </w:r>
          </w:p>
        </w:tc>
      </w:tr>
      <w:tr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39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管理后台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评分管理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7F4E8"/>
          </w:tcPr>
          <w:p>
            <w:pPr>
              <w:spacing w:after="0"/>
            </w:pPr>
            <w:r>
              <w:rPr>
                <w:sz w:val="16"/>
              </w:rPr>
              <w:t>P1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□ 待确认</w:t>
            </w:r>
          </w:p>
        </w:tc>
      </w:tr>
      <w:tr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40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管理后台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Prompt 管理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7F4E8"/>
          </w:tcPr>
          <w:p>
            <w:pPr>
              <w:spacing w:after="0"/>
            </w:pPr>
            <w:r>
              <w:rPr>
                <w:sz w:val="16"/>
              </w:rPr>
              <w:t>P1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□ 待确认</w:t>
            </w:r>
          </w:p>
        </w:tc>
      </w:tr>
      <w:tr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41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管理后台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邮件管理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□ 待确认</w:t>
            </w:r>
          </w:p>
        </w:tc>
      </w:tr>
      <w:tr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42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管理后台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热点覆盖管理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□ 待确认</w:t>
            </w:r>
          </w:p>
        </w:tc>
      </w:tr>
      <w:tr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43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管理后台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权限与审计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7F4E8"/>
          </w:tcPr>
          <w:p>
            <w:pPr>
              <w:spacing w:after="0"/>
            </w:pPr>
            <w:r>
              <w:rPr>
                <w:sz w:val="16"/>
              </w:rPr>
              <w:t>P1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□ 待确认</w:t>
            </w:r>
          </w:p>
        </w:tc>
      </w:tr>
      <w:tr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44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系统兼容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复用现有架构与数据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□ 待确认</w:t>
            </w:r>
          </w:p>
        </w:tc>
      </w:tr>
      <w:tr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45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系统兼容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API 兼容与版本化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□ 待确认</w:t>
            </w:r>
          </w:p>
        </w:tc>
      </w:tr>
      <w:tr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46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系统兼容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数据库 Migration / Backfill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□ 待确认</w:t>
            </w:r>
          </w:p>
        </w:tc>
      </w:tr>
      <w:tr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47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系统兼容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缓存一致性与自动失效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□ 待确认</w:t>
            </w:r>
          </w:p>
        </w:tc>
      </w:tr>
      <w:tr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48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系统兼容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统一 Scheduler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□ 待确认</w:t>
            </w:r>
          </w:p>
        </w:tc>
      </w:tr>
      <w:tr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49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系统兼容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V1/V2 灰度共存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□ 待确认</w:t>
            </w:r>
          </w:p>
        </w:tc>
      </w:tr>
      <w:tr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50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运维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Source Health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□ 待确认</w:t>
            </w:r>
          </w:p>
        </w:tc>
      </w:tr>
      <w:tr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51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运维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数据质量检测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□ 待确认</w:t>
            </w:r>
          </w:p>
        </w:tc>
      </w:tr>
      <w:tr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52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运维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全链路可观察性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□ 待确认</w:t>
            </w:r>
          </w:p>
        </w:tc>
      </w:tr>
      <w:tr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53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运维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异常告警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□ 待确认</w:t>
            </w:r>
          </w:p>
        </w:tc>
      </w:tr>
      <w:tr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54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测试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核心链路自动测试与回归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□ 待确认</w:t>
            </w:r>
          </w:p>
        </w:tc>
      </w:tr>
      <w:tr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55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文档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架构/API/Schema/Adapter 文档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□ 待确认</w:t>
            </w:r>
          </w:p>
        </w:tc>
      </w:tr>
      <w:tr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56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文档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部署与故障处理 Runbook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2045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□ 待确认</w:t>
            </w:r>
          </w:p>
        </w:tc>
      </w:tr>
    </w:tbl>
    <w:p>
      <w:pPr>
        <w:spacing w:before="160"/>
      </w:pPr>
      <w:r>
        <w:rPr>
          <w:b/>
        </w:rPr>
        <w:t>优先级说明：</w:t>
      </w:r>
      <w:r>
        <w:t>P0 = V2 必须完成；P1 = V2 应完成，可根据排期拆分。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19191"/>
        <w:sz w:val="16"/>
      </w:rPr>
      <w:t>Insight-Pro V2 | Requirement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28C96"/>
        <w:sz w:val="16"/>
      </w:rPr>
      <w:t>INSIGHT-PRO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42A4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42A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42A4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