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0B3D66"/>
        </w:pBdr>
      </w:pPr>
      <w:r>
        <w:rPr>
          <w:rFonts w:ascii="PingFang SC" w:hAnsi="PingFang SC" w:eastAsia="PingFang SC"/>
          <w:b/>
          <w:color w:val="0B3D66"/>
          <w:sz w:val="40"/>
        </w:rPr>
        <w:t>AI 工牌 1.0 技术架构 · 卷一：总览与设计原则</w:t>
      </w:r>
    </w:p>
    <w:p>
      <w:r>
        <w:rPr>
          <w:rFonts w:ascii="PingFang SC" w:hAnsi="PingFang SC" w:eastAsia="PingFang SC"/>
          <w:b w:val="0"/>
          <w:color w:val="555555"/>
          <w:sz w:val="18"/>
        </w:rPr>
        <w:t>系列文档(共六卷)之第一卷。本卷确立架构理念、设计原则、系统全景与文档导航，是其余各卷的总纲。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定位：开发与 ODM 落地依据 + 管理层决策参考。深度：决策 + 全景。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版本 v1.0 ｜ 日期 ________ ｜ 维护人 ________ ｜ 上游：战略定位书、1.0功能规格书、技术补充文档</w:t>
      </w:r>
    </w:p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0. 文档系列地图</w:t>
      </w:r>
    </w:p>
    <w:p>
      <w:r>
        <w:rPr>
          <w:rFonts w:ascii="PingFang SC" w:hAnsi="PingFang SC" w:eastAsia="PingFang SC"/>
          <w:b w:val="0"/>
          <w:color w:val="1A1A1A"/>
          <w:sz w:val="21"/>
        </w:rPr>
        <w:t>整体技术架构拆分为六卷，各卷独立成文又互相引用：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卷</w:t>
            </w:r>
          </w:p>
        </w:tc>
        <w:tc>
          <w:tcPr>
            <w:tcW w:type="dxa" w:w="403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532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主要受众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一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总览与设计原则(本卷)</w:t>
            </w:r>
          </w:p>
        </w:tc>
        <w:tc>
          <w:tcPr>
            <w:tcW w:type="dxa" w:w="53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理念/原则/全景图/能力抽象层/文档地图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全员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二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端侧固件架构</w:t>
            </w:r>
          </w:p>
        </w:tc>
        <w:tc>
          <w:tcPr>
            <w:tcW w:type="dxa" w:w="53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音频/TTS打断/联网/按键/墨水屏/低功耗/OTA + 状态机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固件/ODM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三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 Middleware 架构</w:t>
            </w:r>
          </w:p>
        </w:tc>
        <w:tc>
          <w:tcPr>
            <w:tcW w:type="dxa" w:w="53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接入/会话/LID/能力抽象/双链路/安全/成本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后端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四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双形态部署架构</w:t>
            </w:r>
          </w:p>
        </w:tc>
        <w:tc>
          <w:tcPr>
            <w:tcW w:type="dxa" w:w="53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私有化 vs SaaS/数据驻留合规/计费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架构/商务/管理层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五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数据流·协议·接口契约</w:t>
            </w:r>
          </w:p>
        </w:tc>
        <w:tc>
          <w:tcPr>
            <w:tcW w:type="dxa" w:w="53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音频流协议/双链路数据流/TTS打断时序/错误码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前后端联调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六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技术决策·Agent预留·风险</w:t>
            </w:r>
          </w:p>
        </w:tc>
        <w:tc>
          <w:tcPr>
            <w:tcW w:type="dxa" w:w="53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关键取舍/预留设计/风险与验证点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架构/管理层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1. 架构理念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一句话理念：</w:t>
            </w:r>
            <w:r>
              <w:rPr>
                <w:rFonts w:ascii="PingFang SC" w:hAnsi="PingFang SC" w:eastAsia="PingFang SC"/>
                <w:b/>
                <w:color w:val="0A7A2F"/>
                <w:sz w:val="20"/>
              </w:rPr>
              <w:t>端侧轻、云端重、入口留、双形态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——设备只做"采集·播放·联网·交互"，所有智能(翻译/问答/语种判定)放云端；为未来 Agent 能力预留接口；同一套架构支持私有化与 SaaS 两种部署。</w:t>
            </w:r>
          </w:p>
        </w:tc>
      </w:tr>
    </w:tbl>
    <w:p/>
    <w:p>
      <w:r>
        <w:rPr>
          <w:rFonts w:ascii="PingFang SC" w:hAnsi="PingFang SC" w:eastAsia="PingFang SC"/>
          <w:b w:val="0"/>
          <w:color w:val="1A1A1A"/>
          <w:sz w:val="21"/>
        </w:rPr>
        <w:t>这套理念是从 0506 "酒店 AI 语音盒"重模型(本地算力跑小模型，导致散热/体积/成本冲突)吸取教训后的根本选择。详见卷六技术决策。</w:t>
      </w:r>
    </w:p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2. 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460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75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体现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端轻云重</w:t>
            </w:r>
          </w:p>
        </w:tc>
        <w:tc>
          <w:tcPr>
            <w:tcW w:type="dxa" w:w="460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端侧不跑 AI 推理，智能全部上云</w:t>
            </w:r>
          </w:p>
        </w:tc>
        <w:tc>
          <w:tcPr>
            <w:tcW w:type="dxa" w:w="47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端侧仅采集/播放/联网/交互；R818 不背模型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P2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算力上云、硬件留钩</w:t>
            </w:r>
          </w:p>
        </w:tc>
        <w:tc>
          <w:tcPr>
            <w:tcW w:type="dxa" w:w="460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不为 AI 把硬件做重，但预留无法软件后加的物理接口</w:t>
            </w:r>
          </w:p>
        </w:tc>
        <w:tc>
          <w:tcPr>
            <w:tcW w:type="dxa" w:w="47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 接口位/天线窗/供电余量预留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P3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会话级短连</w:t>
            </w:r>
          </w:p>
        </w:tc>
        <w:tc>
          <w:tcPr>
            <w:tcW w:type="dxa" w:w="460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不要求长期常连接，按需建短时流式连接</w:t>
            </w:r>
          </w:p>
        </w:tc>
        <w:tc>
          <w:tcPr>
            <w:tcW w:type="dxa" w:w="47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翻译/问答触发后建连，空闲超时断开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P4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双链路共基座</w:t>
            </w:r>
          </w:p>
        </w:tc>
        <w:tc>
          <w:tcPr>
            <w:tcW w:type="dxa" w:w="460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翻译与问答复用同一会话/音频/路由基础设施</w:t>
            </w:r>
          </w:p>
        </w:tc>
        <w:tc>
          <w:tcPr>
            <w:tcW w:type="dxa" w:w="47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短按翻译、长按问答，底层一套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P5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端侧闭环优先</w:t>
            </w:r>
          </w:p>
        </w:tc>
        <w:tc>
          <w:tcPr>
            <w:tcW w:type="dxa" w:w="460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关键体验(如TTS打断)端侧本地完成，不依赖云端往返</w:t>
            </w:r>
          </w:p>
        </w:tc>
        <w:tc>
          <w:tcPr>
            <w:tcW w:type="dxa" w:w="47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按键中断本地直接停播，断网仍可用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P6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能力可插拔</w:t>
            </w:r>
          </w:p>
        </w:tc>
        <w:tc>
          <w:tcPr>
            <w:tcW w:type="dxa" w:w="460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 能力供应商抽象为可配置适配器</w:t>
            </w:r>
          </w:p>
        </w:tc>
        <w:tc>
          <w:tcPr>
            <w:tcW w:type="dxa" w:w="47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私有化引擎/第三方API 可切换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P7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部署形态无关</w:t>
            </w:r>
          </w:p>
        </w:tc>
        <w:tc>
          <w:tcPr>
            <w:tcW w:type="dxa" w:w="460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同一代码/同一固件支持私有化与 SaaS</w:t>
            </w:r>
          </w:p>
        </w:tc>
        <w:tc>
          <w:tcPr>
            <w:tcW w:type="dxa" w:w="47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靠配置/部署开关切换，非两套代码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P8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安全隔离</w:t>
            </w:r>
          </w:p>
        </w:tc>
        <w:tc>
          <w:tcPr>
            <w:tcW w:type="dxa" w:w="460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问答严格限定知识库范围，绝不开放通用聊天</w:t>
            </w:r>
          </w:p>
        </w:tc>
        <w:tc>
          <w:tcPr>
            <w:tcW w:type="dxa" w:w="47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范围判断→向量匹配→兜底拒答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P9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可观测可计费</w:t>
            </w:r>
          </w:p>
        </w:tc>
        <w:tc>
          <w:tcPr>
            <w:tcW w:type="dxa" w:w="460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所有 AI 调用可统计、可拆分、可降级</w:t>
            </w:r>
          </w:p>
        </w:tc>
        <w:tc>
          <w:tcPr>
            <w:tcW w:type="dxa" w:w="47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按设备/门店/能力类型统计成本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3. 系统全景图</w:t>
      </w:r>
    </w:p>
    <w:p>
      <w:r>
        <w:rPr>
          <w:rFonts w:ascii="PingFang SC" w:hAnsi="PingFang SC" w:eastAsia="PingFang SC"/>
          <w:b w:val="0"/>
          <w:color w:val="1A1A1A"/>
          <w:sz w:val="21"/>
        </w:rPr>
        <w:t>三层 + 能力抽象层。能力抽象层是"双形态"的关键——它把业务逻辑与具体 AI 能力解耦。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4F4F4"/>
          </w:tcPr>
          <w:p>
            <w:r>
              <w:rPr>
                <w:rFonts w:ascii="Menlo" w:hAnsi="Menlo" w:eastAsia="Menlo"/>
                <w:b w:val="0"/>
                <w:color w:val="1A1A1A"/>
                <w:sz w:val="17"/>
              </w:rPr>
              <w:t>┌──────────────────────────────────────────────────────────┐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端侧 AI 工牌  (全志 R818 / Linux 音频平台)                  │  轻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音频采集 · 双麦降噪/VAD · 扬声器外放 · TTS本地打断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按键(翻译/语言/上下/PTT预留) · 墨水屏 · 低功耗 · OTA · 日志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└───────────────────────────┬──────────────────────────────┘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会话级短时流式 (WebSocket / HTTP2 Streaming)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                   │  device_id + token + fw_version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┌───────────────────────────▼──────────────────────────────┐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云端 Middleware  (核心软件层 · 双形态同一代码)              │  重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设备接入 · 会话管理 · LID策略 · 安全隔离 · 配置下发 · 成本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├ 翻译链路: LID → ASR → MT → TTS        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└ 问答链路: 范围判断 → 向量匹配 → System Prompt → 兜底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┌──────────────────────────────────────────────────┐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│  能力抽象层 (Provider Abstraction Layer)           │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│  ASR / MT / TTS / 向量库 / LLM 的统一接口           │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└──────┬───────────────────────────────┬───────────┘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└─────────┼───────────────────────────────┼────────────────┘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[私有化适配器]                    [SaaS 适配器]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本地引擎/本地LLM/向量库            第三方API(Google东京区/讯飞..)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数据不出域                         区域可配·合规友好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┌───────────────────────────▼──────────────────────────────┐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管理面 (两形态通用)                     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H5 扫码配置 · 设备管理后台 · 知识库配置 · 日志/成本统计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└──────────────────────────────────────────────────────────┘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4. 关键决策摘要（详见卷六）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604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结论</w:t>
            </w:r>
          </w:p>
        </w:tc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所属卷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主控平台</w:t>
            </w:r>
          </w:p>
        </w:tc>
        <w:tc>
          <w:tcPr>
            <w:tcW w:type="dxa" w:w="6048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全志 R818 / Linux 音频平台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(承载双链路+未来预留)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卷二/卷六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问答进 1.0</w:t>
            </w:r>
          </w:p>
        </w:tc>
        <w:tc>
          <w:tcPr>
            <w:tcW w:type="dxa" w:w="604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云端简单问答进 1.0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，翻译/问答双链路共基座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卷三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TTS 打断</w:t>
            </w:r>
          </w:p>
        </w:tc>
        <w:tc>
          <w:tcPr>
            <w:tcW w:type="dxa" w:w="6048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端侧本地停播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，云端 stop_tts 仅辅助同步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卷二/卷五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LID 高风险降级</w:t>
            </w:r>
          </w:p>
        </w:tc>
        <w:tc>
          <w:tcPr>
            <w:tcW w:type="dxa" w:w="604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Conf≥0.8 才外放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，低置信不外放+提示重说+白名单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卷三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 对讲</w:t>
            </w:r>
          </w:p>
        </w:tc>
        <w:tc>
          <w:tcPr>
            <w:tcW w:type="dxa" w:w="6048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1.0 预留接口不上模块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(选项B)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卷二/卷六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部署形态</w:t>
            </w:r>
          </w:p>
        </w:tc>
        <w:tc>
          <w:tcPr>
            <w:tcW w:type="dxa" w:w="604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同一架构双部署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：私有化(数据不出域) + SaaS(日本区域)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卷四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供应商选择</w:t>
            </w:r>
          </w:p>
        </w:tc>
        <w:tc>
          <w:tcPr>
            <w:tcW w:type="dxa" w:w="604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SaaS 面向日本，</w:t>
            </w:r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日本/国际供应商优先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，中国厂商备选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卷四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安全隔离</w:t>
            </w:r>
          </w:p>
        </w:tc>
        <w:tc>
          <w:tcPr>
            <w:tcW w:type="dxa" w:w="604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问答严格限定知识库范围，</w:t>
            </w:r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不开放通用聊天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卷三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5. 边界与非目标（架构层面）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非目标</w:t>
            </w:r>
          </w:p>
        </w:tc>
        <w:tc>
          <w:tcPr>
            <w:tcW w:type="dxa" w:w="86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 AI 推理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所有翻译/问答/LID 推理在云端，端侧不部署模型</w:t>
            </w:r>
          </w:p>
        </w:tc>
      </w:tr>
      <w:tr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长连接常驻</w:t>
            </w:r>
          </w:p>
        </w:tc>
        <w:tc>
          <w:tcPr>
            <w:tcW w:type="dxa" w:w="86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不维持长期 WebSocket，按会话建短连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两套固件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私有化与 SaaS 共用一种固件，靠端点配置区分</w:t>
            </w:r>
          </w:p>
        </w:tc>
      </w:tr>
      <w:tr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两套 Middleware 代码</w:t>
            </w:r>
          </w:p>
        </w:tc>
        <w:tc>
          <w:tcPr>
            <w:tcW w:type="dxa" w:w="86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双形态同一代码库，靠能力适配器+部署开关区分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通用聊天 Agent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问答仅限门店知识库，非开放式 LLM 对话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