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8" w:space="4" w:color="0B3D66"/>
        </w:pBdr>
      </w:pPr>
      <w:r>
        <w:rPr>
          <w:rFonts w:ascii="PingFang SC" w:hAnsi="PingFang SC" w:eastAsia="PingFang SC"/>
          <w:b/>
          <w:color w:val="0B3D66"/>
          <w:sz w:val="40"/>
        </w:rPr>
        <w:t>AI 工牌 1.0 技术架构 · 卷三：云端 Middleware 架构</w:t>
      </w:r>
    </w:p>
    <w:p>
      <w:r>
        <w:rPr>
          <w:rFonts w:ascii="PingFang SC" w:hAnsi="PingFang SC" w:eastAsia="PingFang SC"/>
          <w:b w:val="0"/>
          <w:color w:val="555555"/>
          <w:sz w:val="18"/>
        </w:rPr>
        <w:t>系列文档第三卷。Middleware 是本项目核心软件层，本卷描述其模块、翻译/问答双链路、LID策略、安全隔离与成本统计。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定位：后端开发与 ODM 落地依据。深度：详细。</w:t>
      </w:r>
      <w:r>
        <w:br/>
      </w:r>
      <w:r>
        <w:rPr>
          <w:rFonts w:ascii="PingFang SC" w:hAnsi="PingFang SC" w:eastAsia="PingFang SC"/>
          <w:b w:val="0"/>
          <w:color w:val="555555"/>
          <w:sz w:val="18"/>
        </w:rPr>
        <w:t>版本 v1.0 ｜ 维护人 ________ ｜ 上游：卷一总览、卷四部署、技术补充文档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Middleware 设计原则：</w:t>
            </w:r>
            <w:r>
              <w:rPr>
                <w:rFonts w:ascii="PingFang SC" w:hAnsi="PingFang SC" w:eastAsia="PingFang SC"/>
                <w:b/>
                <w:color w:val="0A7A2F"/>
                <w:sz w:val="20"/>
              </w:rPr>
              <w:t>双链路共基座 + 能力可插拔 + 部署形态无关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。翻译与问答复用同一接入/会话/路由/安全基座；AI 能力抽象为适配器；同一代码支持私有化与 SaaS。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1. Middleware 模块全景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┌───────────────────────────────────────────────────────┐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设备接入层  鉴权(device_id+token+fw) · 在线/睡眠/离线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├───────────────────────────────────────────────────────┤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会话管理    session生命周期 · 音频分片缓存 · 模式分发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├──────────────────────┬────────────────────────────────┤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翻译链路            │   问答链路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LID置信度策略       │   ① 知识库范围判断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→ ASR → MT → TTS    │   ② 语义向量匹配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高风险降级          │   ③ System Prompt 约束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                     │   ④ 安全过滤 → ⑤ 兜底策略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├──────────────────────┴────────────────────────────────┤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能力抽象层 (Provider Abstraction)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ASR / MT / TTS / 向量库 / LLM 统一接口 + 多供应商路由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├───────────────────────────────────────────────────────┤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│  支撑: 配置下发 · 设备管理 · 日志 · 成本统计 · 安全合规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>└───────────────────────────────────────────────────────┘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2. 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230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5184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职责</w:t>
            </w:r>
          </w:p>
        </w:tc>
        <w:tc>
          <w:tcPr>
            <w:tcW w:type="dxa" w:w="475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关键点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设备接入层</w:t>
            </w:r>
          </w:p>
        </w:tc>
        <w:tc>
          <w:tcPr>
            <w:tcW w:type="dxa" w:w="51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鉴权、连接管理、设备状态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device_id+token+fw_version；在线/睡眠/离线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会话管理</w:t>
            </w:r>
          </w:p>
        </w:tc>
        <w:tc>
          <w:tcPr>
            <w:tcW w:type="dxa" w:w="518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session生命周期、音频分片缓存转码、模式分发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按短按/长按分发到翻译/问答链路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翻译链路</w:t>
            </w:r>
          </w:p>
        </w:tc>
        <w:tc>
          <w:tcPr>
            <w:tcW w:type="dxa" w:w="51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LID→ASR→MT→TTS，高风险降级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详见第3节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问答链路</w:t>
            </w:r>
          </w:p>
        </w:tc>
        <w:tc>
          <w:tcPr>
            <w:tcW w:type="dxa" w:w="518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范围判断→向量匹配→Prompt→安全→兜底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详见第4节，</w:t>
            </w:r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绝不开放通用聊天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能力抽象层</w:t>
            </w:r>
          </w:p>
        </w:tc>
        <w:tc>
          <w:tcPr>
            <w:tcW w:type="dxa" w:w="51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AI能力统一接口、多供应商路由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详见第5节，双形态核心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配置下发</w:t>
            </w:r>
          </w:p>
        </w:tc>
        <w:tc>
          <w:tcPr>
            <w:tcW w:type="dxa" w:w="518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语言/菜单/白名单/兜底话术/endpoint下发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MQTT或等价轻量通道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设备管理</w:t>
            </w:r>
          </w:p>
        </w:tc>
        <w:tc>
          <w:tcPr>
            <w:tcW w:type="dxa" w:w="51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设备列表/状态/分组/权限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门店/客户隔离，CRM预留</w:t>
            </w:r>
          </w:p>
        </w:tc>
      </w:tr>
      <w:tr>
        <w:tc>
          <w:tcPr>
            <w:tcW w:type="dxa" w:w="230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日志与成本</w:t>
            </w:r>
          </w:p>
        </w:tc>
        <w:tc>
          <w:tcPr>
            <w:tcW w:type="dxa" w:w="5184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关键事件日志、API调用量与成本统计</w:t>
            </w:r>
          </w:p>
        </w:tc>
        <w:tc>
          <w:tcPr>
            <w:tcW w:type="dxa" w:w="475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按设备/门店/能力类型拆分</w:t>
            </w:r>
          </w:p>
        </w:tc>
      </w:tr>
      <w:tr>
        <w:tc>
          <w:tcPr>
            <w:tcW w:type="dxa" w:w="230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安全合规</w:t>
            </w:r>
          </w:p>
        </w:tc>
        <w:tc>
          <w:tcPr>
            <w:tcW w:type="dxa" w:w="5184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传输加密、日志脱敏、Key云端管理</w:t>
            </w:r>
          </w:p>
        </w:tc>
        <w:tc>
          <w:tcPr>
            <w:tcW w:type="dxa" w:w="475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API Key不入端侧固件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3. 翻译链路与 LID 高风险降级</w:t>
      </w:r>
    </w:p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3.1 翻译链路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音频流 → 缓存/分片 → LID(当前语言对内判定方向)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┌──────────┴──────────┐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Conf ≥ 0.8              Conf &lt; 0.8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│               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ASR→MT→TTS           [高风险降级]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     │              不外放高风险译文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   tts_audio→端侧      提示重说/默认方向/记日志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3.2 LID 置信度策略（会议共识/规格书）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条件</w:t>
            </w:r>
          </w:p>
        </w:tc>
        <w:tc>
          <w:tcPr>
            <w:tcW w:type="dxa" w:w="86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动作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Conf ≥ 0.8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执行自动方向翻译，外放译文</w:t>
            </w:r>
          </w:p>
        </w:tc>
      </w:tr>
      <w:tr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短句命中白名单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直通(OK/ありがとう/はい/いいえ/괜찮아요等)</w:t>
            </w:r>
          </w:p>
        </w:tc>
      </w:tr>
      <w:tr>
        <w:tc>
          <w:tcPr>
            <w:tcW w:type="dxa" w:w="360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Conf &lt; 0.8 且非白名单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/>
                <w:color w:val="A30000"/>
                <w:sz w:val="19"/>
              </w:rPr>
              <w:t>不外放</w:t>
            </w:r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→提示"未识别清楚请再说一遍"/按门店默认方向→记低置信日志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短句白名单优化(技术补充第二节)：端侧 KWS 命中可走快速通道、跳过复杂 LID，目标超短句≤800ms。该端侧 KWS 定位 P1 可选，需单独验证误触发率；云端白名单逻辑 1.0 即有。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4. 问答链路与安全隔离（核心）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/>
                <w:color w:val="A30000"/>
                <w:sz w:val="20"/>
              </w:rPr>
              <w:t>安全隔离是服务业信任的架构级保障</w:t>
            </w:r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：问答绝不做成开放式通用聊天。所有请求须经五道关卡，范围外问题直接返回兜底话术，不调用通用大模型自由生成。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4.1 问答五道关卡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259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关卡</w:t>
            </w:r>
          </w:p>
        </w:tc>
        <w:tc>
          <w:tcPr>
            <w:tcW w:type="dxa" w:w="460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作用</w:t>
            </w:r>
          </w:p>
        </w:tc>
        <w:tc>
          <w:tcPr>
            <w:tcW w:type="dxa" w:w="43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不通过时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①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知识库范围判断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判断问题是否属门店知识库标签范围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范围外→直接兜底，不进LLM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②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语义向量匹配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在门店知识库内检索匹配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无匹配→兜底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③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System Prompt约束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限定LLM只能基于检索内容作答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禁止自由续写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④</w:t>
            </w:r>
          </w:p>
        </w:tc>
        <w:tc>
          <w:tcPr>
            <w:tcW w:type="dxa" w:w="259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安全过滤</w:t>
            </w:r>
          </w:p>
        </w:tc>
        <w:tc>
          <w:tcPr>
            <w:tcW w:type="dxa" w:w="460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过滤不当/越界输出</w:t>
            </w:r>
          </w:p>
        </w:tc>
        <w:tc>
          <w:tcPr>
            <w:tcW w:type="dxa" w:w="43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拦截→兜底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⑤</w:t>
            </w:r>
          </w:p>
        </w:tc>
        <w:tc>
          <w:tcPr>
            <w:tcW w:type="dxa" w:w="259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兜底策略</w:t>
            </w:r>
          </w:p>
        </w:tc>
        <w:tc>
          <w:tcPr>
            <w:tcW w:type="dxa" w:w="460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无答案时返回云端配置话术</w:t>
            </w:r>
          </w:p>
        </w:tc>
        <w:tc>
          <w:tcPr>
            <w:tcW w:type="dxa" w:w="43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"该问题暂无法回答，请咨询前台"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4.2 问答链路数据流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10224"/>
      </w:tblGrid>
      <w:tr>
        <w:tc>
          <w:tcPr>
            <w:tcW w:type="dxa" w:w="10224"/>
            <w:shd w:val="clear" w:color="auto" w:fill="F4F4F4"/>
          </w:tcPr>
          <w:p>
            <w:r>
              <w:rPr>
                <w:rFonts w:ascii="Menlo" w:hAnsi="Menlo" w:eastAsia="Menlo"/>
                <w:b w:val="0"/>
                <w:color w:val="1A1A1A"/>
                <w:sz w:val="17"/>
              </w:rPr>
              <w:t>店员提问音频 → ASR → 问题文本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① 范围判断 ──范围外──► ⑤ 兜底话术 → TTS → 端侧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│属于知识库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② 向量匹配 ──无匹配──► ⑤ 兜底话术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│命中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③ System Prompt 约束 + 检索内容 → LLM(受限生成)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│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④ 安全过滤 ──拦截──► ⑤ 兜底话术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    │通过</w:t>
            </w:r>
            <w:r>
              <w:br/>
            </w:r>
            <w:r>
              <w:rPr>
                <w:rFonts w:ascii="Menlo" w:hAnsi="Menlo" w:eastAsia="Menlo"/>
                <w:b w:val="0"/>
                <w:color w:val="1A1A1A"/>
                <w:sz w:val="17"/>
              </w:rPr>
              <w:t xml:space="preserve">  答案文本 → TTS → 端侧外放 (设备只播TTS，不显示文本)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4.3 安全隔离技术要求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要求</w:t>
            </w:r>
          </w:p>
        </w:tc>
        <w:tc>
          <w:tcPr>
            <w:tcW w:type="dxa" w:w="86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不开放通用聊天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Agent不得暴露为自由聊天接口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不答范围外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知识库范围外问题拒答→兜底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不绕Prompt自由续写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System Prompt强约束，禁止越界生成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兜底可配置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按客户/门店/场景配置兜底话术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端侧只播TTS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端侧不做任何生成，只播云端标准TTS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全程记录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Agent调用记录日志与成本；未命中问题回流供补充知识库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5. 能力抽象层与多供应商路由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A7A2F"/>
          <w:left w:val="single" w:sz="8" w:space="0" w:color="0A7A2F"/>
          <w:bottom w:val="single" w:sz="8" w:space="0" w:color="0A7A2F"/>
          <w:right w:val="single" w:sz="8" w:space="0" w:color="0A7A2F"/>
          <w:insideH w:val="single" w:sz="8" w:space="0" w:color="0A7A2F"/>
          <w:insideV w:val="single" w:sz="8" w:space="0" w:color="0A7A2F"/>
        </w:tblBorders>
      </w:tblPr>
      <w:tblGrid>
        <w:gridCol w:w="10224"/>
      </w:tblGrid>
      <w:tr>
        <w:tc>
          <w:tcPr>
            <w:tcW w:type="dxa" w:w="10224"/>
            <w:shd w:val="clear" w:color="auto" w:fill="E8F6EC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能力抽象层是"同一架构双部署"的工程核心：上层业务(会话/LID/安全)写一次，底层AI能力换适配器即可在私有化引擎与第三方API间切换。详见卷四。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5.1 统一接口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能力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统一接口(示意)</w:t>
            </w:r>
          </w:p>
        </w:tc>
        <w:tc>
          <w:tcPr>
            <w:tcW w:type="dxa" w:w="331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私有化适配器</w:t>
            </w:r>
          </w:p>
        </w:tc>
        <w:tc>
          <w:tcPr>
            <w:tcW w:type="dxa" w:w="3312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SaaS适配器</w:t>
            </w:r>
          </w:p>
        </w:tc>
      </w:tr>
      <w:tr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ASR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recognize(audio,lang)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本地ASR引擎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讯飞/Google等API</w:t>
            </w:r>
          </w:p>
        </w:tc>
      </w:tr>
      <w:tr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MT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translate(text,src,tgt)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本地MT引擎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Google/腾讯等API</w:t>
            </w:r>
          </w:p>
        </w:tc>
      </w:tr>
      <w:tr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TTS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synthesize(text,lang)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本地TTS引擎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供应商API</w:t>
            </w:r>
          </w:p>
        </w:tc>
      </w:tr>
      <w:tr>
        <w:tc>
          <w:tcPr>
            <w:tcW w:type="dxa" w:w="14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向量库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search(query,kb_id)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本地向量库</w:t>
            </w:r>
          </w:p>
        </w:tc>
        <w:tc>
          <w:tcPr>
            <w:tcW w:type="dxa" w:w="3312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托管向量服务</w:t>
            </w:r>
          </w:p>
        </w:tc>
      </w:tr>
      <w:tr>
        <w:tc>
          <w:tcPr>
            <w:tcW w:type="dxa" w:w="14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LLM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generate(prompt,ctx)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本地LLM</w:t>
            </w:r>
          </w:p>
        </w:tc>
        <w:tc>
          <w:tcPr>
            <w:tcW w:type="dxa" w:w="3312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Vertex AI等</w:t>
            </w:r>
          </w:p>
        </w:tc>
      </w:tr>
    </w:tbl>
    <w:p/>
    <w:p>
      <w:pPr>
        <w:spacing w:before="200"/>
      </w:pPr>
      <w:r>
        <w:rPr>
          <w:rFonts w:ascii="PingFang SC" w:hAnsi="PingFang SC" w:eastAsia="PingFang SC"/>
          <w:b/>
          <w:color w:val="0B3D66"/>
          <w:sz w:val="24"/>
        </w:rPr>
        <w:t>5.2 路由与成本策略（技术补充第八节）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3168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864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多维路由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按语种/客户/成本/延迟/成功率动态选供应商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按客户配置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不同客户/版本用不同供应商策略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失败降级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API失败自动切换备选供应商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无效调用过滤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低置信/不完整/噪声输入不调用后续大模型(降本)</w:t>
            </w:r>
          </w:p>
        </w:tc>
      </w:tr>
      <w:tr>
        <w:tc>
          <w:tcPr>
            <w:tcW w:type="dxa" w:w="3168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白名单降本</w:t>
            </w:r>
          </w:p>
        </w:tc>
        <w:tc>
          <w:tcPr>
            <w:tcW w:type="dxa" w:w="864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高频短句走快速通道，减少无效云调用</w:t>
            </w:r>
          </w:p>
        </w:tc>
      </w:tr>
      <w:tr>
        <w:tc>
          <w:tcPr>
            <w:tcW w:type="dxa" w:w="3168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成本拆分</w:t>
            </w:r>
          </w:p>
        </w:tc>
        <w:tc>
          <w:tcPr>
            <w:tcW w:type="dxa" w:w="864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按设备/门店/客户统计，区分ASR/MT/TTS/LID/问答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0B000"/>
          <w:left w:val="single" w:sz="8" w:space="0" w:color="E0B000"/>
          <w:bottom w:val="single" w:sz="8" w:space="0" w:color="E0B000"/>
          <w:right w:val="single" w:sz="8" w:space="0" w:color="E0B000"/>
          <w:insideH w:val="single" w:sz="8" w:space="0" w:color="E0B000"/>
          <w:insideV w:val="single" w:sz="8" w:space="0" w:color="E0B000"/>
        </w:tblBorders>
      </w:tblPr>
      <w:tblGrid>
        <w:gridCol w:w="10224"/>
      </w:tblGrid>
      <w:tr>
        <w:tc>
          <w:tcPr>
            <w:tcW w:type="dxa" w:w="10224"/>
            <w:shd w:val="clear" w:color="auto" w:fill="FFF7E6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20"/>
              </w:rPr>
              <w:t>"过滤30%无效调用"以实测为准，不作首版承诺指标(技术补充注)。需提供可量化成本统计与优化模型——对应路线图 B1 成本模型。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6. 配置下发与设备管理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112"/>
        <w:gridCol w:w="5112"/>
      </w:tblGrid>
      <w:tr>
        <w:tc>
          <w:tcPr>
            <w:tcW w:type="dxa" w:w="216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1008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下发内容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语言对/菜单列表/短句白名单/兜底话术/音量/endpoint/API策略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通道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MQTT或等价轻量通道；H5/后台提交→云端下发</w:t>
            </w:r>
          </w:p>
        </w:tc>
      </w:tr>
      <w:tr>
        <w:tc>
          <w:tcPr>
            <w:tcW w:type="dxa" w:w="216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设备管理</w:t>
            </w:r>
          </w:p>
        </w:tc>
        <w:tc>
          <w:tcPr>
            <w:tcW w:type="dxa" w:w="1008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设备列表/在线状态/语言配置/知识库配置/日志/异常统计/门店分组/权限隔离</w:t>
            </w:r>
          </w:p>
        </w:tc>
      </w:tr>
      <w:tr>
        <w:tc>
          <w:tcPr>
            <w:tcW w:type="dxa" w:w="216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权限</w:t>
            </w:r>
          </w:p>
        </w:tc>
        <w:tc>
          <w:tcPr>
            <w:tcW w:type="dxa" w:w="1008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不同客户/门店只能管理名下设备(多租户隔离，SaaS必需)</w:t>
            </w:r>
          </w:p>
        </w:tc>
      </w:tr>
    </w:tbl>
    <w:p/>
    <w:p>
      <w:pPr>
        <w:spacing w:before="280"/>
        <w:pBdr>
          <w:left w:val="single" w:sz="36" w:space="8" w:color="0B3D66"/>
        </w:pBdr>
      </w:pPr>
      <w:r>
        <w:rPr>
          <w:rFonts w:ascii="PingFang SC" w:hAnsi="PingFang SC" w:eastAsia="PingFang SC"/>
          <w:b/>
          <w:color w:val="0B3D66"/>
          <w:sz w:val="30"/>
        </w:rPr>
        <w:t>7. 云端验收要点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08"/>
        <w:gridCol w:w="3408"/>
        <w:gridCol w:w="3408"/>
      </w:tblGrid>
      <w:tr>
        <w:tc>
          <w:tcPr>
            <w:tcW w:type="dxa" w:w="72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#</w:t>
            </w:r>
          </w:p>
        </w:tc>
        <w:tc>
          <w:tcPr>
            <w:tcW w:type="dxa" w:w="36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项</w:t>
            </w:r>
          </w:p>
        </w:tc>
        <w:tc>
          <w:tcPr>
            <w:tcW w:type="dxa" w:w="7200"/>
            <w:shd w:val="clear" w:color="auto" w:fill="0B3D66"/>
          </w:tcPr>
          <w:p>
            <w:r>
              <w:rPr>
                <w:rFonts w:ascii="PingFang SC" w:hAnsi="PingFang SC" w:eastAsia="PingFang SC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翻译端到端延迟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&lt;1.5s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问答响应延迟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&lt;2s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LID降级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低置信不外放高风险译文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问答安全隔离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范围外100%拒答，不自由生成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多供应商路由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可按语种/客户选，失败可降级</w:t>
            </w:r>
          </w:p>
        </w:tc>
      </w:tr>
      <w:tr>
        <w:tc>
          <w:tcPr>
            <w:tcW w:type="dxa" w:w="72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6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成本统计</w:t>
            </w:r>
          </w:p>
        </w:tc>
        <w:tc>
          <w:tcPr>
            <w:tcW w:type="dxa" w:w="7200"/>
            <w:shd w:val="clear" w:color="auto" w:fill="F2F6FA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按设备/门店/能力类型可拆分</w:t>
            </w:r>
          </w:p>
        </w:tc>
      </w:tr>
      <w:tr>
        <w:tc>
          <w:tcPr>
            <w:tcW w:type="dxa" w:w="72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36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配置下发</w:t>
            </w:r>
          </w:p>
        </w:tc>
        <w:tc>
          <w:tcPr>
            <w:tcW w:type="dxa" w:w="7200"/>
          </w:tcPr>
          <w:p>
            <w:r>
              <w:rPr>
                <w:rFonts w:ascii="PingFang SC" w:hAnsi="PingFang SC" w:eastAsia="PingFang SC"/>
                <w:b w:val="0"/>
                <w:color w:val="1A1A1A"/>
                <w:sz w:val="19"/>
              </w:rPr>
              <w:t>H5/后台提交后设备生效</w:t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