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3D66"/>
        </w:pBdr>
      </w:pPr>
      <w:r>
        <w:rPr>
          <w:rFonts w:ascii="PingFang SC" w:hAnsi="PingFang SC" w:eastAsia="PingFang SC"/>
          <w:b/>
          <w:color w:val="0B3D66"/>
          <w:sz w:val="40"/>
        </w:rPr>
        <w:t>AI 工牌 1.0 技术架构 · 卷六：技术决策 · Agent预留 · 风险</w:t>
      </w:r>
    </w:p>
    <w:p>
      <w:r>
        <w:rPr>
          <w:rFonts w:ascii="PingFang SC" w:hAnsi="PingFang SC" w:eastAsia="PingFang SC"/>
          <w:b w:val="0"/>
          <w:color w:val="555555"/>
          <w:sz w:val="18"/>
        </w:rPr>
        <w:t>系列文档第六卷(终卷)。本卷汇总关键技术决策的取舍逻辑、为未来Agent预留的架构设计、风险与验证点。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定位：架构/管理层决策依据。深度：决策。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版本 v1.0 ｜ 维护人 ________ ｜ 上游：卷一~卷五</w:t>
      </w:r>
    </w:p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1. 关键技术决策与取舍逻辑</w:t>
      </w:r>
    </w:p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1.1 端轻云重 vs 端侧本地算力（0506教训）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50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0506端侧本地(已否决)</w:t>
            </w:r>
          </w:p>
        </w:tc>
        <w:tc>
          <w:tcPr>
            <w:tcW w:type="dxa" w:w="50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1.0端轻云重(采纳)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硬件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重、热、贵、难轻薄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轻薄低功耗、易量产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模型迭代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受端侧算力锁死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云端随时升级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扩展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受本地存储限制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云端无限扩展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成本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高硬件一次性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低硬件+订阅摊销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代价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依赖网络(服务业室内覆盖好，可接受)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决策依据：0506"酒店AI语音盒"因本地跑小模型导致散热/体积/成本冲突而搁置。1.0改为算力上云，是项目得以轻量量产的根本前提。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1.2 主控 R818 vs ESP32-S3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R818(Linux，采纳)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ESP32-S3(备选)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承载双链路+预留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较好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勉强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WebSocket/多流/TTS打断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成熟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受限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OTA/墨水屏驱动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Linux生态成熟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功能受限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成本/功耗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较高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更低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未来锁死风险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高(功能膨胀被迫换板)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决策：确立Agent入口长期定位→倾向R818，用略高1.0成本换未来不换板。ESP32-S3仅在"1.0只做翻译、Agent推迟独立机型"时才选。需ODM给RAM/Flash/eMMC配置与BOM成本差(路线图A2)。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1.3 TTS 打断：端侧本地 vs 云端往返（会议共识②）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响应</w:t>
            </w:r>
          </w:p>
        </w:tc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断网</w:t>
            </w:r>
          </w:p>
        </w:tc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端侧本地停播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≤100ms可达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仍可用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采纳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等云端指令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100ms难稳定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失效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否决(仅作辅助同步)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1.4 问答进 1.0 vs 仅预留（会议共识①）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选项</w:t>
            </w:r>
          </w:p>
        </w:tc>
        <w:tc>
          <w:tcPr>
            <w:tcW w:type="dxa" w:w="403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利</w:t>
            </w:r>
          </w:p>
        </w:tc>
        <w:tc>
          <w:tcPr>
            <w:tcW w:type="dxa" w:w="374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弊</w:t>
            </w:r>
          </w:p>
        </w:tc>
        <w:tc>
          <w:tcPr>
            <w:tcW w:type="dxa" w:w="14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问答进1.0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1.0即具Agent雏形，避开翻译红海</w:t>
            </w:r>
          </w:p>
        </w:tc>
        <w:tc>
          <w:tcPr>
            <w:tcW w:type="dxa" w:w="374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增云端与交互开发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采纳(P0/P1)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仅架构预留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更快量产</w:t>
            </w:r>
          </w:p>
        </w:tc>
        <w:tc>
          <w:tcPr>
            <w:tcW w:type="dxa" w:w="3744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1.0退回纯翻译机，卖点弱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否决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1.5 双形态：同一架构 vs 两套架构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选项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维护成本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同一架构双部署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低(一套代码+适配器)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采纳</w:t>
            </w:r>
          </w:p>
        </w:tc>
      </w:tr>
      <w:tr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两套独立架构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高(维护两套)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否决</w:t>
            </w:r>
          </w:p>
        </w:tc>
      </w:tr>
    </w:tbl>
    <w:p/>
    <w:p>
      <w:r>
        <w:rPr>
          <w:rFonts w:ascii="PingFang SC" w:hAnsi="PingFang SC" w:eastAsia="PingFang SC"/>
          <w:b w:val="0"/>
          <w:color w:val="1A1A1A"/>
          <w:sz w:val="21"/>
        </w:rPr>
        <w:t>实现关键：能力抽象层(卷四第2节)。供应商选择：SaaS面向日本，日本/国际优先、中国厂商备选。</w:t>
      </w:r>
    </w:p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2. 为 Agent 入口预留的架构设计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原则：</w:t>
            </w:r>
            <w:r>
              <w:rPr>
                <w:rFonts w:ascii="PingFang SC" w:hAnsi="PingFang SC" w:eastAsia="PingFang SC"/>
                <w:b/>
                <w:color w:val="0A7A2F"/>
                <w:sz w:val="20"/>
              </w:rPr>
              <w:t>预留即架构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——1.0不做重，但在端侧硬件、云端协议、数据结构上留好钩子，使未来Agent能力(问答增强/推荐/对讲/培训)无需推倒重来。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预留点</w:t>
            </w:r>
          </w:p>
        </w:tc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服务的未来能力</w:t>
            </w:r>
          </w:p>
        </w:tc>
        <w:tc>
          <w:tcPr>
            <w:tcW w:type="dxa" w:w="403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1.0如何预留</w:t>
            </w:r>
          </w:p>
        </w:tc>
        <w:tc>
          <w:tcPr>
            <w:tcW w:type="dxa" w:w="14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所在卷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LoRa接口位+天线窗+PTT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AI对讲(2.0)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预留位/丝印/供电余量，不实装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卷二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主控算力余量(R818)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更长会话/多流/LoRa协处理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选R818而非最小方案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卷二/六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能力抽象层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私有化/SaaS切换、换模型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统一接口+适配器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卷三/四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协议消息类型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推荐/培训等新能力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预留answer/config_update可扩展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卷五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知识库结构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AI问答/培训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分类/标签/门店隔离结构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卷三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CRM对接位+设备身份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AI推荐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门店分组+H5二维码入口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卷三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兜底话术结构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敬语/培训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按客户/门店/场景配置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卷三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OTA健壮性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云端能力快速下发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固件支持频繁OTA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卷二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3. 关键风险与验证点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15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验证/缓解</w:t>
            </w:r>
          </w:p>
        </w:tc>
        <w:tc>
          <w:tcPr>
            <w:tcW w:type="dxa" w:w="172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负责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A1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双模式云API成本过高，订阅不成立</w:t>
            </w:r>
          </w:p>
        </w:tc>
        <w:tc>
          <w:tcPr>
            <w:tcW w:type="dxa" w:w="1152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路线图B1成本模型(打样前)；超标则限频/调价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我方商务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A2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16h续航不达标</w:t>
            </w:r>
          </w:p>
        </w:tc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ODM功耗模型+样机实测；备选大电池/底座充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ODM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A3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TTS打断依赖云端，100ms不达</w:t>
            </w:r>
          </w:p>
        </w:tc>
        <w:tc>
          <w:tcPr>
            <w:tcW w:type="dxa" w:w="11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坚持端侧本地停(共识②)；联调验证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ODM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A4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问答答错/失礼伤信任</w:t>
            </w:r>
          </w:p>
        </w:tc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五道关卡+兜底拒答+敬语方案；内容运营归属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我方产品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A5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LID误判高风险译文外放</w:t>
            </w:r>
          </w:p>
        </w:tc>
        <w:tc>
          <w:tcPr>
            <w:tcW w:type="dxa" w:w="11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Conf≥0.8+降级+白名单；语料评测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ODM/我方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A6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端侧KWS误触发(嘈杂环境)</w:t>
            </w:r>
          </w:p>
        </w:tc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定P1，单独验证误触发率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ODM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A7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SaaS第三方数据出境合规</w:t>
            </w:r>
          </w:p>
        </w:tc>
        <w:tc>
          <w:tcPr>
            <w:tcW w:type="dxa" w:w="1152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日本/国际供应商优先；区域驻留；DPA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我方/法务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A8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墨水屏柔性基材供货/良率</w:t>
            </w:r>
          </w:p>
        </w:tc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ODM供应商评估；玻璃基材备选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ODM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A9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PTT预留增厚度/模具复杂</w:t>
            </w:r>
          </w:p>
        </w:tc>
        <w:tc>
          <w:tcPr>
            <w:tcW w:type="dxa" w:w="11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结构评估7-8mm内；激光断接/塑料窗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ODM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A10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在位者Pocketalk Agent化</w:t>
            </w:r>
          </w:p>
        </w:tc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抢窗口，做高门店知识库黏性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4. 架构层面待 ODM 确认（汇总）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93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确认项</w:t>
            </w:r>
          </w:p>
        </w:tc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关联卷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Q1</w:t>
            </w:r>
          </w:p>
        </w:tc>
        <w:tc>
          <w:tcPr>
            <w:tcW w:type="dxa" w:w="93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R818 RAM/Flash/eMMC配置 + 音频SDK + WebSocket/HTTP2支持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卷二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Q2</w:t>
            </w:r>
          </w:p>
        </w:tc>
        <w:tc>
          <w:tcPr>
            <w:tcW w:type="dxa" w:w="93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TTS打断端侧本地实现路径，≤100ms可达性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卷二/五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Q3</w:t>
            </w:r>
          </w:p>
        </w:tc>
        <w:tc>
          <w:tcPr>
            <w:tcW w:type="dxa" w:w="93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双麦Beamforming能力、麦间距与开孔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卷二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Q4</w:t>
            </w:r>
          </w:p>
        </w:tc>
        <w:tc>
          <w:tcPr>
            <w:tcW w:type="dxa" w:w="93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墨水屏柔性基材供应商、尺寸、200ms局刷LUT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卷二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Q5</w:t>
            </w:r>
          </w:p>
        </w:tc>
        <w:tc>
          <w:tcPr>
            <w:tcW w:type="dxa" w:w="93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16h续航功耗模型(分项)与样机实测方案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卷二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Q6</w:t>
            </w:r>
          </w:p>
        </w:tc>
        <w:tc>
          <w:tcPr>
            <w:tcW w:type="dxa" w:w="93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Middleware多供应商路由、按客户配置、成本拆分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卷三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Q7</w:t>
            </w:r>
          </w:p>
        </w:tc>
        <w:tc>
          <w:tcPr>
            <w:tcW w:type="dxa" w:w="93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问答安全隔离五道关卡实现、System Prompt约束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卷三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Q8</w:t>
            </w:r>
          </w:p>
        </w:tc>
        <w:tc>
          <w:tcPr>
            <w:tcW w:type="dxa" w:w="93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私有化本地引擎/LLM可用性与部署方式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卷三/四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Q9</w:t>
            </w:r>
          </w:p>
        </w:tc>
        <w:tc>
          <w:tcPr>
            <w:tcW w:type="dxa" w:w="93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PTT预留位/天线窗结构与厚度影响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卷二/四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Q10</w:t>
            </w:r>
          </w:p>
        </w:tc>
        <w:tc>
          <w:tcPr>
            <w:tcW w:type="dxa" w:w="93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双模式单台云API成本测算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卷三/四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5. 文档系列回顾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卷</w:t>
            </w:r>
          </w:p>
        </w:tc>
        <w:tc>
          <w:tcPr>
            <w:tcW w:type="dxa" w:w="93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核心产出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一 总览</w:t>
            </w:r>
          </w:p>
        </w:tc>
        <w:tc>
          <w:tcPr>
            <w:tcW w:type="dxa" w:w="93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理念/原则/全景图/能力抽象层/文档地图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二 端侧</w:t>
            </w:r>
          </w:p>
        </w:tc>
        <w:tc>
          <w:tcPr>
            <w:tcW w:type="dxa" w:w="93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模块/会话状态机/TTS本地打断/按键/低功耗/硬件预留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三 云端</w:t>
            </w:r>
          </w:p>
        </w:tc>
        <w:tc>
          <w:tcPr>
            <w:tcW w:type="dxa" w:w="93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双链路/LID降级/问答五关卡安全隔离/能力抽象/成本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四 部署</w:t>
            </w:r>
          </w:p>
        </w:tc>
        <w:tc>
          <w:tcPr>
            <w:tcW w:type="dxa" w:w="93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私有化vs SaaS/能力抽象层/数据驻留合规/计费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五 接口</w:t>
            </w:r>
          </w:p>
        </w:tc>
        <w:tc>
          <w:tcPr>
            <w:tcW w:type="dxa" w:w="93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音频流协议/双链路数据流/TTS打断时序/错误码/配置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六 决策</w:t>
            </w:r>
          </w:p>
        </w:tc>
        <w:tc>
          <w:tcPr>
            <w:tcW w:type="dxa" w:w="93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取舍逻辑/Agent预留/风险/待确认(本卷)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