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space="4" w:color="0B3D66"/>
        </w:pBdr>
      </w:pPr>
      <w:r>
        <w:rPr>
          <w:rFonts w:ascii="PingFang SC" w:hAnsi="PingFang SC" w:eastAsia="PingFang SC"/>
          <w:b/>
          <w:color w:val="0B3D66"/>
          <w:sz w:val="40"/>
        </w:rPr>
        <w:t>AI 工牌 1.0 技术架构 · 卷四：双形态部署架构</w:t>
      </w:r>
    </w:p>
    <w:p>
      <w:r>
        <w:rPr>
          <w:rFonts w:ascii="PingFang SC" w:hAnsi="PingFang SC" w:eastAsia="PingFang SC"/>
          <w:b w:val="0"/>
          <w:color w:val="555555"/>
          <w:sz w:val="18"/>
        </w:rPr>
        <w:t>系列文档第四卷。本卷描述私有化部署与 SaaS 两种形态如何用同一套架构实现，含数据驻留合规与计费。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定位：架构/商务/管理层决策依据。深度：详细。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版本 v1.0 ｜ 维护人 ________ ｜ 上游：卷一总览、卷三Middleware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A7A2F"/>
          <w:left w:val="single" w:sz="8" w:space="0" w:color="0A7A2F"/>
          <w:bottom w:val="single" w:sz="8" w:space="0" w:color="0A7A2F"/>
          <w:right w:val="single" w:sz="8" w:space="0" w:color="0A7A2F"/>
          <w:insideH w:val="single" w:sz="8" w:space="0" w:color="0A7A2F"/>
          <w:insideV w:val="single" w:sz="8" w:space="0" w:color="0A7A2F"/>
        </w:tblBorders>
      </w:tblPr>
      <w:tblGrid>
        <w:gridCol w:w="10224"/>
      </w:tblGrid>
      <w:tr>
        <w:tc>
          <w:tcPr>
            <w:tcW w:type="dxa" w:w="10224"/>
            <w:shd w:val="clear" w:color="auto" w:fill="E8F6EC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核心命题：</w:t>
            </w:r>
            <w:r>
              <w:rPr>
                <w:rFonts w:ascii="PingFang SC" w:hAnsi="PingFang SC" w:eastAsia="PingFang SC"/>
                <w:b/>
                <w:color w:val="0A7A2F"/>
                <w:sz w:val="20"/>
              </w:rPr>
              <w:t>同一架构、同一固件、同一代码库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，靠"能力抽象层 + 部署开关 + 端点配置"支持两种部署形态。维护成本最低，且形态本身成为面向日本市场的</w:t>
            </w:r>
            <w:r>
              <w:rPr>
                <w:rFonts w:ascii="PingFang SC" w:hAnsi="PingFang SC" w:eastAsia="PingFang SC"/>
                <w:b/>
                <w:color w:val="0A7A2F"/>
                <w:sz w:val="20"/>
              </w:rPr>
              <w:t>合规卖点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1. 两形态定位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50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方案一：全私有化部署</w:t>
            </w:r>
          </w:p>
        </w:tc>
        <w:tc>
          <w:tcPr>
            <w:tcW w:type="dxa" w:w="50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方案二：SaaS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目标客户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注重隐私/数据安全(大型连锁、政府/金融关联酒店)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日本市场一般客户，轻量快接入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AI能力来源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本地部署ASR/MT/TTS + 本地LLM/向量库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第三方API(日本/国际优先，中国厂商备选)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数据驻留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完全在客户机房/私有云，音频不出域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可驻留日本/亚太区域，合规友好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Middleware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部署在客户环境，单租户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我方云，多租户(门店/客户隔离)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计费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License + 部署/维护费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订阅/按量(对标松下¥20k/月)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更新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客户侧OTA/版本管理，较慢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我方云端统一升级，快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销售周期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长(含合规评审/部署)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短(开通即用)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2. 同一架构如何支持双形态</w:t>
      </w:r>
    </w:p>
    <w:p>
      <w:r>
        <w:rPr>
          <w:rFonts w:ascii="PingFang SC" w:hAnsi="PingFang SC" w:eastAsia="PingFang SC"/>
          <w:b w:val="0"/>
          <w:color w:val="1A1A1A"/>
          <w:sz w:val="21"/>
        </w:rPr>
        <w:t>关键是能力抽象层(Provider Abstraction Layer)把"业务逻辑"与"具体AI能力/部署位置"解耦。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0224"/>
      </w:tblGrid>
      <w:tr>
        <w:tc>
          <w:tcPr>
            <w:tcW w:type="dxa" w:w="10224"/>
            <w:shd w:val="clear" w:color="auto" w:fill="F4F4F4"/>
          </w:tcPr>
          <w:p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业务逻辑层 (会话/LID/安全隔离/路由/兜底)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         ← 两形态完全相同，写一次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┌─────────────────────────────────┐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│   能力抽象接口 (统一) 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│   ASR/MT/TTS/向量/LLM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└───────────────┬─────────────────┘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 ┌─────────────┴─────────────┐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[私有化适配器]                 [SaaS 适配器]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本地引擎/本地LLM/向量库         第三方API(区域可配)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部署于客户环境                  部署于我方云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数据不出域                      数据驻留日本/亚太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部署开关(deploy.mode) + 端点配置 决定走哪条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解耦点</w:t>
            </w:r>
          </w:p>
        </w:tc>
        <w:tc>
          <w:tcPr>
            <w:tcW w:type="dxa" w:w="316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私有化</w:t>
            </w:r>
          </w:p>
        </w:tc>
        <w:tc>
          <w:tcPr>
            <w:tcW w:type="dxa" w:w="316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SaaS</w:t>
            </w:r>
          </w:p>
        </w:tc>
        <w:tc>
          <w:tcPr>
            <w:tcW w:type="dxa" w:w="316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实现方式</w:t>
            </w:r>
          </w:p>
        </w:tc>
      </w:tr>
      <w:tr>
        <w:tc>
          <w:tcPr>
            <w:tcW w:type="dxa" w:w="201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AI能力</w:t>
            </w:r>
          </w:p>
        </w:tc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本地引擎适配器</w:t>
            </w:r>
          </w:p>
        </w:tc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第三方API适配器</w:t>
            </w:r>
          </w:p>
        </w:tc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能力抽象层切适配器</w:t>
            </w:r>
          </w:p>
        </w:tc>
      </w:tr>
      <w:tr>
        <w:tc>
          <w:tcPr>
            <w:tcW w:type="dxa" w:w="201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部署位置</w:t>
            </w:r>
          </w:p>
        </w:tc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客户环境</w:t>
            </w:r>
          </w:p>
        </w:tc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我方云</w:t>
            </w:r>
          </w:p>
        </w:tc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部署开关deploy.mode</w:t>
            </w:r>
          </w:p>
        </w:tc>
      </w:tr>
      <w:tr>
        <w:tc>
          <w:tcPr>
            <w:tcW w:type="dxa" w:w="201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租户</w:t>
            </w:r>
          </w:p>
        </w:tc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单租户</w:t>
            </w:r>
          </w:p>
        </w:tc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多租户</w:t>
            </w:r>
          </w:p>
        </w:tc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同代码，配置启用隔离</w:t>
            </w:r>
          </w:p>
        </w:tc>
      </w:tr>
      <w:tr>
        <w:tc>
          <w:tcPr>
            <w:tcW w:type="dxa" w:w="201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端侧指向</w:t>
            </w:r>
          </w:p>
        </w:tc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客户内网Middleware</w:t>
            </w:r>
          </w:p>
        </w:tc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我方云Middleware</w:t>
            </w:r>
          </w:p>
        </w:tc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云端下发endpoint配置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3. 部署拓扑</w:t>
      </w:r>
    </w:p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3.1 私有化拓扑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0224"/>
      </w:tblGrid>
      <w:tr>
        <w:tc>
          <w:tcPr>
            <w:tcW w:type="dxa" w:w="10224"/>
            <w:shd w:val="clear" w:color="auto" w:fill="F4F4F4"/>
          </w:tcPr>
          <w:p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[客户机房 / 客户私有云]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┌─────────────────────────────────────┐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│  Middleware(单租户)       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│  + 本地ASR/MT/TTS引擎      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│  + 本地LLM + 向量库        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│  + 管理后台 + 知识库        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└──────────────┬──────────────────────┘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        │ 客户内网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[AI工牌] × N (endpoint=客户内网)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数据全程不出客户环境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3.2 SaaS 拓扑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0224"/>
      </w:tblGrid>
      <w:tr>
        <w:tc>
          <w:tcPr>
            <w:tcW w:type="dxa" w:w="10224"/>
            <w:shd w:val="clear" w:color="auto" w:fill="F4F4F4"/>
          </w:tcPr>
          <w:p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[我方云 · 日本/亚太区域]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┌─────────────────────────────────────┐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│  Middleware(多租户, 门店/客户隔离)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│  能力抽象层 → 第三方API适配器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└──────┬───────────────────┬──────────┘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│       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[第三方API]          [AI工牌]×N(多客户)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Google东京区/讯飞..   endpoint=我方云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数据驻留日本/亚太，按租户隔离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4. 数据驻留与日本合规（关键卖点）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A7A2F"/>
          <w:left w:val="single" w:sz="8" w:space="0" w:color="0A7A2F"/>
          <w:bottom w:val="single" w:sz="8" w:space="0" w:color="0A7A2F"/>
          <w:right w:val="single" w:sz="8" w:space="0" w:color="0A7A2F"/>
          <w:insideH w:val="single" w:sz="8" w:space="0" w:color="0A7A2F"/>
          <w:insideV w:val="single" w:sz="8" w:space="0" w:color="0A7A2F"/>
        </w:tblBorders>
      </w:tblPr>
      <w:tblGrid>
        <w:gridCol w:w="10224"/>
      </w:tblGrid>
      <w:tr>
        <w:tc>
          <w:tcPr>
            <w:tcW w:type="dxa" w:w="10224"/>
            <w:shd w:val="clear" w:color="auto" w:fill="E8F6EC"/>
          </w:tcPr>
          <w:p>
            <w:r>
              <w:rPr>
                <w:rFonts w:ascii="PingFang SC" w:hAnsi="PingFang SC" w:eastAsia="PingFang SC"/>
                <w:b/>
                <w:color w:val="A30000"/>
                <w:sz w:val="20"/>
              </w:rPr>
              <w:t>日本客户对个人信息保护(APPI)高度敏感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，酒店/免税店涉及客人对话。两形态都要能回答客户法务的"数据去哪了"。这是 B 端能否签约的关键。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关注点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私有化</w:t>
            </w:r>
          </w:p>
        </w:tc>
        <w:tc>
          <w:tcPr>
            <w:tcW w:type="dxa" w:w="532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SaaS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音频/文本去向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不出客户环境</w:t>
            </w:r>
          </w:p>
        </w:tc>
        <w:tc>
          <w:tcPr>
            <w:tcW w:type="dxa" w:w="53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经第三方API，区域可配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合规话术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"数据全程在贵司环境，不出域"</w:t>
            </w:r>
          </w:p>
        </w:tc>
        <w:tc>
          <w:tcPr>
            <w:tcW w:type="dxa" w:w="53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"数据驻留日本/亚太，不出境"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供应商风险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无第三方依赖</w:t>
            </w:r>
          </w:p>
        </w:tc>
        <w:tc>
          <w:tcPr>
            <w:tcW w:type="dxa" w:w="5328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优先Google(东京区)等，中国厂商作备选并明示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APPI适配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客户自管</w:t>
            </w:r>
          </w:p>
        </w:tc>
        <w:tc>
          <w:tcPr>
            <w:tcW w:type="dxa" w:w="53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我方承担处理者责任，需DPA/区域承诺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日志脱敏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本地脱敏</w:t>
            </w:r>
          </w:p>
        </w:tc>
        <w:tc>
          <w:tcPr>
            <w:tcW w:type="dxa" w:w="53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云端脱敏+租户隔离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0B000"/>
          <w:left w:val="single" w:sz="8" w:space="0" w:color="E0B000"/>
          <w:bottom w:val="single" w:sz="8" w:space="0" w:color="E0B000"/>
          <w:right w:val="single" w:sz="8" w:space="0" w:color="E0B000"/>
          <w:insideH w:val="single" w:sz="8" w:space="0" w:color="E0B000"/>
          <w:insideV w:val="single" w:sz="8" w:space="0" w:color="E0B000"/>
        </w:tblBorders>
      </w:tblPr>
      <w:tblGrid>
        <w:gridCol w:w="10224"/>
      </w:tblGrid>
      <w:tr>
        <w:tc>
          <w:tcPr>
            <w:tcW w:type="dxa" w:w="10224"/>
            <w:shd w:val="clear" w:color="auto" w:fill="FFF7E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供应商选择策略(已定)：SaaS 面向日本，</w:t>
            </w:r>
            <w:r>
              <w:rPr>
                <w:rFonts w:ascii="PingFang SC" w:hAnsi="PingFang SC" w:eastAsia="PingFang SC"/>
                <w:b/>
                <w:color w:val="0A7A2F"/>
                <w:sz w:val="20"/>
              </w:rPr>
              <w:t>日本/国际供应商优先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(如 Google Cloud 东京区)，中国厂商(讯飞/火山)作备选且对客户明示。"音频可驻留日本、不出境"本身是销售卖点。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5. 端侧的形态无关性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59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</w:t>
            </w:r>
          </w:p>
        </w:tc>
        <w:tc>
          <w:tcPr>
            <w:tcW w:type="dxa" w:w="892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一种硬件</w:t>
            </w:r>
          </w:p>
        </w:tc>
        <w:tc>
          <w:tcPr>
            <w:tcW w:type="dxa" w:w="89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私有化/SaaS共用同一硬件，量产不分版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一种固件</w:t>
            </w:r>
          </w:p>
        </w:tc>
        <w:tc>
          <w:tcPr>
            <w:tcW w:type="dxa" w:w="89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固件通用，靠云端下发endpoint区分指向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endpoint配置</w:t>
            </w:r>
          </w:p>
        </w:tc>
        <w:tc>
          <w:tcPr>
            <w:tcW w:type="dxa" w:w="89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私有化指向客户内网Middleware，SaaS指向我方云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鉴权通用</w:t>
            </w:r>
          </w:p>
        </w:tc>
        <w:tc>
          <w:tcPr>
            <w:tcW w:type="dxa" w:w="89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device_id+token+fw_version机制两形态一致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0B000"/>
          <w:left w:val="single" w:sz="8" w:space="0" w:color="E0B000"/>
          <w:bottom w:val="single" w:sz="8" w:space="0" w:color="E0B000"/>
          <w:right w:val="single" w:sz="8" w:space="0" w:color="E0B000"/>
          <w:insideH w:val="single" w:sz="8" w:space="0" w:color="E0B000"/>
          <w:insideV w:val="single" w:sz="8" w:space="0" w:color="E0B000"/>
        </w:tblBorders>
      </w:tblPr>
      <w:tblGrid>
        <w:gridCol w:w="10224"/>
      </w:tblGrid>
      <w:tr>
        <w:tc>
          <w:tcPr>
            <w:tcW w:type="dxa" w:w="10224"/>
            <w:shd w:val="clear" w:color="auto" w:fill="FFF7E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量产意义：一种硬件+一种固件+两种部署，避免为两形态做两版库存与产线，大幅降低量产复杂度。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6. 计费模型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形态</w:t>
            </w:r>
          </w:p>
        </w:tc>
        <w:tc>
          <w:tcPr>
            <w:tcW w:type="dxa" w:w="316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计费方式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成本构成</w:t>
            </w:r>
          </w:p>
        </w:tc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参考</w:t>
            </w:r>
          </w:p>
        </w:tc>
      </w:tr>
      <w:tr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私有化</w:t>
            </w:r>
          </w:p>
        </w:tc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License + 部署/维护费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一次性软件授权+实施+年维护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面向高预算合规客户</w:t>
            </w:r>
          </w:p>
        </w:tc>
      </w:tr>
      <w:tr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SaaS</w:t>
            </w:r>
          </w:p>
        </w:tc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订阅/按量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月费摊销第三方API成本+平台</w:t>
            </w:r>
          </w:p>
        </w:tc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对标松下¥20k/月·3年</w:t>
            </w:r>
          </w:p>
        </w:tc>
      </w:tr>
    </w:tbl>
    <w:p/>
    <w:p>
      <w:r>
        <w:rPr>
          <w:rFonts w:ascii="PingFang SC" w:hAnsi="PingFang SC" w:eastAsia="PingFang SC"/>
          <w:b w:val="0"/>
          <w:color w:val="1A1A1A"/>
          <w:sz w:val="21"/>
        </w:rPr>
        <w:t>SaaS 定价须由路线图 B1 单台云API成本模型支撑——双模式(翻译+问答)高频调用下月费须覆盖API成本并盈利。</w:t>
      </w:r>
    </w:p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7. 部署形态决策与验收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7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2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目标/判据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同一代码库</w:t>
            </w:r>
          </w:p>
        </w:tc>
        <w:tc>
          <w:tcPr>
            <w:tcW w:type="dxa" w:w="72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私有化/SaaS共用，靠配置/开关切换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能力抽象层</w:t>
            </w:r>
          </w:p>
        </w:tc>
        <w:tc>
          <w:tcPr>
            <w:tcW w:type="dxa" w:w="72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AI能力可换适配器，不改业务逻辑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一种固件</w:t>
            </w:r>
          </w:p>
        </w:tc>
        <w:tc>
          <w:tcPr>
            <w:tcW w:type="dxa" w:w="72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端侧靠endpoint配置区分，不出两版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数据驻留</w:t>
            </w:r>
          </w:p>
        </w:tc>
        <w:tc>
          <w:tcPr>
            <w:tcW w:type="dxa" w:w="72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私有化不出域；SaaS可指定日本/亚太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多租户隔离</w:t>
            </w:r>
          </w:p>
        </w:tc>
        <w:tc>
          <w:tcPr>
            <w:tcW w:type="dxa" w:w="72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SaaS下门店/客户数据严格隔离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供应商合规</w:t>
            </w:r>
          </w:p>
        </w:tc>
        <w:tc>
          <w:tcPr>
            <w:tcW w:type="dxa" w:w="72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SaaS默认日本/国际供应商，中国厂商可选并明示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