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DDFE9">
      <w:pPr>
        <w:ind w:firstLine="683" w:firstLineChars="200"/>
        <w:rPr>
          <w:rFonts w:hint="default" w:asciiTheme="minorAscii" w:hAnsiTheme="minorAscii" w:eastAsiaTheme="minorEastAsia"/>
          <w:b/>
          <w:sz w:val="34"/>
          <w:szCs w:val="34"/>
        </w:rPr>
      </w:pPr>
      <w:bookmarkStart w:id="0" w:name="_GoBack"/>
      <w:bookmarkEnd w:id="0"/>
      <w:r>
        <w:rPr>
          <w:rFonts w:hint="default" w:asciiTheme="minorAscii" w:hAnsiTheme="minorAscii" w:eastAsiaTheme="minorEastAsia"/>
          <w:b/>
          <w:sz w:val="34"/>
          <w:szCs w:val="34"/>
        </w:rPr>
        <w:t>7/24 AI 智能工牌（ V1.0） ODM开发合同</w:t>
      </w:r>
    </w:p>
    <w:p w14:paraId="1ED2B4D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甲方（委托方）：深圳市尼采云科技有限公司</w:t>
      </w:r>
    </w:p>
    <w:p w14:paraId="4BF9740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乙方（开发方/ODM）：深圳市贸人科技有限公司</w:t>
      </w:r>
    </w:p>
    <w:p w14:paraId="0276A98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签署地点：中国 · 深圳</w:t>
      </w:r>
    </w:p>
    <w:p w14:paraId="4174262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签署日期：2026 年 ___ 月 ___ 日</w:t>
      </w:r>
    </w:p>
    <w:p w14:paraId="765BBCA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鉴于甲方拥有“7/24 AI 智能工牌”产品的业务架构、云端 AI 中台与市场渠道，乙方具备硬件设计、声学调校、系统固件与生产制造能力，双方本着合作共赢的原则，就该产品的端侧开发、样机交付与量产采购达成如下协议：</w:t>
      </w:r>
    </w:p>
    <w:p w14:paraId="0CA18DB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第一条 合作项目与技术架构基线</w:t>
      </w:r>
    </w:p>
    <w:p w14:paraId="23BB4D5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1.1 项目名称：7/24 AI 智能工牌 V1.0（代号：7/24 AI Smart Badge）。</w:t>
      </w:r>
    </w:p>
    <w:p w14:paraId="2BDD950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1.2 硬件架构基线：产品必须严格采用 ESP32-P4（应用主控） + ESP32-C5（Wi-Fi 6 双频通信协处理器） + Knowles IA8201（四麦音频 DSP） 的分布式三芯片架构。未经甲方书面许可，乙方不得擅自变更架构或降低芯片职责。</w:t>
      </w:r>
    </w:p>
    <w:p w14:paraId="6778CEC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1.3 核心功能定义：整机须具备四麦克风阵列（员工近场与游客中远场物理/数字隔离）、15° 向上物理开孔、独立封闭声腔、150Hz 抗摩擦高通滤波、彩屏低频显示、实体按键交互、3.5mm 美规（CTIA）纯音频输出与耳麦接口及预录音防切头机制。</w:t>
      </w:r>
    </w:p>
    <w:p w14:paraId="48348D7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1.4 合同附件效力：附件一《AI 工牌 1.0 产品需求文档（PRD）》与附件二《AI 工牌 1.0 ODM 端侧开发范围及交付清单》为本合同不可分割的组成部分，与本合同正文具备同等法律效力。</w:t>
      </w:r>
    </w:p>
    <w:p w14:paraId="5948907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第二条 乙方开发范围与质量标准</w:t>
      </w:r>
    </w:p>
    <w:p w14:paraId="480B1EF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2.1 端侧全包责任：乙方负责整机原理图、PCB Layout、结构与 DFM 设计、模具开发、声学与 DSP 调音、ESP32-P4/C5 固件及 IA8201 参数开发、双频 Wi-Fi 射频、3.5mm 外设音频路由、端云 WSS 协议适配、产测治具（ATE）开发及日本市场认证配合。</w:t>
      </w:r>
    </w:p>
    <w:p w14:paraId="40A5F0E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2.2 声学与双通道隔离指标：</w:t>
      </w:r>
    </w:p>
    <w:p w14:paraId="3EDD430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• 员工通道（近场 0.3-0.5m）与游客通道（中远场 1.5-2.0m）通道隔离度</w:t>
      </w:r>
      <w:r>
        <w:rPr>
          <w:rFonts w:hint="eastAsia"/>
          <w:lang w:eastAsia="zh-CN"/>
        </w:rPr>
        <w:t>≥</w:t>
      </w:r>
      <w:r>
        <w:rPr>
          <w:rFonts w:hint="eastAsia"/>
        </w:rPr>
        <w:t xml:space="preserve"> 18</w:t>
      </w:r>
      <w:r>
        <w:rPr>
          <w:rFonts w:hint="eastAsia"/>
          <w:lang w:eastAsia="zh-CN"/>
        </w:rPr>
        <w:t>dB</w:t>
      </w:r>
      <w:r>
        <w:rPr>
          <w:rFonts w:hint="default" w:asciiTheme="minorAscii" w:hAnsiTheme="minorAscii" w:eastAsiaTheme="minorEastAsia"/>
          <w:sz w:val="21"/>
          <w:szCs w:val="21"/>
        </w:rPr>
        <w:t>；</w:t>
      </w:r>
    </w:p>
    <w:p w14:paraId="71D36FB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• 稳态回声消除能</w:t>
      </w:r>
      <w:r>
        <w:rPr>
          <w:rFonts w:hint="eastAsia"/>
        </w:rPr>
        <w:t>ERLE</w:t>
      </w:r>
      <w:r>
        <w:rPr>
          <w:rFonts w:hint="eastAsia"/>
          <w:lang w:eastAsia="zh-CN"/>
        </w:rPr>
        <w:t>≥</w:t>
      </w:r>
      <w:r>
        <w:rPr>
          <w:rFonts w:hint="eastAsia"/>
        </w:rPr>
        <w:t>30</w:t>
      </w:r>
      <w:r>
        <w:rPr>
          <w:rFonts w:hint="eastAsia"/>
          <w:lang w:eastAsia="zh-CN"/>
        </w:rPr>
        <w:t>dB</w:t>
      </w:r>
      <w:r>
        <w:rPr>
          <w:rFonts w:hint="default" w:asciiTheme="minorAscii" w:hAnsiTheme="minorAscii" w:eastAsiaTheme="minorEastAsia"/>
          <w:sz w:val="21"/>
          <w:szCs w:val="21"/>
        </w:rPr>
        <w:t>，最大音量播放下全双工打断响应时间</w:t>
      </w:r>
      <w:r>
        <w:rPr>
          <w:rFonts w:hint="eastAsia"/>
          <w:lang w:eastAsia="zh-CN"/>
        </w:rPr>
        <w:t>≤</w:t>
      </w:r>
      <w:r>
        <w:rPr>
          <w:rFonts w:hint="eastAsia"/>
        </w:rPr>
        <w:t xml:space="preserve"> 500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ms</w:t>
      </w:r>
      <w:r>
        <w:rPr>
          <w:rFonts w:hint="default" w:asciiTheme="minorAscii" w:hAnsiTheme="minorAscii" w:eastAsiaTheme="minorEastAsia"/>
          <w:sz w:val="21"/>
          <w:szCs w:val="21"/>
        </w:rPr>
        <w:t>。</w:t>
      </w:r>
    </w:p>
    <w:p w14:paraId="7CBA033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2.3 有线耳麦（双通道隔离指标未达标时，近场拾音兜底）：</w:t>
      </w:r>
    </w:p>
    <w:p w14:paraId="5B0B473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• 耳机接入时，执行非对称路由（游客译文/员工 KB 入耳；员工译文/游客 KB 出 Speaker）；</w:t>
      </w:r>
    </w:p>
    <w:p w14:paraId="5A099F2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2.4 续航与温升刚性限制：内置电池须满足连续翻译</w:t>
      </w:r>
      <w:r>
        <w:rPr>
          <w:rFonts w:hint="eastAsia"/>
          <w:lang w:eastAsia="zh-CN"/>
        </w:rPr>
        <w:t>≥</w:t>
      </w:r>
      <w:r>
        <w:rPr>
          <w:rFonts w:hint="eastAsia"/>
        </w:rPr>
        <w:t xml:space="preserve"> 4小时</w:t>
      </w:r>
      <w:r>
        <w:rPr>
          <w:rFonts w:hint="default" w:asciiTheme="minorAscii" w:hAnsiTheme="minorAscii" w:eastAsiaTheme="minorEastAsia"/>
          <w:sz w:val="21"/>
          <w:szCs w:val="21"/>
        </w:rPr>
        <w:t>，间歇使用</w:t>
      </w:r>
      <w:r>
        <w:rPr>
          <w:rFonts w:hint="eastAsia"/>
          <w:lang w:eastAsia="zh-CN"/>
        </w:rPr>
        <w:t>≥</w:t>
      </w:r>
      <w:r>
        <w:rPr>
          <w:rFonts w:hint="eastAsia"/>
        </w:rPr>
        <w:t xml:space="preserve"> 8小时</w:t>
      </w:r>
      <w:r>
        <w:rPr>
          <w:rFonts w:hint="default" w:asciiTheme="minorAscii" w:hAnsiTheme="minorAscii" w:eastAsiaTheme="minorEastAsia"/>
          <w:sz w:val="21"/>
          <w:szCs w:val="21"/>
        </w:rPr>
        <w:t>；整机高负荷下外壳温升严禁超过</w:t>
      </w:r>
      <w:r>
        <w:rPr>
          <w:rFonts w:hint="eastAsia"/>
        </w:rPr>
        <w:t>45</w:t>
      </w:r>
      <w:r>
        <w:rPr>
          <w:rFonts w:hint="eastAsia"/>
          <w:lang w:val="en-US" w:eastAsia="zh-CN"/>
        </w:rPr>
        <w:t>°</w:t>
      </w:r>
      <w:r>
        <w:rPr>
          <w:rFonts w:hint="default" w:asciiTheme="minorAscii" w:hAnsiTheme="minorAscii" w:eastAsiaTheme="minorEastAsia"/>
          <w:sz w:val="21"/>
          <w:szCs w:val="21"/>
        </w:rPr>
        <w:t>，不影响安全佩戴。</w:t>
      </w:r>
    </w:p>
    <w:p w14:paraId="1D86FDE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第三条 项目里程碑与开发费用（NRE）</w:t>
      </w:r>
    </w:p>
    <w:p w14:paraId="21B1978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3.1 开发与开模总费用：本项目含税总费用为人民币 18万元（其中 NRE 10万元、模具开模费 6万元、结构设计费 2万元）。上述全部费用按第 3.2 条约定的阶段支付节点统一平摊支付。</w:t>
      </w:r>
    </w:p>
    <w:p w14:paraId="49C5505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3.2 阶段支付节点与前置条件：</w:t>
      </w:r>
    </w:p>
    <w:p w14:paraId="250F8B2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• 首期款（50%，即 9万元）：本合同签署且双方完成《需求与方案冻结》后 5 个工作日内支付；</w:t>
      </w:r>
    </w:p>
    <w:p w14:paraId="1D7605A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• EVT、DVT阶段款（20%，即 3.6万元）：乙方交付符合预期的 EVT 样机，跑通三芯片通信、双频 Wi-Fi、音频流上传及指定 3.5mm 耳机 demo，完成 DVT 样机优化、通过声学/可靠性/长稳/温升测试报告及联调并通过甲方验收后 5 个工作日内支付；</w:t>
      </w:r>
    </w:p>
    <w:p w14:paraId="01A61AA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• PVT 尾款（30%，即 5.4万元）：乙方完成小批量试产（</w:t>
      </w:r>
      <w:r>
        <w:rPr>
          <w:rFonts w:hint="eastAsia"/>
        </w:rPr>
        <w:t xml:space="preserve">良率 </w:t>
      </w:r>
      <w:r>
        <w:rPr>
          <w:rFonts w:hint="eastAsia"/>
          <w:lang w:eastAsia="zh-CN"/>
        </w:rPr>
        <w:t>≥</w:t>
      </w:r>
      <w:r>
        <w:rPr>
          <w:rFonts w:hint="eastAsia"/>
        </w:rPr>
        <w:t xml:space="preserve"> 98%</w:t>
      </w:r>
      <w:r>
        <w:rPr>
          <w:rFonts w:hint="default" w:asciiTheme="minorAscii" w:hAnsiTheme="minorAscii" w:eastAsiaTheme="minorEastAsia"/>
          <w:sz w:val="21"/>
          <w:szCs w:val="21"/>
        </w:rPr>
        <w:t>）、交付全部第三条 3.3 款约定之完整源码与工程文件，并完成封样后 5 个工作日内结清。</w:t>
      </w:r>
    </w:p>
    <w:p w14:paraId="506769E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3.3 技术主权与交付物清单（尾款结算必要条件）：乙方须无条件交付：</w:t>
      </w:r>
    </w:p>
    <w:p w14:paraId="7F9DA5B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1. 完整可编辑原理图、Gerber、BOM 及 3D/2D 结构文件；</w:t>
      </w:r>
    </w:p>
    <w:p w14:paraId="2A77937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2. ESP32-P4 与 ESP32-C5 无加密、可独立编译的 Git 完整固件源代码；</w:t>
      </w:r>
    </w:p>
    <w:p w14:paraId="40EC777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3. Knowles IA8201 DSP 原生调参工程原文件（Audio Tuning Project）与 .bin/.fw 配置文件；</w:t>
      </w:r>
    </w:p>
    <w:p w14:paraId="2AC7300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4. ATE 产测工具源码/脚本、多模块 OTA 升级包及《版本兼容矩阵清单》。</w:t>
      </w:r>
    </w:p>
    <w:p w14:paraId="10BD697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第四条 硬件 BOM 成本与量产采购</w:t>
      </w:r>
    </w:p>
    <w:p w14:paraId="67800A2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4.1 BOM 成本承诺：双方确认整机首批次量产（3000台）BOM 价格为人民币 230元</w:t>
      </w:r>
      <w:r>
        <w:rPr>
          <w:rFonts w:hint="eastAsia" w:asciiTheme="minorAscii" w:hAnsiTheme="minorAscii"/>
          <w:sz w:val="21"/>
          <w:szCs w:val="21"/>
          <w:lang w:eastAsia="zh-CN"/>
        </w:rPr>
        <w:t>（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>不含税价，税率统一为    %</w:t>
      </w:r>
      <w:r>
        <w:rPr>
          <w:rFonts w:hint="eastAsia" w:asciiTheme="minorAscii" w:hAnsiTheme="minorAscii"/>
          <w:sz w:val="21"/>
          <w:szCs w:val="21"/>
          <w:lang w:eastAsia="zh-CN"/>
        </w:rPr>
        <w:t>）</w:t>
      </w:r>
      <w:r>
        <w:rPr>
          <w:rFonts w:hint="default" w:asciiTheme="minorAscii" w:hAnsiTheme="minorAscii" w:eastAsiaTheme="minorEastAsia"/>
          <w:sz w:val="21"/>
          <w:szCs w:val="21"/>
        </w:rPr>
        <w:t>/台（含三芯片、线路板、声学模组、屏、电池、外壳及 3.5mm 接口加码等）。</w:t>
      </w:r>
    </w:p>
    <w:p w14:paraId="70712C4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4.2 量产单价与阶梯：量产采购单价根据批量另行签署《采购订单（PO）》，订单单价以经甲方认可的最终 BOM 价格核算。</w:t>
      </w:r>
    </w:p>
    <w:p w14:paraId="3C961FC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4.3 云端 API Token 费用支付：乙方须通过 Webhook/API，在翻译完成的同时，将“转写文本”与“音频数据”异步透传至甲方云端服务器。</w:t>
      </w:r>
    </w:p>
    <w:p w14:paraId="06DEC60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设备因使用微软 API/翻译链路 Token 产生的实际费用由乙方支付给微软公司；甲方支付给乙方翻译链路 Token 费用，在设备正常使用期内固定</w:t>
      </w:r>
      <w:r>
        <w:rPr>
          <w:rFonts w:hint="eastAsia" w:asciiTheme="minorAscii" w:hAnsiTheme="minorAscii"/>
          <w:sz w:val="21"/>
          <w:szCs w:val="21"/>
          <w:lang w:eastAsia="zh-CN"/>
        </w:rPr>
        <w:t>总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>费用</w:t>
      </w:r>
      <w:r>
        <w:rPr>
          <w:rFonts w:hint="default" w:asciiTheme="minorAscii" w:hAnsiTheme="minorAscii" w:eastAsiaTheme="minorEastAsia"/>
          <w:sz w:val="21"/>
          <w:szCs w:val="21"/>
        </w:rPr>
        <w:t>为 250元/台/年，甲方扫码激活设备后采取按 12 个月逐月平摊支付的方式结清。</w:t>
      </w:r>
    </w:p>
    <w:p w14:paraId="2EBBB24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第五条 知识产权、保密与数据安全</w:t>
      </w:r>
    </w:p>
    <w:p w14:paraId="4439D89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5.1 知识产权归属：甲方拥有本产品的品牌、外观 ID、业务流程、云端 API、私有 RAG 知识库架构及基于本合同定制开发的端侧应用层代码与 DSP 调参工程的全盘知识产权。乙方享有芯片底层通用驱动之非排他使用权。</w:t>
      </w:r>
    </w:p>
    <w:p w14:paraId="65EA20E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5.2 保密与数据隔离：乙方对项目涉及的所有图纸、代码、接口协议及业务数据负有永久保密义务。端侧固件严禁明文写入甲方云端供应商 API Key 或商业密钥；正式环境固件除最终仲裁音频外，严禁私自留存或上传多路原始语音。</w:t>
      </w:r>
    </w:p>
    <w:p w14:paraId="2079777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第六条 质量保证、违约责任与争议解决</w:t>
      </w:r>
    </w:p>
    <w:p w14:paraId="5BFA5E3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6.1 量产质保期：乙方对其交付的硬件整机及配套外设提供 12 个月 的免费保修质保期，质保期内硬件不良率高于</w:t>
      </w:r>
      <w:r>
        <w:rPr>
          <w:rFonts w:hint="eastAsia"/>
        </w:rPr>
        <w:t xml:space="preserve"> 1%</w:t>
      </w:r>
      <w:r>
        <w:rPr>
          <w:rFonts w:hint="default" w:asciiTheme="minorAscii" w:hAnsiTheme="minorAscii" w:eastAsiaTheme="minorEastAsia"/>
          <w:sz w:val="21"/>
          <w:szCs w:val="21"/>
        </w:rPr>
        <w:t>时，乙方须无偿包换并承担由此产生的物流费用。</w:t>
      </w:r>
    </w:p>
    <w:p w14:paraId="2E46AEF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6.2 违约责任与服务保障：</w:t>
      </w:r>
    </w:p>
    <w:p w14:paraId="19590CD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• 因乙方原因导致里程碑延期超过 10 个工作日，每逾期一日，乙方须向甲方支付该阶段款项 </w:t>
      </w:r>
      <w:r>
        <w:rPr>
          <w:rFonts w:hint="eastAsia"/>
        </w:rPr>
        <w:t>0.5%</w:t>
      </w:r>
      <w:r>
        <w:rPr>
          <w:rFonts w:hint="default" w:asciiTheme="minorAscii" w:hAnsiTheme="minorAscii" w:eastAsiaTheme="minorEastAsia"/>
          <w:sz w:val="21"/>
          <w:szCs w:val="21"/>
        </w:rPr>
        <w:t xml:space="preserve"> 的违约金；延期超过 30 日，甲方有权单方解除合同，乙方须全额退还已收取的开发费用并交付已有阶段成果。</w:t>
      </w:r>
    </w:p>
    <w:p w14:paraId="7E5CF35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• 在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>甲方客户</w:t>
      </w:r>
      <w:r>
        <w:rPr>
          <w:rFonts w:hint="default" w:asciiTheme="minorAscii" w:hAnsiTheme="minorAscii" w:eastAsiaTheme="minorEastAsia"/>
          <w:sz w:val="21"/>
          <w:szCs w:val="21"/>
        </w:rPr>
        <w:t>不能正常使用</w:t>
      </w:r>
      <w:r>
        <w:rPr>
          <w:rFonts w:hint="default" w:asciiTheme="minorAscii" w:hAnsiTheme="minorAscii" w:eastAsiaTheme="minorEastAsia"/>
          <w:sz w:val="21"/>
          <w:szCs w:val="21"/>
        </w:rPr>
        <w:t>设备</w:t>
      </w:r>
      <w:r>
        <w:rPr>
          <w:rFonts w:hint="default" w:asciiTheme="minorAscii" w:hAnsiTheme="minorAscii" w:eastAsiaTheme="minorEastAsia"/>
          <w:sz w:val="21"/>
          <w:szCs w:val="21"/>
        </w:rPr>
        <w:t>期间，双方同意甲方停止缴纳上述翻译链路 Token 使用费；在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>甲方客户</w:t>
      </w:r>
      <w:r>
        <w:rPr>
          <w:rFonts w:hint="default" w:asciiTheme="minorAscii" w:hAnsiTheme="minorAscii" w:eastAsiaTheme="minorEastAsia"/>
          <w:sz w:val="21"/>
          <w:szCs w:val="21"/>
        </w:rPr>
        <w:t>正常使用</w:t>
      </w:r>
      <w:r>
        <w:rPr>
          <w:rFonts w:hint="default" w:asciiTheme="minorAscii" w:hAnsiTheme="minorAscii" w:eastAsiaTheme="minorEastAsia"/>
          <w:sz w:val="21"/>
          <w:szCs w:val="21"/>
        </w:rPr>
        <w:t>设备</w:t>
      </w:r>
      <w:r>
        <w:rPr>
          <w:rFonts w:hint="default" w:asciiTheme="minorAscii" w:hAnsiTheme="minorAscii" w:eastAsiaTheme="minorEastAsia"/>
          <w:sz w:val="21"/>
          <w:szCs w:val="21"/>
        </w:rPr>
        <w:t>期内，在甲方按约支付给乙方翻译链路 Token 费用的情况下，乙方须保障翻译服务质量，同时不得以任何理由停止提供相关服务，否则甲方因此产生以及预期的所有损失由乙方全额赔偿。</w:t>
      </w:r>
    </w:p>
    <w:p w14:paraId="3ED3644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6.3 争议解决：本合同适用中华人民共和国法律。如发生争议，双方应友好协商；协商不成的，均应向甲方所在地（深圳市福田区）有管辖权的人民法院提起诉讼。</w:t>
      </w:r>
    </w:p>
    <w:p w14:paraId="0ED3DA6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第七条 附则</w:t>
      </w:r>
    </w:p>
    <w:p w14:paraId="46F47D1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7.1 本合同一式肆份，甲方执贰份，乙方执贰份，自双方盖章及法定代表人/授权代表签字之日起生效。</w:t>
      </w:r>
    </w:p>
    <w:p w14:paraId="1B32DA2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7.2 合同签署后，双方代表（蒋旭 - 李智彪）通过微信/邮件确认的《需求变更单（ECO）》及《会议纪要》与本合同具有同等法律效力。</w:t>
      </w:r>
    </w:p>
    <w:p w14:paraId="3D6A756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（以下无正文，为签署页）</w:t>
      </w:r>
    </w:p>
    <w:p w14:paraId="1BB1CDD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甲方（盖章）：深圳市尼采云科技有限公司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 xml:space="preserve">  </w:t>
      </w:r>
      <w:r>
        <w:rPr>
          <w:rFonts w:hint="default" w:asciiTheme="minorAscii" w:hAnsiTheme="minorAscii" w:eastAsiaTheme="minorEastAsia"/>
          <w:sz w:val="21"/>
          <w:szCs w:val="21"/>
        </w:rPr>
        <w:t>授权代表（签字）：__________________</w:t>
      </w:r>
    </w:p>
    <w:p w14:paraId="2DF69B9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日期：2026 年 ___ 月 ___ 日</w:t>
      </w:r>
    </w:p>
    <w:p w14:paraId="4A8F75F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乙方（盖章）：深圳市贸人科技有限公司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 xml:space="preserve">    </w:t>
      </w:r>
      <w:r>
        <w:rPr>
          <w:rFonts w:hint="default" w:asciiTheme="minorAscii" w:hAnsiTheme="minorAscii" w:eastAsiaTheme="minorEastAsia"/>
          <w:sz w:val="21"/>
          <w:szCs w:val="21"/>
        </w:rPr>
        <w:t>授权代表（签字）：__________________</w:t>
      </w:r>
    </w:p>
    <w:p w14:paraId="5D470B7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日期：2026 年 ___ 月 ___ 日</w:t>
      </w:r>
    </w:p>
    <w:p w14:paraId="12916920">
      <w:pPr>
        <w:rPr>
          <w:rFonts w:hint="default" w:asciiTheme="minorAscii" w:hAnsiTheme="minorAscii" w:eastAsiaTheme="min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534088"/>
    <w:rsid w:val="0CF462EF"/>
    <w:rsid w:val="3DB54E11"/>
    <w:rsid w:val="48104F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2357</Words>
  <Characters>2905</Characters>
  <Lines>0</Lines>
  <Paragraphs>0</Paragraphs>
  <TotalTime>3</TotalTime>
  <ScaleCrop>false</ScaleCrop>
  <LinksUpToDate>false</LinksUpToDate>
  <CharactersWithSpaces>3127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2026-08-04T19:50:00Z</dcterms:created>
  <dc:creator>iPhone</dc:creator>
  <cp:lastModifiedBy>蒋旭侠客行</cp:lastModifiedBy>
  <dcterms:modified xsi:type="dcterms:W3CDTF">2026-08-04T12:12:18Z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2219F0A5E4360DCB23D2716A959268E7_31</vt:lpwstr>
  </property>
  <property fmtid="{D5CDD505-2E9C-101B-9397-08002B2CF9AE}" pid="4" name="KSOTemplateDocerSaveRecord">
    <vt:lpwstr>eyJoZGlkIjoiYWJkYTA3Yzc3NjBjM2ZhN2RiYTM3MDMxOGIxNDE2YzMiLCJ1c2VySWQiOiIzMDM2MTAzMjMifQ==</vt:lpwstr>
  </property>
</Properties>
</file>