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Configure HR settings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UJ004  |  User acceptance test  |  Version 2.0</w:t>
      </w:r>
    </w:p>
    <w:p>
      <w:pPr>
        <w:spacing w:after="200"/>
      </w:pPr>
      <w:r>
        <w:t>Confirm that HR can set organisation-wide working, leave, sickness, document, leaving and numbering defaults and that validation prevents internally inconsistent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 company with departments, locations and employment types already configured.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Working week and hours; leave-year start; allowance; probation; sickness thresholds; acknowledgement text; notice period; employee and asset number formats.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HR Settings &gt; Working &amp; Leave and save the normal working pattern, leave year and defaults.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settings save and reload correctly.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Configure sickness thresholds and public-holiday treatment.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sickness settings save and reload correctly.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Set the document acknowledgement statement and reminder interval.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document defaults are retained.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Set leaving defaults and the access-disable preference.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leaving settings are retained.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Configure employee and asset numbering.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numbering formats save and display correctly.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UJ004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Configure HR settings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