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Record and manage sickness absence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UJ009  |  User acceptance test  |  Version 2.0</w:t>
      </w:r>
    </w:p>
    <w:p>
      <w:pPr>
        <w:spacing w:after="200"/>
      </w:pPr>
      <w:r>
        <w:t>Confirm that sickness is recorded separately from annual leave, thresholds behave as configured and sensitive absence data is limited to authorised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Administrator, Manager and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employee with a manager and known sickness settings for public holidays, fit notes and return-to-work.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sickness absence with start date, evidence status and return date.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record an open sickness absence for an active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absence appears as active and does not affect annual leave.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Update the evidence or fit-note status where applicable.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selected status is retained.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Close the absence with the employee's return date.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duration is calculated and the record moves to history.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employee's sickness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Dates, duration and status match the completed absence.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sickness reporting.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completed absence is included with the same values.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UJ009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and manage sickness absence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