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Hire or appoint a candidate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UJ017  |  User acceptance test  |  Version 2.0</w:t>
      </w:r>
    </w:p>
    <w:p>
      <w:pPr>
        <w:spacing w:after="200"/>
      </w:pPr>
      <w:r>
        <w:t>Confirm that a recruiter can complete an external hire or internal appointment without being granted broad HR access, and that the correct employee/onboarding consequences are produced.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Recruiter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One external and one internal application are in the eligible pre-hire stage; position profile and onboarding template are complete.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One eligible external application, start date and complete employee/employment details.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an eligible external application and choose Hire.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hire dialog shows the data needed to create the employee.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Complete the employee and start-date details, then confirm.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One employee is created and the application becomes Hired.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the recruitment confirmation and vacancy.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application, vacancy/headcount and employee link reflect the hire.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HR, open the new employee.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employee has the expected position, department, manager and employment details.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the employee's Onboarding tab.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One onboarding instance exists from the position profile template.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UJ017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Hire or appoint a candidate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