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Manage compensation history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UJ021  |  User acceptance test  |  Version 2.0</w:t>
      </w:r>
    </w:p>
    <w:p>
      <w:pPr>
        <w:spacing w:after="200"/>
      </w:pPr>
      <w:r>
        <w:t>Confirm that HR can maintain effective-dated compensation and that employee/manager visibility follows the company display setting without leaking pay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Administrator, Employee and Manager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An active employee and manager; Display salary on employee profile can be toggled in HR Settings.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Current and future compensation entries using synthetic amounts.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HR, add the employee's initial compensation entry.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amount, basis, reason and effective date appear in history.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Add a future-dated compensation change.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future entry is scheduled while the current amount remains active.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Process/reach the effective date.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future entry becomes the current compensation.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employee's compensation history.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original and new entries are ordered and complete.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With salary display enabled, review the permitted employee and manager views.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effective amount matches HR's record on the intended views.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UJ021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 compensation history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