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Review HR settings after live workflows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UJ026  |  User acceptance test  |  Version 2.0</w:t>
      </w:r>
    </w:p>
    <w:p>
      <w:pPr>
        <w:spacing w:after="200"/>
      </w:pPr>
      <w:r>
        <w:t>Confirm that HR settings remain coherent after employee, leave, sickness, document, asset and leaving workflows, and that changing defaults has the intended prospective effect.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Complete representative journeys UJ007-UJ023 so existing records and employee-specific overrides are present.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Current and proposed working/leave, sickness, acknowledgement, notice, access-disable and numbering values.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HR Settings after completing representative employee journeys.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currently effective settings load.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Reconcile leave, sickness, document, leaving and numbering outcomes with their settings.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completed journeys reflect the configured defaults.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Change one prospective default and save it.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new value is retained after refresh.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a new synthetic record that uses the changed default.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new record receives the new default.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an existing record with its prior value.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Existing history remains consistent with the value applied when it was created.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UJ026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HR settings after live workflows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