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UJ008-ManageLeave</w:t>
      </w:r>
    </w:p>
    <w:p>
      <w:pPr>
        <w:pStyle w:val="Heading2"/>
      </w:pPr>
      <w:r>
        <w:t>Purpose</w:t>
      </w:r>
    </w:p>
    <w:p>
      <w:r>
        <w:t>Ensure leave is simple to request, approve and understand.</w:t>
      </w:r>
    </w:p>
    <w:p>
      <w:pPr>
        <w:pStyle w:val="Heading2"/>
      </w:pPr>
      <w:r>
        <w:t>Review Guidance</w:t>
      </w:r>
    </w:p>
    <w:p>
      <w:r>
        <w:t>Use the product naturally. Focus on whether each workflow feels obvious, efficient and valuable rather than simply checking that it works.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Request annual leave.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2</w:t>
      </w:r>
    </w:p>
    <w:p>
      <w:r>
        <w:t>Approve or reject as a manager.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3</w:t>
      </w:r>
    </w:p>
    <w:p>
      <w:r>
        <w:t>Review balances.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4</w:t>
      </w:r>
    </w:p>
    <w:p>
      <w:r>
        <w:t>Adjust a balance as HR.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5</w:t>
      </w:r>
    </w:p>
    <w:p>
      <w:r>
        <w:t>Check the employee experience.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Feature ticket?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