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UJ009-ManageSickness</w:t>
      </w:r>
    </w:p>
    <w:p>
      <w:pPr>
        <w:pStyle w:val="Heading2"/>
      </w:pPr>
      <w:r>
        <w:t>Purpose</w:t>
      </w:r>
    </w:p>
    <w:p>
      <w:r>
        <w:t>Record and monitor sickness consistently.</w:t>
      </w:r>
    </w:p>
    <w:p>
      <w:pPr>
        <w:pStyle w:val="Heading2"/>
      </w:pPr>
      <w:r>
        <w:t>Review Guidance</w:t>
      </w:r>
    </w:p>
    <w:p>
      <w:r>
        <w:t>Use the product naturally. Focus on whether each workflow feels obvious, efficient and valuable rather than simply checking that it works.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Log a sickness absence.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2</w:t>
      </w:r>
    </w:p>
    <w:p>
      <w:r>
        <w:t>Update the return date.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3</w:t>
      </w:r>
    </w:p>
    <w:p>
      <w:r>
        <w:t>Review history.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4</w:t>
      </w:r>
    </w:p>
    <w:p>
      <w:r>
        <w:t>Consider reporting needs.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frustration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Feature ticket?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