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UJ018-NewStarterOnboarding</w:t>
      </w:r>
    </w:p>
    <w:p>
      <w:pPr>
        <w:pStyle w:val="Heading2"/>
      </w:pPr>
      <w:r>
        <w:t>Purpose</w:t>
      </w:r>
    </w:p>
    <w:p>
      <w:r>
        <w:t>Ensure a new employee has everything needed before day one.</w:t>
      </w:r>
    </w:p>
    <w:p>
      <w:pPr>
        <w:pStyle w:val="Heading2"/>
      </w:pPr>
      <w:r>
        <w:t>Review Guidance</w:t>
      </w:r>
    </w:p>
    <w:p>
      <w:r>
        <w:t>Complete this lifecycle process as naturally as possible. Focus on whether the workflow supports HR without requiring unnecessary manual effort.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onboarding tasks.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2</w:t>
      </w:r>
    </w:p>
    <w:p>
      <w:r>
        <w:t>Complete required HR actions.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3</w:t>
      </w:r>
    </w:p>
    <w:p>
      <w:r>
        <w:t>Verify document requests.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4</w:t>
      </w:r>
    </w:p>
    <w:p>
      <w:r>
        <w:t>Confirm readiness for the employee's first day.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risk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Future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