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UJ021-ManageCompensation</w:t>
      </w:r>
    </w:p>
    <w:p>
      <w:pPr>
        <w:pStyle w:val="Heading2"/>
      </w:pPr>
      <w:r>
        <w:t>Purpose</w:t>
      </w:r>
    </w:p>
    <w:p>
      <w:r>
        <w:t>Maintain an accurate compensation history.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current compensation.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Add a future-dated change.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Verify history is preserved.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Check employee visibility.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