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bCs/>
          <w:sz w:val="36"/>
          <w:szCs w:val="36"/>
          <w:rFonts w:ascii="Aptos" w:hAnsi="Aptos" w:eastAsia="宋体"/>
        </w:rPr>
        <w:t xml:space="preserve">国产信创系统列表及对应 CPU 要求汇报</w:t>
      </w:r>
    </w:p>
    <w:p>
      <w:pPr>
        <w:jc w:val="center"/>
      </w:pPr>
      <w:r>
        <w:rPr>
          <w:sz w:val="20"/>
          <w:szCs w:val="20"/>
          <w:rFonts w:ascii="Aptos" w:hAnsi="Aptos" w:eastAsia="宋体"/>
        </w:rPr>
        <w:t xml:space="preserve">生成日期：2026年6月10日</w:t>
      </w:r>
    </w:p>
    <w:p>
      <w:r>
        <w:rPr>
          <w:sz w:val="21"/>
          <w:szCs w:val="21"/>
          <w:rFonts w:ascii="Aptos" w:hAnsi="Aptos" w:eastAsia="宋体"/>
        </w:rPr>
        <w:t xml:space="preserve">说明：本文按公开资料和常见信创落地口径整理。不同系统版本、镜像、整机型号的支持范围可能不同，正式采购与部署应以厂商 HCL、兼容性认证清单及项目测试结果为准。</w:t>
      </w:r>
    </w:p>
    <w:p>
      <w:pPr>
        <w:pStyle w:val="Heading1"/>
      </w:pPr>
      <w:r>
        <w:rPr>
          <w:b/>
          <w:bCs/>
          <w:sz w:val="28"/>
          <w:szCs w:val="28"/>
          <w:rFonts w:ascii="Aptos" w:hAnsi="Aptos" w:eastAsia="宋体"/>
        </w:rPr>
        <w:t xml:space="preserve">一、国产 CPU 平台与系统适配口径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15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国产 CPU</w:t>
            </w:r>
          </w:p>
        </w:tc>
        <w:tc>
          <w:tcPr>
            <w:tcW w:w="20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指令集/架构</w:t>
            </w:r>
          </w:p>
        </w:tc>
        <w:tc>
          <w:tcPr>
            <w:tcW w:w="30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常见代表型号</w:t>
            </w:r>
          </w:p>
        </w:tc>
        <w:tc>
          <w:tcPr>
            <w:tcW w:w="29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系统镜像要求</w:t>
            </w:r>
          </w:p>
        </w:tc>
        <w:tc>
          <w:tcPr>
            <w:tcW w:w="27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典型特点</w:t>
            </w:r>
          </w:p>
        </w:tc>
      </w:tr>
      <w:tr>
        <w:tc>
          <w:tcPr>
            <w:tcW w:w="1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飞腾 Phytium</w:t>
            </w:r>
          </w:p>
        </w:tc>
        <w:tc>
          <w:tcPr>
            <w:tcW w:w="2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ARM64 / AArch64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FT-2000、D2000、S2500、S5000C</w:t>
            </w:r>
          </w:p>
        </w:tc>
        <w:tc>
          <w:tcPr>
            <w:tcW w:w="2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选择 ARM64/AArch64 镜像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政企办公、服务器、行业终端常见</w:t>
            </w:r>
          </w:p>
        </w:tc>
      </w:tr>
      <w:tr>
        <w:tc>
          <w:tcPr>
            <w:tcW w:w="1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鲲鹏 Kunpeng</w:t>
            </w:r>
          </w:p>
        </w:tc>
        <w:tc>
          <w:tcPr>
            <w:tcW w:w="2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ARM64 / AArch64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鲲鹏 920、920 Next</w:t>
            </w:r>
          </w:p>
        </w:tc>
        <w:tc>
          <w:tcPr>
            <w:tcW w:w="2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选择 ARM64/AArch64 镜像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云计算、服务器、华为生态适配强</w:t>
            </w:r>
          </w:p>
        </w:tc>
      </w:tr>
      <w:tr>
        <w:tc>
          <w:tcPr>
            <w:tcW w:w="1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龙芯 Loongson</w:t>
            </w:r>
          </w:p>
        </w:tc>
        <w:tc>
          <w:tcPr>
            <w:tcW w:w="2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LoongArch64；老型号可能为 MIPS64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3A5000、3A6000、3C5000、3D5000、3C6000</w:t>
            </w:r>
          </w:p>
        </w:tc>
        <w:tc>
          <w:tcPr>
            <w:tcW w:w="2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新平台选 LoongArch64；老平台确认 MIPS64/LoongArch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自主指令集程度高，应用需适配或重新编译</w:t>
            </w:r>
          </w:p>
        </w:tc>
      </w:tr>
      <w:tr>
        <w:tc>
          <w:tcPr>
            <w:tcW w:w="1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海光 Hygon</w:t>
            </w:r>
          </w:p>
        </w:tc>
        <w:tc>
          <w:tcPr>
            <w:tcW w:w="2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x86_64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C86、3000/5000/7000、海光 4-6 系</w:t>
            </w:r>
          </w:p>
        </w:tc>
        <w:tc>
          <w:tcPr>
            <w:tcW w:w="2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选择 x86_64 镜像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x86 生态兼容性好，服务器场景多</w:t>
            </w:r>
          </w:p>
        </w:tc>
      </w:tr>
      <w:tr>
        <w:tc>
          <w:tcPr>
            <w:tcW w:w="1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兆芯 Zhaoxin</w:t>
            </w:r>
          </w:p>
        </w:tc>
        <w:tc>
          <w:tcPr>
            <w:tcW w:w="2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x86_64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开先 KX、开胜 KH 系列</w:t>
            </w:r>
          </w:p>
        </w:tc>
        <w:tc>
          <w:tcPr>
            <w:tcW w:w="2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选择 x86_64 镜像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桌面办公、通用服务器兼容性较好</w:t>
            </w:r>
          </w:p>
        </w:tc>
      </w:tr>
      <w:tr>
        <w:tc>
          <w:tcPr>
            <w:tcW w:w="1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申威 Sunway</w:t>
            </w:r>
          </w:p>
        </w:tc>
        <w:tc>
          <w:tcPr>
            <w:tcW w:w="2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SW64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申威 1621、3231、831、WX-H8000</w:t>
            </w:r>
          </w:p>
        </w:tc>
        <w:tc>
          <w:tcPr>
            <w:tcW w:w="2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选择 SW64 镜像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超算、专用行业场景较多，生态相对窄</w:t>
            </w:r>
          </w:p>
        </w:tc>
      </w:tr>
      <w:tr>
        <w:tc>
          <w:tcPr>
            <w:tcW w:w="1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RISC-V</w:t>
            </w:r>
          </w:p>
        </w:tc>
        <w:tc>
          <w:tcPr>
            <w:tcW w:w="2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RISC-V 64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算能、玄铁等</w:t>
            </w:r>
          </w:p>
        </w:tc>
        <w:tc>
          <w:tcPr>
            <w:tcW w:w="2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选择 riscv64 镜像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新兴生态，部分系统已试点或正式支持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  <w:rFonts w:ascii="Aptos" w:hAnsi="Aptos" w:eastAsia="宋体"/>
        </w:rPr>
        <w:t xml:space="preserve">二、主流国产信创系统及 CPU 要求汇总表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17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系统/发行版</w:t>
            </w:r>
          </w:p>
        </w:tc>
        <w:tc>
          <w:tcPr>
            <w:tcW w:w="19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类型</w:t>
            </w:r>
          </w:p>
        </w:tc>
        <w:tc>
          <w:tcPr>
            <w:tcW w:w="33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主要 CPU 支持/要求</w:t>
            </w:r>
          </w:p>
        </w:tc>
        <w:tc>
          <w:tcPr>
            <w:tcW w:w="36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典型版本与详情</w:t>
            </w:r>
          </w:p>
        </w:tc>
        <w:tc>
          <w:tcPr>
            <w:tcW w:w="25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适用场景</w:t>
            </w:r>
          </w:p>
        </w:tc>
        <w:tc>
          <w:tcPr>
            <w:tcW w:w="2700" w:type="dxa"/>
            <w:shd w:fill="D9EAF7"/>
            <w:vAlign w:val="center"/>
          </w:tcPr>
          <w:p>
            <w:r>
              <w:rPr>
                <w:b/>
                <w:bCs/>
                <w:sz w:val="20"/>
                <w:szCs w:val="20"/>
                <w:rFonts w:ascii="Aptos" w:hAnsi="Aptos" w:eastAsia="宋体"/>
              </w:rPr>
              <w:t xml:space="preserve">汇报要点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银河麒麟 KylinOS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商业操作系统；桌面/服务器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同源支持飞腾、鲲鹏、龙芯、申威、海光、兆芯，也支持 Intel/AMD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高级服务器 OS V10/V11、桌面版；支持国产 CPU 深度优化、虚拟化、云原生、安全增强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党政、金融、教育、交通、医疗、制造、数据中心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资质和政企生态成熟，信创主流商用 OS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统信 UOS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商业操作系统；桌面/服务器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支持 x86_64、ARM64、MIPS64/LoongArch64、SW64；覆盖六大国产 CPU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桌面专业版、服务器版 V20/V20e；部分服务器版本基于 openEuler 或 Anolis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政企办公终端、教育、企业桌面、通用服务器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桌面体验和应用生态较强，办公替代场景常用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openEuler 欧拉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开源根社区；服务器/云/边缘/嵌入式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支持 x86_64、AArch64、LoongArch64、SW64、RISC-V、PowerPC 等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22.03 LTS、24.03 LTS；面向数字基础设施，强调云原生、容器、虚拟化、AI、边缘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云平台、服务器、数据库、中间件、边缘计算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国产服务器 OS 重要技术底座，很多商业发行版基于 openEuler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Anolis OS / 龙蜥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开源社区；服务器/云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支持 x86_64、Arm64、LoongArch、RISC-V；适配海光、兆芯、鲲鹏、飞腾、龙芯等，较新版本扩展申威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Anolis OS 8、Anolis OS 23；兼容 CentOS 生态，提供迁移能力和云场景优化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CentOS 替代、云服务器、互联网业务、企业服务器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阿里云主导，适合 CentOS 迁移和云原生场景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OpenCloudOS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开源社区；服务器/云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支持 x86_64、ARM64、LoongArch64、RISC-V；适配海光、兆芯、鲲鹏、飞腾、龙芯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OpenCloudOS 9.x；9.4 增强 LoongArch64 支持，支持龙芯 3A/3C/3D 系列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云计算、腾讯云生态、服务器、国产化云平台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腾讯及社区主导，强调云场景、稳定性和多架构支持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Loongnix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龙芯生态 OS；桌面/服务器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主要面向龙芯 LoongArch64；桌面支持 3A5000/3A6000/2K，服务器支持 3C/3D 系列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Loongnix Desktop、Loongnix Server 23.x/25.x；提供 GCC、LLVM、OpenJDK、Go、Rust 等工具链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龙芯专用桌面、服务器、适配验证环境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龙芯原生系统，适合龙芯平台深度适配和自主架构验证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中科方德 OS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商业操作系统；桌面/服务器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支持海光、兆芯、飞腾、鲲鹏、龙芯、申威，也支持 Intel/AMD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方德桌面 OS、方德高可信服务器 OS V4/V5；支持 x86、ARM、MIPS、Alpha 等架构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政府、金融、电力、医疗、制造、行业终端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高可信、安全增强和国产 CPU 适配是核心卖点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麒麟信安 KylinSec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商业安全 OS；服务器/行业专用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支持 x86_64、AArch64、LoongArch64、SW64、RISC-V；覆盖六大国产 CPU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服务器 OS V3.5/V3.6；基于 openEuler LTS 技术路线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电力、政务、能源、交通、国防、关键行业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强安全、强实时、行业专用能力突出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凝思安全操作系统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商业安全 OS；服务器/工作站/专用设备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支持 x86_64、ARM64、LoongArch64、PowerPC/PPC64 等；适配龙芯、鲲鹏、飞腾、海光、兆芯等，申威需按版本确认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凝思磐石安全 OS、凝思安全 OS 欧拉版；强调安全子系统和关键基础设施应用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电力、通信、轨道交通、金融、关键基础设施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以安全加固和关键行业稳定运行为主</w:t>
            </w:r>
          </w:p>
        </w:tc>
      </w:tr>
      <w:tr>
        <w:tc>
          <w:tcPr>
            <w:tcW w:w="1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中兴新支点 OS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商业 OS；服务器/边缘</w:t>
            </w:r>
          </w:p>
        </w:tc>
        <w:tc>
          <w:tcPr>
            <w:tcW w:w="33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公开资料显示支持鲲鹏、飞腾、海光、兆芯等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新支点服务器 OS V6；部分版本基于 openEuler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通信、5G、边缘节点、服务器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20"/>
                <w:szCs w:val="20"/>
                <w:rFonts w:ascii="Aptos" w:hAnsi="Aptos" w:eastAsia="宋体"/>
              </w:rPr>
              <w:t xml:space="preserve">电信级、边缘和虚拟化场景较突出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  <w:rFonts w:ascii="Aptos" w:hAnsi="Aptos" w:eastAsia="宋体"/>
        </w:rPr>
        <w:t xml:space="preserve">三、选型建议总结</w:t>
      </w:r>
    </w:p>
    <w:p>
      <w:r>
        <w:rPr>
          <w:sz w:val="21"/>
          <w:szCs w:val="21"/>
          <w:rFonts w:ascii="Aptos" w:hAnsi="Aptos" w:eastAsia="宋体"/>
        </w:rPr>
        <w:t xml:space="preserve">• 政企办公终端优先看银河麒麟、统信 UOS、中科方德，重点关注办公软件、浏览器、外设、打印机、版式软件和电子签章适配。</w:t>
      </w:r>
    </w:p>
    <w:p>
      <w:r>
        <w:rPr>
          <w:sz w:val="21"/>
          <w:szCs w:val="21"/>
          <w:rFonts w:ascii="Aptos" w:hAnsi="Aptos" w:eastAsia="宋体"/>
        </w:rPr>
        <w:t xml:space="preserve">• 服务器和云平台优先看 openEuler、Anolis OS、OpenCloudOS、银河麒麟服务器版、统信服务器版，重点关注容器、虚拟化、数据库和中间件生态。</w:t>
      </w:r>
    </w:p>
    <w:p>
      <w:r>
        <w:rPr>
          <w:sz w:val="21"/>
          <w:szCs w:val="21"/>
          <w:rFonts w:ascii="Aptos" w:hAnsi="Aptos" w:eastAsia="宋体"/>
        </w:rPr>
        <w:t xml:space="preserve">• 龙芯平台需重点确认 LoongArch64 支持，不能简单按 x86 或 ARM 软件包部署；老龙芯平台还需区分 MIPS64 与 LoongArch。</w:t>
      </w:r>
    </w:p>
    <w:p>
      <w:r>
        <w:rPr>
          <w:sz w:val="21"/>
          <w:szCs w:val="21"/>
          <w:rFonts w:ascii="Aptos" w:hAnsi="Aptos" w:eastAsia="宋体"/>
        </w:rPr>
        <w:t xml:space="preserve">• 海光、兆芯属于 x86_64 路线，Linux 应用迁移和适配成本通常较低，适合平滑替换场景。</w:t>
      </w:r>
    </w:p>
    <w:p>
      <w:r>
        <w:rPr>
          <w:sz w:val="21"/>
          <w:szCs w:val="21"/>
          <w:rFonts w:ascii="Aptos" w:hAnsi="Aptos" w:eastAsia="宋体"/>
        </w:rPr>
        <w:t xml:space="preserve">• 飞腾、鲲鹏属于 ARM64 路线，适合云、服务器和政企终端，但商业软件、中间件、驱动需要逐项确认 ARM64 版本。</w:t>
      </w:r>
    </w:p>
    <w:p>
      <w:r>
        <w:rPr>
          <w:sz w:val="21"/>
          <w:szCs w:val="21"/>
          <w:rFonts w:ascii="Aptos" w:hAnsi="Aptos" w:eastAsia="宋体"/>
        </w:rPr>
        <w:t xml:space="preserve">• 申威 SW64 更适合超算和专用行业场景，部署前必须确认 OS 镜像、编译工具链、数据库、中间件和业务应用适配情况。</w:t>
      </w:r>
    </w:p>
    <w:p>
      <w:pPr>
        <w:pStyle w:val="Heading1"/>
      </w:pPr>
      <w:r>
        <w:rPr>
          <w:b/>
          <w:bCs/>
          <w:sz w:val="28"/>
          <w:szCs w:val="28"/>
          <w:rFonts w:ascii="Aptos" w:hAnsi="Aptos" w:eastAsia="宋体"/>
        </w:rPr>
        <w:t xml:space="preserve">四、汇报结论</w:t>
      </w:r>
    </w:p>
    <w:p>
      <w:r>
        <w:rPr>
          <w:sz w:val="21"/>
          <w:szCs w:val="21"/>
          <w:rFonts w:ascii="Aptos" w:hAnsi="Aptos" w:eastAsia="宋体"/>
        </w:rPr>
        <w:t xml:space="preserve">• 国产信创操作系统已形成“商业发行版 + 开源根社区 + 行业专用系统”的格局。</w:t>
      </w:r>
    </w:p>
    <w:p>
      <w:r>
        <w:rPr>
          <w:sz w:val="21"/>
          <w:szCs w:val="21"/>
          <w:rFonts w:ascii="Aptos" w:hAnsi="Aptos" w:eastAsia="宋体"/>
        </w:rPr>
        <w:t xml:space="preserve">• CPU 适配方面，主流系统基本围绕飞腾、鲲鹏、龙芯、海光、兆芯、申威六大国产 CPU 展开。</w:t>
      </w:r>
    </w:p>
    <w:p>
      <w:r>
        <w:rPr>
          <w:sz w:val="21"/>
          <w:szCs w:val="21"/>
          <w:rFonts w:ascii="Aptos" w:hAnsi="Aptos" w:eastAsia="宋体"/>
        </w:rPr>
        <w:t xml:space="preserve">• x86_64 路线（海光、兆芯）兼容性最好；ARM64 路线（飞腾、鲲鹏）适合云和政企终端；LoongArch 路线（龙芯）自主性强但应用需重点适配；SW64 路线（申威）更偏专用场景；RISC-V 正在进入试点和生态建设阶段。</w:t>
      </w:r>
    </w:p>
    <w:p>
      <w:r>
        <w:rPr>
          <w:sz w:val="21"/>
          <w:szCs w:val="21"/>
          <w:rFonts w:ascii="Aptos" w:hAnsi="Aptos" w:eastAsia="宋体"/>
        </w:rPr>
        <w:t xml:space="preserve">• 实际项目落地建议按“CPU 架构 -&gt; OS 镜像版本 -&gt; 整机认证 -&gt; 外设驱动 -&gt; 数据库/中间件 -&gt; 业务应用适配”的顺序推进。</w:t>
      </w:r>
    </w:p>
    <w:p>
      <w:r>
        <w:rPr>
          <w:sz w:val="18"/>
          <w:szCs w:val="18"/>
          <w:rFonts w:ascii="Aptos" w:hAnsi="Aptos" w:eastAsia="宋体"/>
        </w:rPr>
        <w:t xml:space="preserve">资料口径：麒麟软件、统信软件、openEuler、OpenAnolis、OpenCloudOS、Loongnix、中科方德、麒麟信安、凝思等公开资料及常见信创选型口径。</w:t>
      </w:r>
    </w:p>
    <w:sectPr>
      <w:pgSz w:w="16838" w:h="11906" w:orient="landscape"/>
      <w:pgMar w:top="720" w:right="720" w:bottom="720" w:left="720" w:header="450" w:footer="45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宋体"/>
      <w:sz w:val="21"/>
      <w:szCs w:val="21"/>
      <w:lang w:val="zh-CN" w:eastAsia="zh-CN"/>
    </w:rPr>
  </w:style>
  <w:style w:type="paragraph" w:styleId="Title">
    <w:name w:val="Title"/>
    <w:basedOn w:val="Normal"/>
    <w:next w:val="Normal"/>
    <w:rPr>
      <w:b/>
      <w:bCs/>
      <w:sz w:val="36"/>
      <w:szCs w:val="36"/>
    </w:rPr>
  </w:style>
  <w:style w:type="paragraph" w:styleId="Heading1">
    <w:name w:val="heading 1"/>
    <w:basedOn w:val="Normal"/>
    <w:next w:val="Normal"/>
    <w:rPr>
      <w:b/>
      <w:bCs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