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7A12EDE9" w:rsidR="002148B5" w:rsidRPr="003A3D16" w:rsidRDefault="002813BC" w:rsidP="00E16BC5">
      <w:pPr>
        <w:pStyle w:val="Heading1"/>
        <w:jc w:val="center"/>
        <w:rPr>
          <w:b/>
          <w:u w:val="none"/>
        </w:rPr>
      </w:pPr>
      <w:bookmarkStart w:id="0" w:name="_Toc286328880"/>
      <w:r>
        <w:rPr>
          <w:b/>
          <w:u w:val="none"/>
        </w:rPr>
        <w:t>Recommendation</w:t>
      </w:r>
      <w:r w:rsidR="002148B5" w:rsidRPr="003A3D16">
        <w:rPr>
          <w:b/>
          <w:u w:val="none"/>
        </w:rPr>
        <w:t xml:space="preserve"> </w:t>
      </w:r>
      <w:r w:rsidR="00D10603" w:rsidRPr="003A3D16">
        <w:rPr>
          <w:b/>
          <w:u w:val="none"/>
        </w:rPr>
        <w:t>${</w:t>
      </w:r>
      <w:r>
        <w:rPr>
          <w:b/>
          <w:u w:val="none"/>
        </w:rPr>
        <w:t>REC</w:t>
      </w:r>
      <w:r w:rsidR="00D10603" w:rsidRPr="003A3D16">
        <w:rPr>
          <w:b/>
          <w:u w:val="none"/>
        </w:rPr>
        <w:t>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="002148B5"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="002148B5"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353D4C">
      <w:pPr>
        <w:spacing w:before="120" w:after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353D4C">
      <w:pPr>
        <w:spacing w:before="24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="002148B5" w:rsidRPr="00BD3610">
        <w:rPr>
          <w:vertAlign w:val="superscript"/>
        </w:rPr>
        <w:t>o</w:t>
      </w:r>
      <w:r w:rsidR="002148B5"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1F4CDA8A" w:rsidR="002148B5" w:rsidRDefault="00985B71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w</w:t>
      </w:r>
      <w:r w:rsidR="002148B5" w:rsidRPr="00BD3610">
        <w:rPr>
          <w:spacing w:val="-3"/>
        </w:rPr>
        <w:t>here</w:t>
      </w:r>
      <w:r>
        <w:rPr>
          <w:spacing w:val="-3"/>
        </w:rPr>
        <w:t>,</w:t>
      </w:r>
    </w:p>
    <w:p w14:paraId="546808CB" w14:textId="637A645A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5B0E52" w:rsidRPr="00BD3610">
        <w:rPr>
          <w:iCs/>
          <w:spacing w:val="-3"/>
        </w:rPr>
        <w:t xml:space="preserve">;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6968B6E5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F)</w:t>
      </w:r>
      <w:r w:rsidR="00693CF2" w:rsidRPr="00BD3610">
        <w:rPr>
          <w:iCs/>
          <w:spacing w:val="-3"/>
        </w:rPr>
        <w:t xml:space="preserve">;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713D661A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constant; 60 min/h</w:t>
      </w:r>
    </w:p>
    <w:p w14:paraId="6F2C0810" w14:textId="5B82D766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F)</w:t>
      </w:r>
      <w:r w:rsidR="00504D22"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458E49B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2148B5"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7EAF776D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2148B5"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26432317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exchanger; conservatively ${ETA}% (depends on 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78A5FE3F" w:rsidR="002148B5" w:rsidRPr="00BD3610" w:rsidRDefault="008D7E50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OH</w:t>
      </w:r>
      <w:r w:rsidR="002148B5"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="002148B5"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="002148B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2148B5" w:rsidRPr="00BD3610">
        <w:rPr>
          <w:spacing w:val="-3"/>
        </w:rPr>
        <w:t>/yr</w:t>
      </w:r>
      <w:r w:rsidR="00951A6B">
        <w:rPr>
          <w:spacing w:val="-3"/>
        </w:rPr>
        <w:t xml:space="preserve"> (${HR} hours per day, ${DY} days per week, ${WK} weeks per year)</w:t>
      </w:r>
    </w:p>
    <w:p w14:paraId="7BF6269E" w14:textId="1317AF60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constant;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7EC05CE2" w:rsidR="00CF36AE" w:rsidRPr="00B20822" w:rsidRDefault="00787EBE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 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1A3EF5" w:rsidRPr="00BD3610">
        <w:rPr>
          <w:spacing w:val="-3"/>
        </w:rPr>
        <w:t>/yr</w:t>
      </w:r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00BF1E8F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 xml:space="preserve">orsepower;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3F0402A1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 xml:space="preserve">= Conversion constant;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17E5BA8D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factor; ${CF}% per month</w:t>
      </w:r>
    </w:p>
    <w:p w14:paraId="3B84AFFB" w14:textId="2BB9E6E9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 xml:space="preserve">= Conversion constant; </w:t>
      </w:r>
      <w:r w:rsidR="008976BC">
        <w:rPr>
          <w:iCs/>
          <w:spacing w:val="-3"/>
        </w:rPr>
        <w:t>12 mo</w:t>
      </w:r>
      <w:r w:rsidR="0027464D">
        <w:rPr>
          <w:iCs/>
          <w:spacing w:val="-3"/>
        </w:rPr>
        <w:t>s</w:t>
      </w:r>
      <w:r w:rsidR="008976BC">
        <w:rPr>
          <w:iCs/>
          <w:spacing w:val="-3"/>
        </w:rPr>
        <w:t>/yr</w:t>
      </w:r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3D5509E3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>${OH} hr</w:t>
      </w:r>
      <w:r w:rsidR="001C4BAC">
        <w:rPr>
          <w:spacing w:val="-3"/>
        </w:rPr>
        <w:t>s</w:t>
      </w:r>
      <w:r w:rsidR="006078BB">
        <w:rPr>
          <w:spacing w:val="-3"/>
        </w:rPr>
        <w:t>/yr</w:t>
      </w:r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/yr</w:t>
      </w:r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02692242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r w:rsidR="00C458CA">
        <w:rPr>
          <w:spacing w:val="-3"/>
        </w:rPr>
        <w:t>mo</w:t>
      </w:r>
      <w:r w:rsidR="001C4BAC">
        <w:rPr>
          <w:spacing w:val="-3"/>
        </w:rPr>
        <w:t>s</w:t>
      </w:r>
      <w:r w:rsidR="00C458CA">
        <w:rPr>
          <w:spacing w:val="-3"/>
        </w:rPr>
        <w:t xml:space="preserve">/yr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/mo</w:t>
      </w:r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/yr</w:t>
      </w:r>
    </w:p>
    <w:p w14:paraId="63AA55DC" w14:textId="353E89D9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 xml:space="preserve">ost savings;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/yr</w:t>
      </w:r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47E30A72" w14:textId="322CDFDB" w:rsidR="002148B5" w:rsidRPr="00BD3610" w:rsidRDefault="00DB1ABB" w:rsidP="00DB1ABB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46B587DD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</w:t>
      </w:r>
      <w:r w:rsidR="002813BC">
        <w:rPr>
          <w:b/>
          <w:color w:val="auto"/>
        </w:rPr>
        <w:t>recommendation</w:t>
      </w:r>
      <w:r w:rsidR="002148B5" w:rsidRPr="003B5C5F">
        <w:rPr>
          <w:b/>
          <w:color w:val="auto"/>
        </w:rPr>
        <w:t xml:space="preserve">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2813BC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2813BC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0A186B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7C40" w14:textId="77777777" w:rsidR="000A186B" w:rsidRDefault="000A186B" w:rsidP="007A78AF">
      <w:r>
        <w:separator/>
      </w:r>
    </w:p>
  </w:endnote>
  <w:endnote w:type="continuationSeparator" w:id="0">
    <w:p w14:paraId="0CB8425A" w14:textId="77777777" w:rsidR="000A186B" w:rsidRDefault="000A186B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2B29" w14:textId="77777777" w:rsidR="000A186B" w:rsidRDefault="000A186B" w:rsidP="007A78AF">
      <w:r>
        <w:separator/>
      </w:r>
    </w:p>
  </w:footnote>
  <w:footnote w:type="continuationSeparator" w:id="0">
    <w:p w14:paraId="4394A560" w14:textId="77777777" w:rsidR="000A186B" w:rsidRDefault="000A186B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74EC"/>
    <w:rsid w:val="00072CAA"/>
    <w:rsid w:val="00084CEB"/>
    <w:rsid w:val="00095120"/>
    <w:rsid w:val="000A186B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6B1F"/>
    <w:rsid w:val="001012CA"/>
    <w:rsid w:val="00102DD3"/>
    <w:rsid w:val="00106D90"/>
    <w:rsid w:val="00113519"/>
    <w:rsid w:val="00125690"/>
    <w:rsid w:val="00127CD6"/>
    <w:rsid w:val="001303EB"/>
    <w:rsid w:val="00134364"/>
    <w:rsid w:val="00142EC1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4BAC"/>
    <w:rsid w:val="001C6692"/>
    <w:rsid w:val="001D1F93"/>
    <w:rsid w:val="001D681B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7464D"/>
    <w:rsid w:val="00280B25"/>
    <w:rsid w:val="002813BC"/>
    <w:rsid w:val="00281BFA"/>
    <w:rsid w:val="00282EC0"/>
    <w:rsid w:val="00283670"/>
    <w:rsid w:val="00286035"/>
    <w:rsid w:val="002A122C"/>
    <w:rsid w:val="002B36B8"/>
    <w:rsid w:val="002C225D"/>
    <w:rsid w:val="002C56AD"/>
    <w:rsid w:val="002C59ED"/>
    <w:rsid w:val="002D0C67"/>
    <w:rsid w:val="002E02E2"/>
    <w:rsid w:val="002E0C1E"/>
    <w:rsid w:val="003004C3"/>
    <w:rsid w:val="0032209F"/>
    <w:rsid w:val="00331EBB"/>
    <w:rsid w:val="0033418F"/>
    <w:rsid w:val="003403D1"/>
    <w:rsid w:val="00346F57"/>
    <w:rsid w:val="00353D4C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51A6B"/>
    <w:rsid w:val="00951CC7"/>
    <w:rsid w:val="009557A0"/>
    <w:rsid w:val="00955878"/>
    <w:rsid w:val="00955F3A"/>
    <w:rsid w:val="00980D83"/>
    <w:rsid w:val="00985B71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F6970"/>
    <w:rsid w:val="00B0309A"/>
    <w:rsid w:val="00B1557C"/>
    <w:rsid w:val="00B20822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4932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Justin Caspar</cp:lastModifiedBy>
  <cp:revision>310</cp:revision>
  <dcterms:created xsi:type="dcterms:W3CDTF">2022-10-27T16:13:00Z</dcterms:created>
  <dcterms:modified xsi:type="dcterms:W3CDTF">2024-02-05T18:44:00Z</dcterms:modified>
</cp:coreProperties>
</file>