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3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  <w:r>
        <w:t xml:space="preserve"> </w:t>
      </w:r>
      <w:r>
        <w:t xml:space="preserve">What the PamGene instrument does, based on this data and the description of the instrument from the manual, is:</w:t>
      </w:r>
    </w:p>
    <w:p>
      <w:pPr>
        <w:numPr>
          <w:ilvl w:val="0"/>
          <w:numId w:val="1001"/>
        </w:numPr>
        <w:pStyle w:val="Compact"/>
      </w:pPr>
      <w:r>
        <w:t xml:space="preserve">Wash sample onto the appropriate array on the chip (cycle).</w:t>
      </w:r>
    </w:p>
    <w:p>
      <w:pPr>
        <w:numPr>
          <w:ilvl w:val="0"/>
          <w:numId w:val="1001"/>
        </w:numPr>
        <w:pStyle w:val="Compact"/>
      </w:pPr>
      <w:r>
        <w:t xml:space="preserve">Take intensity measurements over time (exposure time).</w:t>
      </w:r>
    </w:p>
    <w:p>
      <w:pPr>
        <w:numPr>
          <w:ilvl w:val="0"/>
          <w:numId w:val="1001"/>
        </w:numPr>
        <w:pStyle w:val="Compact"/>
      </w:pPr>
      <w:r>
        <w:t xml:space="preserve">Repeat over multiple cycles and exposure times.</w:t>
      </w:r>
    </w:p>
    <w:p>
      <w:pPr>
        <w:pStyle w:val="FirstParagraph"/>
      </w:pPr>
      <w:r>
        <w:t xml:space="preserve">So this near raw data is median, background corrected intensities for each peptide in each sample in each array of each chip, over cycles and exposure times.</w:t>
      </w:r>
      <w:r>
        <w:t xml:space="preserve"> </w:t>
      </w:r>
      <w:r>
        <w:t xml:space="preserve">The cycles and exposure times are treated as independent measures for each peptide for this analysis, giving us extra measures to use for correlation and log-fold-changes.</w:t>
      </w:r>
    </w:p>
    <w:bookmarkEnd w:id="21"/>
    <w:bookmarkStart w:id="3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imported nearly raw data provided from the PamGene instrument that includes cycle and exposure time for each peptide on each array and chip.</w:t>
      </w:r>
      <w:r>
        <w:t xml:space="preserve"> </w:t>
      </w:r>
      <w:r>
        <w:t xml:space="preserve">Inspection of the log-intensities determined that values less than 30 are likely to be unreliable.</w:t>
      </w:r>
      <w:r>
        <w:t xml:space="preserve"> </w:t>
      </w:r>
      <w:r>
        <w:t xml:space="preserve">Before correlation analysis, values less than 30 were replaced with zero.</w:t>
      </w:r>
      <w:r>
        <w:t xml:space="preserve"> </w:t>
      </w:r>
      <w:r>
        <w:t xml:space="preserve">Sample-sample correlations were calculated using information-content-informed Kendall-tau</w:t>
      </w:r>
      <w:r>
        <w:t xml:space="preserve"> </w:t>
      </w:r>
      <w:r>
        <w:t xml:space="preserve">(Flight, Robert M and Moseley, Hunter NB [2021] 2021)</w:t>
      </w:r>
      <w:r>
        <w:t xml:space="preserve">, treating zero as missing values.</w:t>
      </w:r>
      <w:r>
        <w:t xml:space="preserve"> </w:t>
      </w:r>
      <w:r>
        <w:t xml:space="preserve">Only features that had a non-missing value (&gt; 0) in at least one of the samples were included.</w:t>
      </w:r>
      <w:r>
        <w:t xml:space="preserve"> </w:t>
      </w:r>
      <w:r>
        <w:t xml:space="preserve">Clustering of samples used 1 - ICI-Kt as the distance, and then the dendrogram was sorted using dendsort with min type sorting</w:t>
      </w:r>
      <w:r>
        <w:t xml:space="preserve"> </w:t>
      </w:r>
      <w:r>
        <w:t xml:space="preserve">(Sakai et al. 2014)</w:t>
      </w:r>
      <w:r>
        <w:t xml:space="preserve">.</w:t>
      </w:r>
      <w:r>
        <w:t xml:space="preserve"> </w:t>
      </w:r>
      <w:r>
        <w:t xml:space="preserve">Means, absolute differences between largest and smallest, standard deviations (SD) and relative standard deviations (RSD) were calculated among the three technical replicates for each pooled sample.</w:t>
      </w:r>
      <w:r>
        <w:t xml:space="preserve"> </w:t>
      </w:r>
      <w:r>
        <w:t xml:space="preserve">The RSD mode was calculated using the replicates where the average mean was greater than or equal to 30.</w:t>
      </w:r>
      <w:r>
        <w:t xml:space="preserve"> </w:t>
      </w:r>
      <w:r>
        <w:t xml:space="preserve">All calculations were performed using R version 4.1.0</w:t>
      </w:r>
      <w:r>
        <w:t xml:space="preserve"> </w:t>
      </w:r>
      <w:r>
        <w:t xml:space="preserve">(R Core Team 2021)</w:t>
      </w:r>
      <w:r>
        <w:t xml:space="preserve">.</w:t>
      </w:r>
      <w:r>
        <w:t xml:space="preserve"> </w:t>
      </w:r>
      <w:r>
        <w:t xml:space="preserve">Heatmaps were generated using the ComplexHeatmap package version 2.10.0</w:t>
      </w:r>
      <w:r>
        <w:t xml:space="preserve"> </w:t>
      </w:r>
      <w:r>
        <w:t xml:space="preserve">(Gu, Eils, and Schlesner 2016)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2.10.0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6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sample_matrix[is_1, ]</w:t>
      </w:r>
      <w:r>
        <w:br/>
      </w:r>
      <w:r>
        <w:rPr>
          <w:rStyle w:val="NormalTok"/>
        </w:rPr>
        <w:t xml:space="preserve">sample_cor_data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sample_cor_data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  <w:r>
        <w:br/>
      </w:r>
      <w:r>
        <w:br/>
      </w: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30, and removing entries that are &lt; 30 across all the samples, leaving us with 4256.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annote_cols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"#404040"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"human_control"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"#E6B9B8"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"#BFBFBF"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#names(annote_cols) = unique(ptk_info$type)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sample_sample_heatmap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left_annotation =</w:t>
      </w:r>
      <w:r>
        <w:rPr>
          <w:rStyle w:val="NormalTok"/>
        </w:rPr>
        <w:t xml:space="preserve"> row_annotation,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show_column_names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show_row_names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(sample_sample_heatmap, </w:t>
      </w:r>
      <w:r>
        <w:rPr>
          <w:rStyle w:val="AttributeTok"/>
        </w:rPr>
        <w:t xml:space="preserve">merge_legend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X. Sample-sample ICI-Kt correlation heatmap.</w:t>
      </w:r>
      <w:r>
        <w:t xml:space="preserve"> </w:t>
      </w:r>
      <w:r>
        <w:t xml:space="preserve">Diagonal values represent the number of non-missing value in the sample.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correlation p-values are &lt; 2.2x10^16.</w:t>
      </w:r>
    </w:p>
    <w:p>
      <w:pPr>
        <w:pStyle w:val="BodyText"/>
      </w:pPr>
      <w:r>
        <w:t xml:space="preserve">What is the correlation within and between the groups of samples?</w:t>
      </w:r>
    </w:p>
    <w:p>
      <w:pPr>
        <w:pStyle w:val="SourceCode"/>
      </w:pPr>
      <w:r>
        <w:rPr>
          <w:rStyle w:val="NormalTok"/>
        </w:rPr>
        <w:t xml:space="preserve">group_cor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median_class_correlations</w:t>
      </w:r>
      <w:r>
        <w:rPr>
          <w:rStyle w:val="NormalTok"/>
        </w:rPr>
        <w:t xml:space="preserve">(sample_cor, ptk_info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group_cor_text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(group_cor,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group_cor_text[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group_cor_table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correlations within and between organism and liver state. Within liver state correlations across organisms are lower than within a liver state / organism combination, but higher than between liver state."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</w:tbl>
    <w:bookmarkEnd w:id="26"/>
    <w:bookmarkStart w:id="29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29"/>
    <w:bookmarkStart w:id="31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raw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p>
      <w:pPr>
        <w:pStyle w:val="SourceCode"/>
      </w:pP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fp_border_default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(group_cor)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big_border,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sample_sample_heatmap,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group_cor_df)</w:t>
      </w:r>
      <w:r>
        <w:br/>
      </w:r>
      <w:r>
        <w:rPr>
          <w:rStyle w:val="FunctionTok"/>
        </w:rPr>
        <w:t xml:space="preserve">export_plots</w:t>
      </w:r>
      <w:r>
        <w:rPr>
          <w:rStyle w:val="NormalTok"/>
        </w:rPr>
        <w:t xml:space="preserve">(plot_list, </w:t>
      </w:r>
      <w:r>
        <w:rPr>
          <w:rStyle w:val="StringTok"/>
        </w:rPr>
        <w:t xml:space="preserve">"sample_sample_raw_correlation.pptx"</w:t>
      </w:r>
      <w:r>
        <w:rPr>
          <w:rStyle w:val="NormalTok"/>
        </w:rPr>
        <w:t xml:space="preserve">)</w:t>
      </w:r>
    </w:p>
    <w:bookmarkEnd w:id="31"/>
    <w:bookmarkEnd w:id="32"/>
    <w:bookmarkStart w:id="33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2"/>
        </w:numPr>
        <w:pStyle w:val="Compact"/>
      </w:pPr>
      <w:r>
        <w:t xml:space="preserve">Used the</w:t>
      </w:r>
      <w:r>
        <w:t xml:space="preserve"> </w:t>
      </w:r>
      <w:r>
        <w:rPr>
          <w:iCs/>
          <w:i/>
        </w:rPr>
        <w:t xml:space="preserve">nearly raw</w:t>
      </w:r>
      <w:r>
        <w:t xml:space="preserve"> </w:t>
      </w:r>
      <w:r>
        <w:t xml:space="preserve">data from PamGene for correlations.</w:t>
      </w:r>
      <w:r>
        <w:t xml:space="preserve"> </w:t>
      </w:r>
      <w:r>
        <w:t xml:space="preserve">This contains the median, background corrected intensity data for each cycle and exposure for each peptide in both the STK and PTK samples.</w:t>
      </w:r>
      <w:r>
        <w:t xml:space="preserve"> </w:t>
      </w:r>
      <w:r>
        <w:t xml:space="preserve">This results in 4256 features for sample-sample correlation.</w:t>
      </w:r>
    </w:p>
    <w:p>
      <w:pPr>
        <w:numPr>
          <w:ilvl w:val="0"/>
          <w:numId w:val="1002"/>
        </w:numPr>
        <w:pStyle w:val="Compact"/>
      </w:pPr>
      <w:r>
        <w:t xml:space="preserve">Clean separation by liver condition and then by species.</w:t>
      </w:r>
    </w:p>
    <w:p>
      <w:pPr>
        <w:numPr>
          <w:ilvl w:val="0"/>
          <w:numId w:val="1002"/>
        </w:numPr>
        <w:pStyle w:val="Compact"/>
      </w:pPr>
      <w:r>
        <w:t xml:space="preserve">All sample-sample correlations were significant, and below the machine precision of the computer (2.2x10^-16).</w:t>
      </w:r>
    </w:p>
    <w:p>
      <w:pPr>
        <w:numPr>
          <w:ilvl w:val="0"/>
          <w:numId w:val="1002"/>
        </w:numPr>
        <w:pStyle w:val="Compact"/>
      </w:pPr>
      <w:r>
        <w:t xml:space="preserve">It’s also clear that kinase activity is elevated in the liver fibrosis vs normal (see diagonal of heatmap).</w:t>
      </w:r>
      <w:r>
        <w:t xml:space="preserve"> </w:t>
      </w:r>
      <w:r>
        <w:t xml:space="preserve">There are more missing features in the normal samples (lover correlation values on the diagonal).</w:t>
      </w:r>
    </w:p>
    <w:p>
      <w:pPr>
        <w:pStyle w:val="SourceCode"/>
      </w:pPr>
      <w:r>
        <w:rPr>
          <w:rStyle w:val="NormalTok"/>
        </w:rPr>
        <w:t xml:space="preserve">group_cor_df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2"/>
        <w:gridCol w:w="2053"/>
        <w:gridCol w:w="2026"/>
        <w:gridCol w:w="2082"/>
        <w:gridCol w:w="2056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mouse_fibrosis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human_fibrosis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human_control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mouse_fibrosis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mouse_control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human_fibrosis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16" w:space="0" w:color="666666"/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human_control</w:t>
            </w:r>
          </w:p>
        </w:tc>
        <w:tc>
          <w:tcPr>
            <w:tcBorders>
              <w:bottom w:val="single" w:sz="16" w:space="0" w:color="666666"/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</w:tr>
    </w:tbl>
    <w:bookmarkEnd w:id="33"/>
    <w:bookmarkStart w:id="36" w:name="exported-captions"/>
    <w:p>
      <w:pPr>
        <w:pStyle w:val="Heading2"/>
      </w:pPr>
      <w:r>
        <w:t xml:space="preserve">Exported captions</w:t>
      </w:r>
    </w:p>
    <w:bookmarkStart w:id="34" w:name="heatmap-figure"/>
    <w:p>
      <w:pPr>
        <w:pStyle w:val="Heading3"/>
      </w:pPr>
      <w:r>
        <w:t xml:space="preserve">Heatmap Figure</w:t>
      </w:r>
    </w:p>
    <w:p>
      <w:pPr>
        <w:pStyle w:val="FirstParagraph"/>
      </w:pPr>
      <w:r>
        <w:t xml:space="preserve">Sample-sample correlation heatmap of replicate samples from human and mouse control and fibrotic liver samples.</w:t>
      </w:r>
      <w:r>
        <w:t xml:space="preserve"> </w:t>
      </w:r>
      <w:r>
        <w:t xml:space="preserve">Diagonal entries represent the percentage of non-missing values in each sample.</w:t>
      </w:r>
      <w:r>
        <w:t xml:space="preserve"> </w:t>
      </w:r>
      <w:r>
        <w:t xml:space="preserve">Correlations were calculated using ICI-Kt using features that had non-zero values in at least one sample.</w:t>
      </w:r>
      <w:r>
        <w:t xml:space="preserve"> </w:t>
      </w:r>
      <w:r>
        <w:t xml:space="preserve">Feature values &lt; 30 were treated as missing.</w:t>
      </w:r>
    </w:p>
    <w:bookmarkEnd w:id="34"/>
    <w:bookmarkStart w:id="35" w:name="table-caption"/>
    <w:p>
      <w:pPr>
        <w:pStyle w:val="Heading3"/>
      </w:pPr>
      <w:r>
        <w:t xml:space="preserve">Table Caption</w:t>
      </w:r>
    </w:p>
    <w:p>
      <w:pPr>
        <w:pStyle w:val="FirstParagraph"/>
      </w:pPr>
      <w:r>
        <w:t xml:space="preserve">Median ICI-Kt correlations among samples within a type (diagonal) and between types (off diagonal).</w:t>
      </w:r>
    </w:p>
    <w:bookmarkEnd w:id="35"/>
    <w:bookmarkEnd w:id="36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flightrobertmICIKendallTau2021"/>
    <w:p>
      <w:pPr>
        <w:pStyle w:val="Bibliography"/>
      </w:pPr>
      <w:r>
        <w:t xml:space="preserve">Flight, Robert M, and Moseley, Hunter NB. (2021) 2021.</w:t>
      </w:r>
      <w:r>
        <w:t xml:space="preserve"> </w:t>
      </w:r>
      <w:r>
        <w:rPr>
          <w:iCs/>
          <w:i/>
        </w:rPr>
        <w:t xml:space="preserve">ICIKendallTau</w:t>
      </w:r>
      <w:r>
        <w:t xml:space="preserve"> </w:t>
      </w:r>
      <w:r>
        <w:t xml:space="preserve">(version 0.1.8). C++.</w:t>
      </w:r>
      <w:r>
        <w:t xml:space="preserve"> </w:t>
      </w:r>
      <w:hyperlink r:id="rId37">
        <w:r>
          <w:rPr>
            <w:rStyle w:val="Hyperlink"/>
          </w:rPr>
          <w:t xml:space="preserve">https://github.com/MoseleyBioinformaticsLab/ICIKendallTau</w:t>
        </w:r>
      </w:hyperlink>
      <w:r>
        <w:t xml:space="preserve">.</w:t>
      </w:r>
    </w:p>
    <w:bookmarkEnd w:id="38"/>
    <w:bookmarkStart w:id="39" w:name="ref-guComplexHeatmapsReveal2016"/>
    <w:p>
      <w:pPr>
        <w:pStyle w:val="Bibliography"/>
      </w:pPr>
      <w:r>
        <w:t xml:space="preserve">Gu, Zuguang, Roland Eils, and Matthias Schlesner. 2016.</w:t>
      </w:r>
      <w:r>
        <w:t xml:space="preserve"> </w:t>
      </w:r>
      <w:r>
        <w:t xml:space="preserve">“Complex Heatmaps Reveal Patterns and Correlations in Multidimensional Genomic Data.”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.</w:t>
      </w:r>
    </w:p>
    <w:bookmarkEnd w:id="39"/>
    <w:bookmarkStart w:id="41" w:name="X7d7144c0a52ec3594cffc5fec0f425498533505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(version 4.1.0). Vienna, Austria.</w:t>
      </w:r>
      <w:r>
        <w:t xml:space="preserve"> </w:t>
      </w:r>
      <w:hyperlink r:id="rId4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1"/>
    <w:bookmarkStart w:id="43" w:name="ref-sakaiDendsortModularLeaf2014"/>
    <w:p>
      <w:pPr>
        <w:pStyle w:val="Bibliography"/>
      </w:pPr>
      <w:r>
        <w:t xml:space="preserve">Sakai, Ryo, Raf Winand, Toni Verbeiren, Andrew Vande Moere, and Jan Aerts. 2014.</w:t>
      </w:r>
      <w:r>
        <w:t xml:space="preserve"> </w:t>
      </w:r>
      <w:r>
        <w:t xml:space="preserve">“dendsort: modular leaf ordering methods for dendrogram representations in R.”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t xml:space="preserve">3: 177.</w:t>
      </w:r>
      <w:r>
        <w:t xml:space="preserve"> </w:t>
      </w:r>
      <w:hyperlink r:id="rId42">
        <w:r>
          <w:rPr>
            <w:rStyle w:val="Hyperlink"/>
          </w:rPr>
          <w:t xml:space="preserve">https://doi.org/10.12688/f1000research.4784.1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42" Target="https://doi.org/10.12688/f1000research.4784.1" TargetMode="External" /><Relationship Type="http://schemas.openxmlformats.org/officeDocument/2006/relationships/hyperlink" Id="rId37" Target="https://github.com/MoseleyBioinformaticsLab/ICIKendallTau" TargetMode="External" /><Relationship Type="http://schemas.openxmlformats.org/officeDocument/2006/relationships/hyperlink" Id="rId4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doi.org/10.12688/f1000research.4784.1" TargetMode="External" /><Relationship Type="http://schemas.openxmlformats.org/officeDocument/2006/relationships/hyperlink" Id="rId37" Target="https://github.com/MoseleyBioinformaticsLab/ICIKendallTau" TargetMode="External" /><Relationship Type="http://schemas.openxmlformats.org/officeDocument/2006/relationships/hyperlink" Id="rId4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2021-11-17T21:57:58Z</dcterms:created>
  <dcterms:modified xsi:type="dcterms:W3CDTF">2021-11-17T21:57:58Z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/home/rmflight/Projects/work/terry_hinds/hinds_liver_fibrosis_kinome/reports/manuscript_references.json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