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E05F9" w14:textId="77777777" w:rsidR="0001523B" w:rsidRDefault="0001523B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025F12D" w14:textId="77777777" w:rsidR="0001523B" w:rsidRDefault="0001523B" w:rsidP="0001523B">
      <w:pPr>
        <w:jc w:val="center"/>
        <w:rPr>
          <w:rFonts w:cs="Times New Roman"/>
          <w:color w:val="000000" w:themeColor="text1"/>
          <w:szCs w:val="24"/>
        </w:rPr>
      </w:pPr>
    </w:p>
    <w:p w14:paraId="543830A2" w14:textId="77777777" w:rsidR="0001523B" w:rsidRDefault="0001523B" w:rsidP="0001523B">
      <w:pPr>
        <w:jc w:val="center"/>
        <w:rPr>
          <w:rFonts w:cs="Times New Roman"/>
          <w:color w:val="000000" w:themeColor="text1"/>
          <w:szCs w:val="24"/>
        </w:rPr>
      </w:pPr>
    </w:p>
    <w:p w14:paraId="6772D6A4" w14:textId="77777777" w:rsidR="0001523B" w:rsidRDefault="0001523B" w:rsidP="0001523B">
      <w:pPr>
        <w:jc w:val="center"/>
        <w:rPr>
          <w:rFonts w:cs="Times New Roman"/>
          <w:color w:val="000000" w:themeColor="text1"/>
          <w:szCs w:val="24"/>
        </w:rPr>
      </w:pPr>
    </w:p>
    <w:p w14:paraId="3475523B" w14:textId="77777777" w:rsidR="0001523B" w:rsidRDefault="0001523B" w:rsidP="0001523B">
      <w:pPr>
        <w:jc w:val="center"/>
        <w:rPr>
          <w:rFonts w:cs="Times New Roman"/>
          <w:color w:val="000000" w:themeColor="text1"/>
          <w:szCs w:val="24"/>
        </w:rPr>
      </w:pPr>
    </w:p>
    <w:p w14:paraId="46012B42" w14:textId="68ADE11A" w:rsidR="0001523B" w:rsidRPr="0001523B" w:rsidRDefault="002B4F09" w:rsidP="0001523B">
      <w:pPr>
        <w:jc w:val="center"/>
        <w:rPr>
          <w:rFonts w:cs="Times New Roman"/>
          <w:b/>
          <w:bCs/>
          <w:color w:val="000000" w:themeColor="text1"/>
          <w:szCs w:val="24"/>
          <w:u w:val="single"/>
        </w:rPr>
      </w:pPr>
      <w:r>
        <w:rPr>
          <w:rFonts w:cs="Times New Roman"/>
          <w:b/>
          <w:bCs/>
          <w:color w:val="000000" w:themeColor="text1"/>
          <w:szCs w:val="24"/>
          <w:u w:val="single"/>
        </w:rPr>
        <w:t xml:space="preserve">Stakeholder </w:t>
      </w:r>
      <w:r w:rsidR="0001523B" w:rsidRPr="0001523B">
        <w:rPr>
          <w:rFonts w:cs="Times New Roman"/>
          <w:b/>
          <w:bCs/>
          <w:color w:val="000000" w:themeColor="text1"/>
          <w:szCs w:val="24"/>
          <w:u w:val="single"/>
        </w:rPr>
        <w:t>Report</w:t>
      </w:r>
    </w:p>
    <w:p w14:paraId="31623184" w14:textId="77777777" w:rsidR="0001523B" w:rsidRDefault="0001523B" w:rsidP="0001523B">
      <w:pPr>
        <w:jc w:val="center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Justin Gay</w:t>
      </w:r>
    </w:p>
    <w:p w14:paraId="7D52FB18" w14:textId="52096ED5" w:rsidR="0001523B" w:rsidRDefault="0001523B" w:rsidP="0001523B">
      <w:pPr>
        <w:jc w:val="center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Predictive Analytics</w:t>
      </w:r>
    </w:p>
    <w:p w14:paraId="71CD2330" w14:textId="2AE75DFA" w:rsidR="0001523B" w:rsidRDefault="0001523B" w:rsidP="0001523B">
      <w:pPr>
        <w:jc w:val="center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Professor Scott Turner</w:t>
      </w:r>
    </w:p>
    <w:p w14:paraId="3448158A" w14:textId="3622E484" w:rsidR="0001523B" w:rsidRDefault="0001523B" w:rsidP="0001523B">
      <w:pPr>
        <w:jc w:val="center"/>
        <w:rPr>
          <w:rFonts w:eastAsiaTheme="majorEastAsia" w:cs="Times New Roman"/>
          <w:b/>
          <w:bCs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December 8</w:t>
      </w:r>
      <w:r w:rsidRPr="0001523B">
        <w:rPr>
          <w:rFonts w:cs="Times New Roman"/>
          <w:color w:val="000000" w:themeColor="text1"/>
          <w:szCs w:val="24"/>
          <w:vertAlign w:val="superscript"/>
        </w:rPr>
        <w:t>th</w:t>
      </w:r>
      <w:r>
        <w:rPr>
          <w:rFonts w:cs="Times New Roman"/>
          <w:color w:val="000000" w:themeColor="text1"/>
          <w:szCs w:val="24"/>
        </w:rPr>
        <w:t>, 2025</w:t>
      </w:r>
      <w:r>
        <w:rPr>
          <w:rFonts w:cs="Times New Roman"/>
          <w:color w:val="000000" w:themeColor="text1"/>
          <w:szCs w:val="24"/>
        </w:rPr>
        <w:br w:type="page"/>
      </w:r>
    </w:p>
    <w:p w14:paraId="56D67AE6" w14:textId="20C803D7" w:rsidR="00A02E5C" w:rsidRPr="0001523B" w:rsidRDefault="00675A05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523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Financial Analysis Summary Report</w:t>
      </w:r>
    </w:p>
    <w:p w14:paraId="7D35AA0F" w14:textId="77777777" w:rsidR="00A02E5C" w:rsidRPr="0001523B" w:rsidRDefault="00675A0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523B">
        <w:rPr>
          <w:rFonts w:ascii="Times New Roman" w:hAnsi="Times New Roman" w:cs="Times New Roman"/>
          <w:color w:val="000000" w:themeColor="text1"/>
          <w:sz w:val="24"/>
          <w:szCs w:val="24"/>
        </w:rPr>
        <w:t>Executive Summary</w:t>
      </w:r>
    </w:p>
    <w:p w14:paraId="0EC9FFDB" w14:textId="77777777" w:rsidR="00A02E5C" w:rsidRPr="0001523B" w:rsidRDefault="00675A05">
      <w:pPr>
        <w:rPr>
          <w:rFonts w:cs="Times New Roman"/>
          <w:color w:val="000000" w:themeColor="text1"/>
          <w:szCs w:val="24"/>
        </w:rPr>
      </w:pPr>
      <w:r w:rsidRPr="0001523B">
        <w:rPr>
          <w:rFonts w:cs="Times New Roman"/>
          <w:color w:val="000000" w:themeColor="text1"/>
          <w:szCs w:val="24"/>
        </w:rPr>
        <w:t>This report summarizes insights from clustering and predictive modeling on financial data. Four meaningful clusters were identified, showing different revenue and profitability patterns. A Random Forest model accurately predicted high‑margin firms, and the cluster feature improved performance. This report is intentionally brief (2–3 pages) and includes only the essential visuals.</w:t>
      </w:r>
    </w:p>
    <w:p w14:paraId="76693884" w14:textId="77777777" w:rsidR="00A02E5C" w:rsidRPr="0001523B" w:rsidRDefault="00675A0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523B">
        <w:rPr>
          <w:rFonts w:ascii="Times New Roman" w:hAnsi="Times New Roman" w:cs="Times New Roman"/>
          <w:color w:val="000000" w:themeColor="text1"/>
          <w:sz w:val="24"/>
          <w:szCs w:val="24"/>
        </w:rPr>
        <w:t>Feature Discovery (Clustering)</w:t>
      </w:r>
    </w:p>
    <w:p w14:paraId="3DAA167D" w14:textId="77777777" w:rsidR="00A02E5C" w:rsidRPr="0001523B" w:rsidRDefault="00675A05">
      <w:pPr>
        <w:rPr>
          <w:rFonts w:cs="Times New Roman"/>
          <w:color w:val="000000" w:themeColor="text1"/>
          <w:szCs w:val="24"/>
        </w:rPr>
      </w:pPr>
      <w:r w:rsidRPr="0001523B">
        <w:rPr>
          <w:rFonts w:cs="Times New Roman"/>
          <w:color w:val="000000" w:themeColor="text1"/>
          <w:szCs w:val="24"/>
        </w:rPr>
        <w:t>K-Means clustering was applied to standardized financial features. The elbow and silhouette plots supported selecting k = 4 clusters.</w:t>
      </w:r>
    </w:p>
    <w:p w14:paraId="412DA109" w14:textId="77777777" w:rsidR="00A02E5C" w:rsidRPr="0001523B" w:rsidRDefault="00675A05">
      <w:pPr>
        <w:rPr>
          <w:rFonts w:cs="Times New Roman"/>
          <w:color w:val="000000" w:themeColor="text1"/>
          <w:szCs w:val="24"/>
        </w:rPr>
      </w:pPr>
      <w:r w:rsidRPr="0001523B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0F25A371" wp14:editId="31FBEC69">
            <wp:extent cx="4114800" cy="32138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1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7B821" w14:textId="77777777" w:rsidR="00A02E5C" w:rsidRPr="0001523B" w:rsidRDefault="00675A05">
      <w:pPr>
        <w:rPr>
          <w:rFonts w:cs="Times New Roman"/>
          <w:color w:val="000000" w:themeColor="text1"/>
          <w:szCs w:val="24"/>
        </w:rPr>
      </w:pPr>
      <w:r w:rsidRPr="0001523B">
        <w:rPr>
          <w:rFonts w:cs="Times New Roman"/>
          <w:color w:val="000000" w:themeColor="text1"/>
          <w:szCs w:val="24"/>
        </w:rPr>
        <w:t>Figure 1. Elbow Plot — the curve begins flattening around k = 4.</w:t>
      </w:r>
    </w:p>
    <w:p w14:paraId="07AF8602" w14:textId="77777777" w:rsidR="00A02E5C" w:rsidRPr="0001523B" w:rsidRDefault="00675A05">
      <w:pPr>
        <w:rPr>
          <w:rFonts w:cs="Times New Roman"/>
          <w:color w:val="000000" w:themeColor="text1"/>
          <w:szCs w:val="24"/>
        </w:rPr>
      </w:pPr>
      <w:r w:rsidRPr="0001523B">
        <w:rPr>
          <w:rFonts w:cs="Times New Roman"/>
          <w:noProof/>
          <w:color w:val="000000" w:themeColor="text1"/>
          <w:szCs w:val="24"/>
        </w:rPr>
        <w:lastRenderedPageBreak/>
        <w:drawing>
          <wp:inline distT="0" distB="0" distL="0" distR="0" wp14:anchorId="28A94120" wp14:editId="00343F52">
            <wp:extent cx="4114800" cy="321380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1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4C128" w14:textId="77777777" w:rsidR="00A02E5C" w:rsidRPr="0001523B" w:rsidRDefault="00675A05">
      <w:pPr>
        <w:rPr>
          <w:rFonts w:cs="Times New Roman"/>
          <w:color w:val="000000" w:themeColor="text1"/>
          <w:szCs w:val="24"/>
        </w:rPr>
      </w:pPr>
      <w:r w:rsidRPr="0001523B">
        <w:rPr>
          <w:rFonts w:cs="Times New Roman"/>
          <w:color w:val="000000" w:themeColor="text1"/>
          <w:szCs w:val="24"/>
        </w:rPr>
        <w:t>Figure 2. Silhouette Scores — strong structure up to k = 4.</w:t>
      </w:r>
    </w:p>
    <w:p w14:paraId="786311D7" w14:textId="77777777" w:rsidR="00A02E5C" w:rsidRPr="0001523B" w:rsidRDefault="00675A05">
      <w:pPr>
        <w:rPr>
          <w:rFonts w:cs="Times New Roman"/>
          <w:color w:val="000000" w:themeColor="text1"/>
          <w:szCs w:val="24"/>
        </w:rPr>
      </w:pPr>
      <w:r w:rsidRPr="0001523B">
        <w:rPr>
          <w:rFonts w:cs="Times New Roman"/>
          <w:color w:val="000000" w:themeColor="text1"/>
          <w:szCs w:val="24"/>
        </w:rPr>
        <w:t>A PCA visualization confirmed that these clusters separate clearly, meaning the groups represent real differences rather than noise.</w:t>
      </w:r>
    </w:p>
    <w:p w14:paraId="0BB05E1E" w14:textId="77777777" w:rsidR="00A02E5C" w:rsidRPr="0001523B" w:rsidRDefault="00675A05">
      <w:pPr>
        <w:rPr>
          <w:rFonts w:cs="Times New Roman"/>
          <w:color w:val="000000" w:themeColor="text1"/>
          <w:szCs w:val="24"/>
        </w:rPr>
      </w:pPr>
      <w:r w:rsidRPr="0001523B">
        <w:rPr>
          <w:rFonts w:cs="Times New Roman"/>
          <w:noProof/>
          <w:color w:val="000000" w:themeColor="text1"/>
          <w:szCs w:val="24"/>
        </w:rPr>
        <w:drawing>
          <wp:inline distT="0" distB="0" distL="0" distR="0" wp14:anchorId="6F6DE655" wp14:editId="662A37E6">
            <wp:extent cx="4114800" cy="293057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930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765DD" w14:textId="77777777" w:rsidR="00A02E5C" w:rsidRPr="0001523B" w:rsidRDefault="00675A05">
      <w:pPr>
        <w:rPr>
          <w:rFonts w:cs="Times New Roman"/>
          <w:color w:val="000000" w:themeColor="text1"/>
          <w:szCs w:val="24"/>
        </w:rPr>
      </w:pPr>
      <w:r w:rsidRPr="0001523B">
        <w:rPr>
          <w:rFonts w:cs="Times New Roman"/>
          <w:color w:val="000000" w:themeColor="text1"/>
          <w:szCs w:val="24"/>
        </w:rPr>
        <w:t>Figure 3. PCA visualization of the four clusters.</w:t>
      </w:r>
    </w:p>
    <w:p w14:paraId="04AB9546" w14:textId="77777777" w:rsidR="00A02E5C" w:rsidRPr="0001523B" w:rsidRDefault="00675A0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523B">
        <w:rPr>
          <w:rFonts w:ascii="Times New Roman" w:hAnsi="Times New Roman" w:cs="Times New Roman"/>
          <w:color w:val="000000" w:themeColor="text1"/>
          <w:sz w:val="24"/>
          <w:szCs w:val="24"/>
        </w:rPr>
        <w:t>Predictive Modeling</w:t>
      </w:r>
    </w:p>
    <w:p w14:paraId="458A4491" w14:textId="77777777" w:rsidR="00A02E5C" w:rsidRPr="0001523B" w:rsidRDefault="00675A05">
      <w:pPr>
        <w:rPr>
          <w:rFonts w:cs="Times New Roman"/>
          <w:color w:val="000000" w:themeColor="text1"/>
          <w:szCs w:val="24"/>
        </w:rPr>
      </w:pPr>
      <w:r w:rsidRPr="0001523B">
        <w:rPr>
          <w:rFonts w:cs="Times New Roman"/>
          <w:color w:val="000000" w:themeColor="text1"/>
          <w:szCs w:val="24"/>
        </w:rPr>
        <w:t xml:space="preserve">A binary target variable labeled firms as high‑margin (above median). Random Forest achieved perfect accuracy due to strong relationships in the data. Including the cluster </w:t>
      </w:r>
      <w:r w:rsidRPr="0001523B">
        <w:rPr>
          <w:rFonts w:cs="Times New Roman"/>
          <w:color w:val="000000" w:themeColor="text1"/>
          <w:szCs w:val="24"/>
        </w:rPr>
        <w:lastRenderedPageBreak/>
        <w:t>label improved model performance, showing that unsupervised feature discovery added value.</w:t>
      </w:r>
    </w:p>
    <w:p w14:paraId="647559F9" w14:textId="77777777" w:rsidR="00A02E5C" w:rsidRPr="0001523B" w:rsidRDefault="00675A0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523B">
        <w:rPr>
          <w:rFonts w:ascii="Times New Roman" w:hAnsi="Times New Roman" w:cs="Times New Roman"/>
          <w:color w:val="000000" w:themeColor="text1"/>
          <w:sz w:val="24"/>
          <w:szCs w:val="24"/>
        </w:rPr>
        <w:t>Business Insights &amp; Recommendations</w:t>
      </w:r>
    </w:p>
    <w:p w14:paraId="0509837F" w14:textId="77777777" w:rsidR="00A02E5C" w:rsidRPr="0001523B" w:rsidRDefault="00675A05">
      <w:pPr>
        <w:rPr>
          <w:rFonts w:cs="Times New Roman"/>
          <w:color w:val="000000" w:themeColor="text1"/>
          <w:szCs w:val="24"/>
        </w:rPr>
      </w:pPr>
      <w:r w:rsidRPr="0001523B">
        <w:rPr>
          <w:rFonts w:cs="Times New Roman"/>
          <w:color w:val="000000" w:themeColor="text1"/>
          <w:szCs w:val="24"/>
        </w:rPr>
        <w:t>1. Cluster 1 (high‑revenue, high‑margin firms) represents the strongest performers—ideal for long‑term partnerships.</w:t>
      </w:r>
      <w:r w:rsidRPr="0001523B">
        <w:rPr>
          <w:rFonts w:cs="Times New Roman"/>
          <w:color w:val="000000" w:themeColor="text1"/>
          <w:szCs w:val="24"/>
        </w:rPr>
        <w:br/>
        <w:t>2. Cluster 0 contains low‑revenue and low‑profit firms; operational improvements or restructuring may be needed.</w:t>
      </w:r>
      <w:r w:rsidRPr="0001523B">
        <w:rPr>
          <w:rFonts w:cs="Times New Roman"/>
          <w:color w:val="000000" w:themeColor="text1"/>
          <w:szCs w:val="24"/>
        </w:rPr>
        <w:br/>
        <w:t>3. Clusters 2 and 3 show moderate profitability and stable financials—growth initiatives could increase returns.</w:t>
      </w:r>
      <w:r w:rsidRPr="0001523B">
        <w:rPr>
          <w:rFonts w:cs="Times New Roman"/>
          <w:color w:val="000000" w:themeColor="text1"/>
          <w:szCs w:val="24"/>
        </w:rPr>
        <w:br/>
        <w:t>4. Consistent margin differences across clusters suggest opportunities for pricing strategy adjustments.</w:t>
      </w:r>
    </w:p>
    <w:p w14:paraId="5906510A" w14:textId="77777777" w:rsidR="00A02E5C" w:rsidRPr="0001523B" w:rsidRDefault="00675A0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523B">
        <w:rPr>
          <w:rFonts w:ascii="Times New Roman" w:hAnsi="Times New Roman" w:cs="Times New Roman"/>
          <w:color w:val="000000" w:themeColor="text1"/>
          <w:sz w:val="24"/>
          <w:szCs w:val="24"/>
        </w:rPr>
        <w:t>Limitations &amp; Next Steps</w:t>
      </w:r>
    </w:p>
    <w:p w14:paraId="625FC56C" w14:textId="77777777" w:rsidR="00A02E5C" w:rsidRPr="0001523B" w:rsidRDefault="00675A05">
      <w:pPr>
        <w:rPr>
          <w:rFonts w:cs="Times New Roman"/>
          <w:color w:val="000000" w:themeColor="text1"/>
          <w:szCs w:val="24"/>
        </w:rPr>
      </w:pPr>
      <w:r w:rsidRPr="0001523B">
        <w:rPr>
          <w:rFonts w:cs="Times New Roman"/>
          <w:color w:val="000000" w:themeColor="text1"/>
          <w:szCs w:val="24"/>
        </w:rPr>
        <w:t>The dataset may contain outliers, and results may vary across industries. Future work should include:</w:t>
      </w:r>
      <w:r w:rsidRPr="0001523B">
        <w:rPr>
          <w:rFonts w:cs="Times New Roman"/>
          <w:color w:val="000000" w:themeColor="text1"/>
          <w:szCs w:val="24"/>
        </w:rPr>
        <w:br/>
        <w:t>• Time‑series analysis</w:t>
      </w:r>
      <w:r w:rsidRPr="0001523B">
        <w:rPr>
          <w:rFonts w:cs="Times New Roman"/>
          <w:color w:val="000000" w:themeColor="text1"/>
          <w:szCs w:val="24"/>
        </w:rPr>
        <w:br/>
        <w:t>• Industry‑specific segmentation</w:t>
      </w:r>
      <w:r w:rsidRPr="0001523B">
        <w:rPr>
          <w:rFonts w:cs="Times New Roman"/>
          <w:color w:val="000000" w:themeColor="text1"/>
          <w:szCs w:val="24"/>
        </w:rPr>
        <w:br/>
        <w:t>• Additional non‑financial features</w:t>
      </w:r>
    </w:p>
    <w:sectPr w:rsidR="00A02E5C" w:rsidRPr="000152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9938464">
    <w:abstractNumId w:val="8"/>
  </w:num>
  <w:num w:numId="2" w16cid:durableId="920405285">
    <w:abstractNumId w:val="6"/>
  </w:num>
  <w:num w:numId="3" w16cid:durableId="469245910">
    <w:abstractNumId w:val="5"/>
  </w:num>
  <w:num w:numId="4" w16cid:durableId="821046240">
    <w:abstractNumId w:val="4"/>
  </w:num>
  <w:num w:numId="5" w16cid:durableId="866404402">
    <w:abstractNumId w:val="7"/>
  </w:num>
  <w:num w:numId="6" w16cid:durableId="598099372">
    <w:abstractNumId w:val="3"/>
  </w:num>
  <w:num w:numId="7" w16cid:durableId="42600754">
    <w:abstractNumId w:val="2"/>
  </w:num>
  <w:num w:numId="8" w16cid:durableId="2056999448">
    <w:abstractNumId w:val="1"/>
  </w:num>
  <w:num w:numId="9" w16cid:durableId="1428386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23B"/>
    <w:rsid w:val="00034616"/>
    <w:rsid w:val="0006063C"/>
    <w:rsid w:val="0015074B"/>
    <w:rsid w:val="0029639D"/>
    <w:rsid w:val="002B4F09"/>
    <w:rsid w:val="00326F90"/>
    <w:rsid w:val="003B6BA6"/>
    <w:rsid w:val="008D151F"/>
    <w:rsid w:val="00A02E5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E7E654"/>
  <w14:defaultImageDpi w14:val="300"/>
  <w15:docId w15:val="{974778B1-2395-448A-ADE7-5DF93C34F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justin gay</cp:lastModifiedBy>
  <cp:revision>4</cp:revision>
  <dcterms:created xsi:type="dcterms:W3CDTF">2025-12-09T00:30:00Z</dcterms:created>
  <dcterms:modified xsi:type="dcterms:W3CDTF">2025-12-09T00:31:00Z</dcterms:modified>
  <cp:category/>
</cp:coreProperties>
</file>