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1F4E79"/>
          <w:sz w:val="32"/>
        </w:rPr>
        <w:t>Portfolio Risk &amp; Value Briefing — Steering Committee</w:t>
      </w:r>
    </w:p>
    <w:p>
      <w:pPr>
        <w:pStyle w:val="Heading1"/>
      </w:pPr>
      <w:r>
        <w:rPr>
          <w:rFonts w:ascii="Calibri" w:hAnsi="Calibri"/>
          <w:color w:val="1F4E79"/>
        </w:rPr>
        <w:t>Executive Summary</w:t>
      </w:r>
    </w:p>
    <w:p>
      <w:r>
        <w:rPr>
          <w:sz w:val="20"/>
        </w:rPr>
        <w:t xml:space="preserve">The portfolio comprises 6 active projects. </w:t>
      </w:r>
      <w:r>
        <w:rPr>
          <w:sz w:val="20"/>
        </w:rPr>
        <w:t xml:space="preserve">5 are rated Red, 1 Amber, and 0 Green. </w:t>
      </w:r>
      <w:r>
        <w:rPr>
          <w:sz w:val="20"/>
        </w:rPr>
        <w:t xml:space="preserve">22 risks have been identified, with 6 projects requiring attention. </w:t>
      </w:r>
      <w:r>
        <w:rPr>
          <w:sz w:val="20"/>
        </w:rPr>
        <w:t>Projects requiring immediate attention: Alpha, Epsilon, Gamma, Beta, Zeta.</w:t>
      </w:r>
    </w:p>
    <w:p>
      <w:pPr>
        <w:pStyle w:val="Heading1"/>
      </w:pPr>
      <w:r>
        <w:rPr>
          <w:rFonts w:ascii="Calibri" w:hAnsi="Calibri"/>
          <w:color w:val="1F4E79"/>
        </w:rPr>
        <w:t>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  <w:sz w:val="18"/>
              </w:rPr>
              <w:t>Risks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  <w:sz w:val="18"/>
              </w:rPr>
              <w:t>Top Risk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88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'Implement payment gateway' is blocked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88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'Staff training rollout' is on hold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 Risk</w:t>
            </w:r>
          </w:p>
        </w:tc>
        <w:tc>
          <w:tcPr>
            <w:tcW w:type="dxa" w:w="188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'Data migration pipeline' has blocker in comments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88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'Vendor selection' has blocker in comments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Zeta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88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'Technical architecture design' has 1 dependency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881"/>
            <w:shd w:fill="FDE9D9" w:val="clear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Task 'Push notification service' has 1 dependency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Top Portfolio Risks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1. Task 'Implement payment gateway' is blocked</w:t>
      </w:r>
    </w:p>
    <w:p>
      <w:pPr>
        <w:spacing w:after="40"/>
      </w:pPr>
      <w:r>
        <w:rPr>
          <w:sz w:val="18"/>
        </w:rPr>
        <w:t>In project Alpha, the critical-priority task 'Implement payment gateway' (assigned to Charlie Kim) has status 'Blocked' and comments indicate a blocker: "Blocked by third-party vendor API changes. Waiting for vendor response...".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Escalate the blocker on 'Implement payment gateway' — identify the blocking party and set a resolution deadline. Review the dependency: Blocked by third-party vendor API changes. Waiting for vendor response.... Assign an owner to chase resolution. Consider this a priority escalation — critical-priority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2. Task 'Implement payment gateway' has 2 dependencies</w:t>
      </w:r>
    </w:p>
    <w:p>
      <w:pPr>
        <w:spacing w:after="40"/>
      </w:pPr>
      <w:r>
        <w:rPr>
          <w:sz w:val="18"/>
        </w:rPr>
        <w:t>In project Alpha, the critical-priority task 'Implement payment gateway' (assigned to Charlie Kim) has 2 dependency indicators in comments: "third-party vendor API changes" (blocked by); "vendor response since 2026-01-20" (waiting for).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Task 'Implement payment gateway' has 2 dependencies — review whether all are genuine blockers or if any can be decoupled. Assign an owner to each dependency for resolution tracking. As a critical-priority item, unresolved dependencies should be escalated to the project lead.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3. Task 'Staff training rollout' is on hold</w:t>
      </w:r>
    </w:p>
    <w:p>
      <w:pPr>
        <w:spacing w:after="40"/>
      </w:pPr>
      <w:r>
        <w:rPr>
          <w:sz w:val="18"/>
        </w:rPr>
        <w:t>In project Epsilon, the high-priority task 'Staff training rollout' (assigned to Nora Bell) has status 'On Hold' and comments indicate a blocker: "On hold - blocked by policy document completion".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Escalate the blocker on 'Staff training rollout' — identify the blocking party and set a resolution deadline. Review the dependency: On hold - blocked by policy document completion. Assign an owner to chase resolution. Consider this a priority escalation — high-priority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4. Task 'Board compliance report' has blocker in comments</w:t>
      </w:r>
    </w:p>
    <w:p>
      <w:pPr>
        <w:spacing w:after="40"/>
      </w:pPr>
      <w:r>
        <w:rPr>
          <w:sz w:val="18"/>
        </w:rPr>
        <w:t>In project Epsilon, the critical-priority task 'Board compliance report' (assigned to Oscar Ruiz) has a blocker indicated in comments: "Waiting for all audit streams to complete".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Waiting for all audit streams to complete. Assign an owner to chase resolution. Consider this a priority escalation — critical-priority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5. Project 'Epsilon' has consumed 97% of budget with 27% of time remaining</w:t>
      </w:r>
    </w:p>
    <w:p>
      <w:pPr>
        <w:spacing w:after="40"/>
      </w:pPr>
      <w:r>
        <w:rPr>
          <w:sz w:val="18"/>
        </w:rPr>
        <w:t>Project Epsilon has spent 58,000 of its 60,000 budget (97% consumed). However, 27% of the project timeline remains (2026-03-31 end date). At the current burn rate, the project will exhaust its budget before completion.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spending trajectory on Epsilon. Identify the largest cost drivers and assess whether scope reduction, timeline extension, or additional funding is needed. Flag to steering committee for decision.</w:t>
      </w:r>
    </w:p>
    <w:p>
      <w:pPr>
        <w:pStyle w:val="Heading1"/>
      </w:pPr>
      <w:r>
        <w:rPr>
          <w:rFonts w:ascii="Calibri" w:hAnsi="Calibri"/>
          <w:color w:val="1F4E79"/>
        </w:rPr>
        <w:t>Recommended Decisions</w:t>
      </w:r>
    </w:p>
    <w:p>
      <w:r>
        <w:rPr>
          <w:sz w:val="20"/>
        </w:rPr>
        <w:t>1. Escalate Alpha, Epsilon, Gamma to executive review — these projects have Critical/High risks requiring immediate intervention.</w:t>
      </w:r>
    </w:p>
    <w:p>
      <w:r>
        <w:rPr>
          <w:sz w:val="20"/>
        </w:rPr>
        <w:t>2. Review budget allocation for Gamma, Epsilon — current burn rate indicates budget exhaustion before delivery completion.</w:t>
      </w:r>
    </w:p>
    <w:p>
      <w:r>
        <w:rPr>
          <w:sz w:val="20"/>
        </w:rPr>
        <w:t>3. Unblock delivery on Alpha — assign owners to resolve blockers and set resolution deadlines within 5 working days.</w:t>
      </w:r>
    </w:p>
    <w:p>
      <w:pPr>
        <w:pStyle w:val="Heading1"/>
      </w:pPr>
      <w:r>
        <w:rPr>
          <w:rFonts w:ascii="Calibri" w:hAnsi="Calibri"/>
          <w:color w:val="1F4E79"/>
        </w:rPr>
        <w:t>Key Talking Points</w:t>
      </w:r>
    </w:p>
    <w:p>
      <w:pPr>
        <w:pStyle w:val="ListBullet"/>
      </w:pPr>
      <w:r>
        <w:rPr>
          <w:sz w:val="20"/>
        </w:rPr>
        <w:t>Portfolio health: 5 of 6 projects are Red status, requiring leadership attention this cycle.</w:t>
      </w:r>
    </w:p>
    <w:p>
      <w:pPr>
        <w:pStyle w:val="ListBullet"/>
      </w:pPr>
      <w:r>
        <w:rPr>
          <w:sz w:val="20"/>
        </w:rPr>
        <w:t>The most common risk category is 'Dependency' (11 instances across the portfolio).</w:t>
      </w:r>
    </w:p>
    <w:p>
      <w:pPr>
        <w:pStyle w:val="ListBullet"/>
      </w:pPr>
      <w:r>
        <w:rPr>
          <w:sz w:val="20"/>
        </w:rPr>
        <w:t>Key question for the committee: Are we comfortable with the current risk exposure, or do we need to reallocate resources?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