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The Economics of Transformative AI</w:t>
      </w:r>
    </w:p>
    <w:p>
      <w:pPr>
        <w:spacing w:after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Part 1 — AI-lab revenue research, and Part 2 — a reproducible model of the compute &amp; revenue calculations</w:t>
      </w:r>
    </w:p>
    <w:p>
      <w:p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for Justin, Arcadia Impact  |  14 June 2026</w:t>
      </w:r>
    </w:p>
    <w:p>
      <w:pPr>
        <w:pBdr>
          <w:bottom w:val="single" w:color="1F3864" w:sz="8" w:space="4"/>
        </w:pBdr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This document accompanies the working draft of your two-page brief and the live workbook </w:t>
      </w:r>
      <w:r>
        <w:rPr>
          <w:rFonts w:ascii="Arial" w:cs="Arial" w:eastAsia="Arial" w:hAnsi="Arial"/>
          <w:sz w:val="21"/>
          <w:szCs w:val="21"/>
        </w:rPr>
        <w:t xml:space="preserve">AI_revenue_model.xlsx</w:t>
      </w:r>
      <w:r>
        <w:rPr>
          <w:rFonts w:ascii="Arial" w:cs="Arial" w:eastAsia="Arial" w:hAnsi="Arial"/>
          <w:sz w:val="21"/>
          <w:szCs w:val="21"/>
        </w:rPr>
        <w:t xml:space="preserve">. Part 1 is a one-page research synthesis on AI-lab revenue with appendices. Part 2 summarises the reproduction of your “Back-of-napkin” calculations and the Monte-Carlo stress tests. A separate audit report (Part 3) red-teams everything. All figures are sourced with live links.</w:t>
      </w:r>
    </w:p>
    <w:p>
      <w:pPr>
        <w:pBdr>
          <w:left w:val="single" w:color="1F3864" w:sz="18" w:space="8"/>
        </w:pBdr>
        <w:shd w:fill="D9E1F2" w:val="clear"/>
        <w:spacing w:after="6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Bottom line:  </w:t>
      </w:r>
      <w:r>
        <w:rPr>
          <w:rFonts w:ascii="Arial" w:cs="Arial" w:eastAsia="Arial" w:hAnsi="Arial"/>
          <w:sz w:val="21"/>
          <w:szCs w:val="21"/>
        </w:rPr>
        <w:t xml:space="preserve">Your arithmetic is sound — every headline figure reproduces within rounding. The inputs are defensible and, where they differ from the latest sources, your numbers tend to be </w:t>
      </w:r>
      <w:r>
        <w:rPr>
          <w:rFonts w:ascii="Arial" w:cs="Arial" w:eastAsia="Arial" w:hAnsi="Arial"/>
          <w:sz w:val="21"/>
          <w:szCs w:val="21"/>
        </w:rPr>
        <w:t xml:space="preserve">conservative</w:t>
      </w:r>
      <w:r>
        <w:rPr>
          <w:rFonts w:ascii="Arial" w:cs="Arial" w:eastAsia="Arial" w:hAnsi="Arial"/>
          <w:sz w:val="21"/>
          <w:szCs w:val="21"/>
        </w:rPr>
        <w:t xml:space="preserve">. The $2T-by-2031 revenue figure sits near the 25th percentile of a probabilistic re-estimate (median ≈$6.5T). The weak points are not the headline numbers but three internal price/per-copy inconsistencies and a few scenario claims — all detailed below and in the audit.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1 — AI-lab revenue: research synthesis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One-page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Revenue is real, large, and growing fast. </w:t>
      </w:r>
      <w:r>
        <w:rPr>
          <w:rFonts w:ascii="Arial" w:cs="Arial" w:eastAsia="Arial" w:hAnsi="Arial"/>
          <w:sz w:val="21"/>
          <w:szCs w:val="21"/>
        </w:rPr>
        <w:t xml:space="preserve">Frontier-lab serving revenue went from roughly nothing in 2023 to an industry run-rate on the order of $70–100B by mid-2026. Anthropic alone reports a run-rate of about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$44–47B</w:t>
      </w:r>
      <w:r>
        <w:rPr>
          <w:rFonts w:ascii="Arial" w:cs="Arial" w:eastAsia="Arial" w:hAnsi="Arial"/>
          <w:sz w:val="21"/>
          <w:szCs w:val="21"/>
        </w:rPr>
        <w:t xml:space="preserve"> (May 2026), having roughly doubled every ~6 weeks through the year; OpenAI is around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$25B</w:t>
      </w:r>
      <w:r>
        <w:rPr>
          <w:rFonts w:ascii="Arial" w:cs="Arial" w:eastAsia="Arial" w:hAnsi="Arial"/>
          <w:sz w:val="21"/>
          <w:szCs w:val="21"/>
        </w:rPr>
        <w:t xml:space="preserve">. Adding Google, Microsoft, Meta, xAI and the cloud resellers, your rounded </w:t>
      </w:r>
      <w:r>
        <w:rPr>
          <w:rFonts w:ascii="Arial" w:cs="Arial" w:eastAsia="Arial" w:hAnsi="Arial"/>
          <w:sz w:val="21"/>
          <w:szCs w:val="21"/>
        </w:rPr>
        <w:t xml:space="preserve">$100B</w:t>
      </w:r>
      <w:r>
        <w:rPr>
          <w:rFonts w:ascii="Arial" w:cs="Arial" w:eastAsia="Arial" w:hAnsi="Arial"/>
          <w:sz w:val="21"/>
          <w:szCs w:val="21"/>
        </w:rPr>
        <w:t xml:space="preserve"> industry figure is reasonable — though note OpenAI+Anthropic alone is closer to $70B than the $80B stated in the doc.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compute base checks out too. Epoch AI estimates the world had about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16.5M H100-equivalents</w:t>
      </w:r>
      <w:r>
        <w:rPr>
          <w:rFonts w:ascii="Arial" w:cs="Arial" w:eastAsia="Arial" w:hAnsi="Arial"/>
          <w:sz w:val="21"/>
          <w:szCs w:val="21"/>
        </w:rPr>
        <w:t xml:space="preserve"> at end-2025, growing ~3.3×/year (a ~7-month doubling). Your “at least 20M” for mid-2026 is therefore plausible and, if anything, mildly conservative. Your 3×/year growth assumption matches both Epoch (3.3×) and Dario Amodei’s own “~3× a year” on the Dwarkesh podcast.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Where the estimate is fragile is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revenue-per-unit-of-compute</w:t>
      </w:r>
      <w:r>
        <w:rPr>
          <w:rFonts w:ascii="Arial" w:cs="Arial" w:eastAsia="Arial" w:hAnsi="Arial"/>
          <w:sz w:val="21"/>
          <w:szCs w:val="21"/>
        </w:rPr>
        <w:t xml:space="preserve"> link. Three independent anchors give very different numbers: the macro average ($100B ÷ 20M ≈ </w:t>
      </w:r>
      <w:r>
        <w:rPr>
          <w:rFonts w:ascii="Arial" w:cs="Arial" w:eastAsia="Arial" w:hAnsi="Arial"/>
          <w:sz w:val="21"/>
          <w:szCs w:val="21"/>
        </w:rPr>
        <w:t xml:space="preserve">$5k/chip</w:t>
      </w:r>
      <w:r>
        <w:rPr>
          <w:rFonts w:ascii="Arial" w:cs="Arial" w:eastAsia="Arial" w:hAnsi="Arial"/>
          <w:sz w:val="21"/>
          <w:szCs w:val="21"/>
        </w:rPr>
        <w:t xml:space="preserve">), Anthropic’s empirical figure (~</w:t>
      </w:r>
      <w:r>
        <w:rPr>
          <w:rFonts w:ascii="Arial" w:cs="Arial" w:eastAsia="Arial" w:hAnsi="Arial"/>
          <w:sz w:val="21"/>
          <w:szCs w:val="21"/>
        </w:rPr>
        <w:t xml:space="preserve">$45k</w:t>
      </w:r>
      <w:r>
        <w:rPr>
          <w:rFonts w:ascii="Arial" w:cs="Arial" w:eastAsia="Arial" w:hAnsi="Arial"/>
          <w:sz w:val="21"/>
          <w:szCs w:val="21"/>
        </w:rPr>
        <w:t xml:space="preserve"> per inference chip), and your bottom-up DeepSeek figure (~$90k/GPU/yr). The DeepSeek figure is the least reliable: it uses a token price ($3.5/M) that is actually DeepSeek V4’s </w:t>
      </w:r>
      <w:r>
        <w:rPr>
          <w:rFonts w:ascii="Arial" w:cs="Arial" w:eastAsia="Arial" w:hAnsi="Arial"/>
          <w:sz w:val="21"/>
          <w:szCs w:val="21"/>
        </w:rPr>
        <w:t xml:space="preserve">pre-discount, output-only</w:t>
      </w:r>
      <w:r>
        <w:rPr>
          <w:rFonts w:ascii="Arial" w:cs="Arial" w:eastAsia="Arial" w:hAnsi="Arial"/>
          <w:sz w:val="21"/>
          <w:szCs w:val="21"/>
        </w:rPr>
        <w:t xml:space="preserve"> price — the current blended price is ~$2.17/M and output-only ~$0.87/M — and a 40% utilisation that exceeds Epoch’s 5–30% range. Treat $45k (empirical) as the better 2026 anchor; $90k overstates by roughly 2×.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Verdict: </w:t>
      </w:r>
      <w:r>
        <w:rPr>
          <w:rFonts w:ascii="Arial" w:cs="Arial" w:eastAsia="Arial" w:hAnsi="Arial"/>
          <w:sz w:val="21"/>
          <w:szCs w:val="21"/>
        </w:rPr>
        <w:t xml:space="preserve">the revenue thesis is well-supported and the inputs are sound. The headline trajectory ($100B → $2T by 2031) is </w:t>
      </w:r>
      <w:r>
        <w:rPr>
          <w:rFonts w:ascii="Arial" w:cs="Arial" w:eastAsia="Arial" w:hAnsi="Arial"/>
          <w:sz w:val="21"/>
          <w:szCs w:val="21"/>
        </w:rPr>
        <w:t xml:space="preserve">conservative</w:t>
      </w:r>
      <w:r>
        <w:rPr>
          <w:rFonts w:ascii="Arial" w:cs="Arial" w:eastAsia="Arial" w:hAnsi="Arial"/>
          <w:sz w:val="21"/>
          <w:szCs w:val="21"/>
        </w:rPr>
        <w:t xml:space="preserve"> relative to frontier-lab guidance — Amodei expects “multiple trillions per year by 2028–2029.” Your work’s real exposure is in the per-token / per-copy economics, not the direction or scale.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Your numbers vs. current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500"/>
        <w:gridCol w:w="1900"/>
        <w:gridCol w:w="3410"/>
      </w:tblGrid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value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Researched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 / source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ARR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$44–47B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Matches. </w:t>
            </w:r>
            <w:hyperlink w:history="1" r:id="rIddvv17bycogjbmdf5a9qdl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Willison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ARR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(implied ~$35B)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~$25B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Combined ≈$70B, not $80B. </w:t>
            </w:r>
            <w:hyperlink w:history="1" r:id="rIdusddgxlohxtlq7rpvkacl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Sacra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Industry LLM revenue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$70–100B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Reasonable once Google/MSFT/xAI etc. included.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 compute stock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20M H100e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16.5M (end-25)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20M for mid-26 is fine. </w:t>
            </w:r>
            <w:hyperlink w:history="1" r:id="rIdj8f3rw-btqdsrxcrg1d76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 growth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3×/yr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3.3×/yr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Matches Epoch &amp; Amodei. </w:t>
            </w:r>
            <w:hyperlink w:history="1" r:id="rIdixr2s3rs2x3_mdn-wpyex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fleet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1M (inference)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~2M total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1.3M Trn2 + 1M TPUv7 + ~220k GPU. </w:t>
            </w:r>
            <w:hyperlink w:history="1" r:id="rIdyknk0ncluvkh-5ffzjw1r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DeepSeek price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$3.5/M blended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$0.87 out / $2.17 blend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$3.5 = pre-discount output price. </w:t>
            </w:r>
            <w:hyperlink w:history="1" r:id="rIdpn9q0b2bn8taaxyljarkt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Morph</w:t>
              </w:r>
            </w:hyperlink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Inference utilisation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5–30%</w:t>
            </w:r>
          </w:p>
        </w:tc>
        <w:tc>
          <w:tcPr>
            <w:tcW w:type="dxa" w:w="3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40% optimistic. </w:t>
            </w:r>
            <w:hyperlink w:history="1" r:id="rIdjpt3ov7hphdxs4u2s4iz-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</w:t>
              </w:r>
            </w:hyperlink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Green</w:t>
      </w:r>
      <w:r>
        <w:rPr>
          <w:rFonts w:ascii="Arial" w:cs="Arial" w:eastAsia="Arial" w:hAnsi="Arial"/>
          <w:sz w:val="19"/>
          <w:szCs w:val="19"/>
        </w:rPr>
        <w:t xml:space="preserve"> = your figure stands. </w:t>
      </w: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Red</w:t>
      </w:r>
      <w:r>
        <w:rPr>
          <w:rFonts w:ascii="Arial" w:cs="Arial" w:eastAsia="Arial" w:hAnsi="Arial"/>
          <w:sz w:val="19"/>
          <w:szCs w:val="19"/>
        </w:rPr>
        <w:t xml:space="preserve"> = revise or re-label (full detail in the audit).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 Sources you should consider (with links)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Beyond the five papers already in your draft, these are the most directly relevant primary sources for the revenue/compute argument. Most are free.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4A7B"/>
          <w:sz w:val="21"/>
          <w:szCs w:val="21"/>
        </w:rPr>
        <w:t xml:space="preserve">Epoch AI (the single best data source for this brief)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“How many digital workers could OpenAI deploy?” — the closest published analogue to your token-vs-human calculation (median 7M digital workers; method you should mirror). — </w:t>
      </w:r>
      <w:hyperlink w:history="1" r:id="rId8ewtvv3na8uvsdkoszpxm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https://epoch.ai/gradient-updates/how-many-digital-workers-could-openai-deploy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“Is a compute crunch coming?” — global inference capacity ~0.5–20B tokens/sec (Q4-2025), tripling each year; the basis for your 2031 token figure. — </w:t>
      </w:r>
      <w:hyperlink w:history="1" r:id="rIdyahtfq8rih18as4wcprc9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https://epoch.ai/gradient-updates/is-a-compute-crunch-coming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“Inference economics of language models” — peer-level treatment of tokens/sec, utilisation and $/token. — </w:t>
      </w:r>
      <w:hyperlink w:history="1" r:id="rId6ejzw2ynoq_d6l5ouead1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https://epoch.ai/blog/inference-economics-of-language-models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“Can AI companies become profitable?” and “Company spending breakdown” — revenue, margins and the training/inference split. — </w:t>
      </w:r>
      <w:hyperlink w:history="1" r:id="rIdvuhv3aoidnshn5bst5mek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https://epoch.ai/gradient-updates/can-ai-companies-become-profitable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AI Chip Sales / Chip Owners / Companies data explorers — primary compute-stock and per-company figures. — </w:t>
      </w:r>
      <w:hyperlink w:history="1" r:id="rIdp0881os_jhhtc7ptyhsr-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https://epoch.ai/data/ai-chip-owners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GATE — Epoch’s formal model of the AI-and-automation trajectory (a rigorous alternative to back-of-napkin). — </w:t>
      </w:r>
      <w:hyperlink w:history="1" r:id="rIdc3azvnsbgjbf0k42uxih0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https://epoch.ai/publications/announcing-gate</w:t>
        </w:r>
      </w:hyperlink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4A7B"/>
          <w:sz w:val="21"/>
          <w:szCs w:val="21"/>
        </w:rPr>
        <w:t xml:space="preserve">Industry / market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SemiAnalysis — “Tokenomics” model, “AI Cloud TCO” model, and “InferenceMAX” benchmarks: the deepest cost-per-token and revenue-per-MW modelling available. — </w:t>
      </w:r>
      <w:hyperlink w:history="1" r:id="rIdxkumbuhnj1uaaoph_nim2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https://semianalysis.com/tokenomics-model/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Sacra — independent revenue/valuation tracking for OpenAI, Anthropic and peers. — </w:t>
      </w:r>
      <w:hyperlink w:history="1" r:id="rIdzsfkwnvhhlq7gsc3bdgij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https://sacra.com/c/anthropic/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Dwarkesh Patel × Dario Amodei (2026) — Amodei’s own numbers: ~3×/yr compute, 10–15GW built in 2026, “multiple trillions/yr by 2028–29”, $50T human wages, 10–20%/yr GDP-growth ceiling. — </w:t>
      </w:r>
      <w:hyperlink w:history="1" r:id="rIdewrxd3ze7k6g7vuge685p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https://www.dwarkesh.com/p/dario-amodei-2</w:t>
        </w:r>
      </w:hyperlink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4A7B"/>
          <w:sz w:val="21"/>
          <w:szCs w:val="21"/>
        </w:rPr>
        <w:t xml:space="preserve">Academic / framing (complements your five papers)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Korinek &amp; McKelvey, “Measuring the AI Economy” (PIIE, 2026) — already in your draft; the natural home for the tax-base argument. — </w:t>
      </w:r>
      <w:hyperlink w:history="1" r:id="rIdntmyrif5ag6iwbtpzykht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https://www.piie.com/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AI-2027 compute forecast — a detailed inference/compute build-out model. — </w:t>
      </w:r>
      <w:hyperlink w:history="1" r:id="rIdybv5fv64qzyk2iwgpom41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https://ai-2027.com/research/compute-forecast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Forethought — software-intelligence-explosion modelling (upside scenarios for digital workers). — </w:t>
      </w:r>
      <w:hyperlink w:history="1" r:id="rIdsfcbjkc7jld981s4qxmsd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https://www.forethought.org/research/will-ai-r-and-d-automation-cause-a-software-intelligence-explosion</w:t>
        </w:r>
      </w:hyperlink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 Similar modelling already out there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Epoch’s “digital workers” piece is the model to know. </w:t>
      </w:r>
      <w:r>
        <w:rPr>
          <w:rFonts w:ascii="Arial" w:cs="Arial" w:eastAsia="Arial" w:hAnsi="Arial"/>
          <w:sz w:val="21"/>
          <w:szCs w:val="21"/>
        </w:rPr>
        <w:t xml:space="preserve">It does almost exactly your token-vs-human comparison, but more carefully: it converts a lab’s inference compute (OpenAI ~1.1M H100e total, ~44% to inference) into ~19 trillion tokens/day, divides by a human “effective token” rate (380 words/min thinking ≈ 240k tokens/day), and gets a median of ~7M “digital workers” (90% CI 0.4M–300M). Crucially, Epoch warns this is </w:t>
      </w:r>
      <w:r>
        <w:rPr>
          <w:rFonts w:ascii="Arial" w:cs="Arial" w:eastAsia="Arial" w:hAnsi="Arial"/>
          <w:sz w:val="21"/>
          <w:szCs w:val="21"/>
        </w:rPr>
        <w:t xml:space="preserve">not</w:t>
      </w:r>
      <w:r>
        <w:rPr>
          <w:rFonts w:ascii="Arial" w:cs="Arial" w:eastAsia="Arial" w:hAnsi="Arial"/>
          <w:sz w:val="21"/>
          <w:szCs w:val="21"/>
        </w:rPr>
        <w:t xml:space="preserve"> the same as replacing 7M jobs, because token-parity ≠ capability-parity. That caveat is the single most important import for your brief.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On the revenue side, Amodei’s framing on Dwarkesh is the best sanity check: industry compute builds ~10–15GW in 2026 growing ~3×/yr (≈30–40GW in 2027, ~100GW in 2028, ~300GW in 2029) at ~$10–15B/GW, implying “multiple trillions per year by 2028–2029.” His caveat — that revenue could lag capability by 1–5 years, and might even “bend” below 10× growth this year — is the main downside risk to your trajectory. SemiAnalysis’s Tokenomics/TCO models and Epoch’s compute-crunch piece give you the supply side. Taken together, these put your $2T-by-2031 squarely inside (toward the conservative end of) the consensus envelope.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2 — Reproduction &amp; simulation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What the workbook does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companion file </w:t>
      </w:r>
      <w:r>
        <w:rPr>
          <w:rFonts w:ascii="Arial" w:cs="Arial" w:eastAsia="Arial" w:hAnsi="Arial"/>
          <w:sz w:val="21"/>
          <w:szCs w:val="21"/>
        </w:rPr>
        <w:t xml:space="preserve">AI_revenue_model.xlsx</w:t>
      </w:r>
      <w:r>
        <w:rPr>
          <w:rFonts w:ascii="Arial" w:cs="Arial" w:eastAsia="Arial" w:hAnsi="Arial"/>
          <w:sz w:val="21"/>
          <w:szCs w:val="21"/>
        </w:rPr>
        <w:t xml:space="preserve"> rebuilds every calculation from the “Back-of-napkin” section using live formulas (not hard-coded results), with a single sourced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Inputs &amp; Sources</w:t>
      </w:r>
      <w:r>
        <w:rPr>
          <w:rFonts w:ascii="Arial" w:cs="Arial" w:eastAsia="Arial" w:hAnsi="Arial"/>
          <w:sz w:val="21"/>
          <w:szCs w:val="21"/>
        </w:rPr>
        <w:t xml:space="preserve"> sheet driving everything. Sheets cover the 2026 baseline, the 2031 projection (all three methods), the scale/human comparisons, a live 2,000-trial Monte Carlo, and a deterministic scenario/tornado. Inputs are colour-coded (blue = change me) and every hardcode carries a source link and a confidence flag. Each calculation shows your original figure beside the recomputed one.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Reproduction result: </w:t>
      </w:r>
      <w:r>
        <w:rPr>
          <w:rFonts w:ascii="Arial" w:cs="Arial" w:eastAsia="Arial" w:hAnsi="Arial"/>
          <w:sz w:val="21"/>
          <w:szCs w:val="21"/>
        </w:rPr>
        <w:t xml:space="preserve">every figure reproduces within rounding. Independently re-deriving the same calculations in Python (the script </w:t>
      </w:r>
      <w:r>
        <w:rPr>
          <w:rFonts w:ascii="Arial" w:cs="Arial" w:eastAsia="Arial" w:hAnsi="Arial"/>
          <w:sz w:val="21"/>
          <w:szCs w:val="21"/>
        </w:rPr>
        <w:t xml:space="preserve">reproduce.py</w:t>
      </w:r>
      <w:r>
        <w:rPr>
          <w:rFonts w:ascii="Arial" w:cs="Arial" w:eastAsia="Arial" w:hAnsi="Arial"/>
          <w:sz w:val="21"/>
          <w:szCs w:val="21"/>
        </w:rPr>
        <w:t xml:space="preserve">, also in your folder) gives identical results, confirming there are no hidden spreadsheet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400"/>
        <w:gridCol w:w="4260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Recomputed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Concurrent copies, 2026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830,000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833,333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20M ÷ 24.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/ H100e (macro)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$5,000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$100B ÷ 20M.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rev / chip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$45,000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$45,000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 as per-inference-chip (fleet ≈2M).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rev / model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$1.07M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$1.08M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$45B ÷ 41,667.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DeepSeek rev / GPU @40%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$90k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$92.7k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Arithmetic OK; inputs questionable (see audit).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 stock 2031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4.8B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4.86B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20M × 3^5.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Copies 2031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24.3M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24.3M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4.86B ÷ 200 (29× 2026).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Model-based revenue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$2.00T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10M × $200k — but see inconsistency 2.7.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Token-based revenue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$2.6T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$2.63T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$5M/min annualised.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: human tokens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4×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4.0×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Sensitive to cognition basis (→24× on Epoch's).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Monte-Carlo re-estimate of 2031 revenue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Rather than three single-point estimates, the workbook (and a 900k-draw Python run) puts probability distributions on the tenuous inputs — compute growth, starting stock, revenue-per-chip and its decay, copies served, revenue-per-copy, token capacity, utilisation and price — and runs all three methods, then pools them. The result reframes the $2T headline.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Figure 1. Pooled distribution of 2031 frontier-AI serving revenue (three methods). Doc headline $2T (red) vs. simulated median ~$6.5T (green)." descr="Figure 1. Pooled distribution of 2031 frontier-AI serving revenue (three methods). Doc headline $2T (red) vs. simulated median ~$6.5T (green)." title="Figure 1. Pooled distribution of 2031 frontier-AI serving revenue (three methods). Doc headline $2T (red) vs. simulated median ~$6.5T (gree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Figure 1. Pooled distribution of 2031 frontier-AI serving revenue (three methods). Doc headline $2T (red) vs. simulated median ~$6.5T (green).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Reading: </w:t>
      </w:r>
      <w:r>
        <w:rPr>
          <w:rFonts w:ascii="Arial" w:cs="Arial" w:eastAsia="Arial" w:hAnsi="Arial"/>
          <w:sz w:val="21"/>
          <w:szCs w:val="21"/>
        </w:rPr>
        <w:t xml:space="preserve">pooled median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$6.5T</w:t>
      </w:r>
      <w:r>
        <w:rPr>
          <w:rFonts w:ascii="Arial" w:cs="Arial" w:eastAsia="Arial" w:hAnsi="Arial"/>
          <w:sz w:val="21"/>
          <w:szCs w:val="21"/>
        </w:rPr>
        <w:t xml:space="preserve">; 90% interval roughly $0.6T–$72T. Probability the figure exceeds your $2T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~79%</w:t>
      </w:r>
      <w:r>
        <w:rPr>
          <w:rFonts w:ascii="Arial" w:cs="Arial" w:eastAsia="Arial" w:hAnsi="Arial"/>
          <w:sz w:val="21"/>
          <w:szCs w:val="21"/>
        </w:rPr>
        <w:t xml:space="preserve">; exceeds $1T, ~91%; exceeds $10T, ~38%. In other words your $2T is near the </w:t>
      </w:r>
      <w:r>
        <w:rPr>
          <w:rFonts w:ascii="Arial" w:cs="Arial" w:eastAsia="Arial" w:hAnsi="Arial"/>
          <w:sz w:val="21"/>
          <w:szCs w:val="21"/>
        </w:rPr>
        <w:t xml:space="preserve">25th percentile</w:t>
      </w:r>
      <w:r>
        <w:rPr>
          <w:rFonts w:ascii="Arial" w:cs="Arial" w:eastAsia="Arial" w:hAnsi="Arial"/>
          <w:sz w:val="21"/>
          <w:szCs w:val="21"/>
        </w:rPr>
        <w:t xml:space="preserve"> — a deliberately cautious headline, which is the right posture for a government brief.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Figure 2. 2031 revenue by method and percentile. The GPU/per-chip method runs hot (it inherits the inflated $90k/chip); the model- and token-based methods are better behaved and bracket the doc figure." descr="Figure 2. 2031 revenue by method and percentile. The GPU/per-chip method runs hot (it inherits the inflated $90k/chip); the model- and token-based methods are better behaved and bracket the doc figure." title="Figure 2. 2031 revenue by method and percentile. The GPU/per-chip method runs hot (it inherits the inflated $90k/chip); the model- and token-based methods are better behaved and bracket the doc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Figure 2. 2031 revenue by method and percentile. The GPU/per-chip method runs hot (it inherits the inflated $90k/chip); the model- and token-based methods are better behaved and bracket the doc figure.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 What actually drives the answer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Sensitivity analysis (Spearman rank correlation on the token method, and the spreadsheet’s tornado) is unambiguous: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token-capacity</w:t>
      </w:r>
      <w:r>
        <w:rPr>
          <w:rFonts w:ascii="Arial" w:cs="Arial" w:eastAsia="Arial" w:hAnsi="Arial"/>
          <w:sz w:val="21"/>
          <w:szCs w:val="21"/>
        </w:rPr>
        <w:t xml:space="preserve"> dominates (ρ≈0.83), then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price per token</w:t>
      </w:r>
      <w:r>
        <w:rPr>
          <w:rFonts w:ascii="Arial" w:cs="Arial" w:eastAsia="Arial" w:hAnsi="Arial"/>
          <w:sz w:val="21"/>
          <w:szCs w:val="21"/>
        </w:rPr>
        <w:t xml:space="preserve"> (ρ≈0.42), then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utilisation</w:t>
      </w:r>
      <w:r>
        <w:rPr>
          <w:rFonts w:ascii="Arial" w:cs="Arial" w:eastAsia="Arial" w:hAnsi="Arial"/>
          <w:sz w:val="21"/>
          <w:szCs w:val="21"/>
        </w:rPr>
        <w:t xml:space="preserve"> (ρ≈0.31). Practically, the brief’s revenue claim stands or falls on how much inference capacity exists in 2031 and what a token sells for — not on the utilisation assumption people instinctively argue about. This is useful: the two dominant inputs are exactly the ones with the best external data (Epoch capacity, public API prices).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 Human-parity of cognitive output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Your claim that 2031 token volumes rival human cognitive labour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robust in direction</w:t>
      </w:r>
      <w:r>
        <w:rPr>
          <w:rFonts w:ascii="Arial" w:cs="Arial" w:eastAsia="Arial" w:hAnsi="Arial"/>
          <w:sz w:val="21"/>
          <w:szCs w:val="21"/>
        </w:rPr>
        <w:t xml:space="preserve"> but soft in magnitude. Simulated LLM-to-human token ratio has a median of ~10× with a 95% chance of exceeding parity. The specific “4×” depends on assuming humans process 1,000 tokens/min; on Epoch’s basis (240k tokens/day) the ratio is ~24×. Either way the qualitative point holds — but state it as “on the order of, or exceeding, total white-collar cognitive throughput,” not a precise multiple. And carry Epoch’s caveat: raw token parity is an upper bound on economic substitution, not a measure of it.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2.5  Trajectory cross-check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Figure 3. The doc's $2T-by-2031 against constant-growth paths from $100B (2026). $2T implies ~82%/yr — well below a compute-linked 3×/yr path (~$24T) and below Amodei's 'multiple trillions by 2028–29.'" descr="Figure 3. The doc's $2T-by-2031 against constant-growth paths from $100B (2026). $2T implies ~82%/yr — well below a compute-linked 3×/yr path (~$24T) and below Amodei's 'multiple trillions by 2028–29.'" title="Figure 3. The doc's $2T-by-2031 against constant-growth paths from $100B (2026). $2T implies ~82%/yr — well below a compute-linked 3×/yr path (~$24T) and below Amodei's 'multiple trillions by 2028–29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Figure 3. The doc's $2T-by-2031 against constant-growth paths from $100B (2026). $2T implies ~82%/yr — well below a compute-linked 3×/yr path (~$24T) and below Amodei's 'multiple trillions by 2028–29.'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$100B → $2T over five years is an ~82%/year CAGR. Because compute grows ~243× over the same window while revenue grows only ~20×, the projection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implicitly assumes revenue-per-unit-of-compute falls ~12×</w:t>
      </w:r>
      <w:r>
        <w:rPr>
          <w:rFonts w:ascii="Arial" w:cs="Arial" w:eastAsia="Arial" w:hAnsi="Arial"/>
          <w:sz w:val="21"/>
          <w:szCs w:val="21"/>
        </w:rPr>
        <w:t xml:space="preserve"> — i.e. a steep, Korinek-style price deflation. That is a coherent and even likely story, but it is currently unstated; making it explicit both strengthens the argument and pre-empts the obvious “why so low vs. compute?” challenge.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2.6  Reconciliation issues found (summary)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arithmetic is clean, but three internal inconsistencies and a sourcing gap should be fixed before the figures travel into a brief. These are fully tested in the Part 3 audit; in brief: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“$200k per copy, same as today.” </w:t>
      </w:r>
      <w:r>
        <w:rPr>
          <w:rFonts w:ascii="Arial" w:cs="Arial" w:eastAsia="Arial" w:hAnsi="Arial"/>
          <w:sz w:val="21"/>
          <w:szCs w:val="21"/>
        </w:rPr>
        <w:t xml:space="preserve">Your 2026 case studies gave $1.07M and $2.16M per model, not $200k. The $2T headline depends on the lower figure; at $1.07M it would be ~$10.8T. Re-label or re-derive.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 different token prices. </w:t>
      </w:r>
      <w:r>
        <w:rPr>
          <w:rFonts w:ascii="Arial" w:cs="Arial" w:eastAsia="Arial" w:hAnsi="Arial"/>
          <w:sz w:val="21"/>
          <w:szCs w:val="21"/>
        </w:rPr>
        <w:t xml:space="preserve">The DeepSeek calc uses $3.5/M; the token method’s “$5M/min” implies $0.83/M; current DeepSeek output is $0.87/M. Pick one defensible blended price and apply it consistently.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$90k/chip held flat to 2031. </w:t>
      </w:r>
      <w:r>
        <w:rPr>
          <w:rFonts w:ascii="Arial" w:cs="Arial" w:eastAsia="Arial" w:hAnsi="Arial"/>
          <w:sz w:val="21"/>
          <w:szCs w:val="21"/>
        </w:rPr>
        <w:t xml:space="preserve">This makes the GPU method give $180T — about 1.6× world GDP — which is why it should be dropped or floored. It also contradicts the price-deflation implied by your own trajectory.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“Epoch predicts ~1 trillion tokens/sec in 2031.” </w:t>
      </w:r>
      <w:r>
        <w:rPr>
          <w:rFonts w:ascii="Arial" w:cs="Arial" w:eastAsia="Arial" w:hAnsi="Arial"/>
          <w:sz w:val="21"/>
          <w:szCs w:val="21"/>
        </w:rPr>
        <w:t xml:space="preserve">I could not find that as a direct Epoch statement. It is consistent with Epoch’s “triple each year” from the 0.5–20B tokens/sec of late-2025, so soften the attribution to “consistent with Epoch’s trend” rather than “Epoch predicts.”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A — Data &amp; sources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50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used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ARR (2026)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$45B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aq2yxu8v6c8cw32v68qix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Willison / SemiAnalysis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ARR (2026)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~$25B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kan4f8m3sezmvxyxozpe-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Sacra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 compute stock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16.5M H100e (end-25)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qpgjcfdrgwh1ha0f2mfv2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 / The Decoder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 growth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3.3×/yr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5uun0dxlmhdfpwb03qvel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 chip production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compute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1.3M Trn2 +1M TPUv7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wo1rev9dmgdtuafrizims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Anthropic / Epoch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DeepSeek V4 pricing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$0.87 out / $2.17 blend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m_0uz7oqqq_1dftpfidfd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Morph / CloudZero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digital workers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~7M (0.4–300M)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aq5s-kweif5unsbe5os5u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Inference capacity 2025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0.5–20B tok/sec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ufcm0giwerodzlbini3ss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Epoch compute crunch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 demand 2030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1.27T per 10s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6c6cohh-1rha3l6psbczw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Qualcomm / CryptoBriefing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Internet size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~500T tokens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g1-1bu6n2h2o85kipjskc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Educating Silicon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White-collar workers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~1.25B (2018)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vjrcj7_nba4xjrd5beoxc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Forrester</w:t>
              </w:r>
            </w:hyperlink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 wages / GDP ceiling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$50T / 10–20%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hyperlink w:history="1" r:id="rId4mguxtmvjwelgoybirx8p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Amodei (Dwarkesh)</w:t>
              </w:r>
            </w:hyperlink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B — Comparable models, one line each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Epoch, Digital workers: </w:t>
      </w:r>
      <w:r>
        <w:rPr>
          <w:rFonts w:ascii="Arial" w:cs="Arial" w:eastAsia="Arial" w:hAnsi="Arial"/>
          <w:sz w:val="21"/>
          <w:szCs w:val="21"/>
        </w:rPr>
        <w:t xml:space="preserve">tokens÷human-token-rate → ~7M digital workers; warns token-parity ≠ job replacement.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Epoch, Compute crunch: </w:t>
      </w:r>
      <w:r>
        <w:rPr>
          <w:rFonts w:ascii="Arial" w:cs="Arial" w:eastAsia="Arial" w:hAnsi="Arial"/>
          <w:sz w:val="21"/>
          <w:szCs w:val="21"/>
        </w:rPr>
        <w:t xml:space="preserve">inference capacity 0.5–20B tok/s (2025), tripling yearly; demand outrunning supply.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Epoch, GATE: </w:t>
      </w:r>
      <w:r>
        <w:rPr>
          <w:rFonts w:ascii="Arial" w:cs="Arial" w:eastAsia="Arial" w:hAnsi="Arial"/>
          <w:sz w:val="21"/>
          <w:szCs w:val="21"/>
        </w:rPr>
        <w:t xml:space="preserve">formal general-equilibrium model of compute-driven automation and growth.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SemiAnalysis, Tokenomics/TCO: </w:t>
      </w:r>
      <w:r>
        <w:rPr>
          <w:rFonts w:ascii="Arial" w:cs="Arial" w:eastAsia="Arial" w:hAnsi="Arial"/>
          <w:sz w:val="21"/>
          <w:szCs w:val="21"/>
        </w:rPr>
        <w:t xml:space="preserve">bottom-up $/token and revenue-per-MW; the rigorous version of your DeepSeek calc.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Amodei (Dwarkesh): </w:t>
      </w:r>
      <w:r>
        <w:rPr>
          <w:rFonts w:ascii="Arial" w:cs="Arial" w:eastAsia="Arial" w:hAnsi="Arial"/>
          <w:sz w:val="21"/>
          <w:szCs w:val="21"/>
        </w:rPr>
        <w:t xml:space="preserve">3×/yr compute, $10–15B/GW, multiple-trillions revenue by 2028–29, diffusion lag 1–5 yrs.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AI-2027 compute forecast &amp; Forethought: </w:t>
      </w:r>
      <w:r>
        <w:rPr>
          <w:rFonts w:ascii="Arial" w:cs="Arial" w:eastAsia="Arial" w:hAnsi="Arial"/>
          <w:sz w:val="21"/>
          <w:szCs w:val="21"/>
        </w:rPr>
        <w:t xml:space="preserve">detailed build-out and software-intelligence-explosion upside cases.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C — Workbook guide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Open AI_revenue_model.xlsx. Start at the Cover sheet for the colour legend. Change any blue cell on Inputs &amp; Sources and every downstream figure (including the Monte Carlo summary) updates. Press F9 / reopen to redraw the 2,000-trial simulation. The Python script reproduce.py runs the authoritative 300k-trial version and prints a side-by-side of doc vs. recomputed values.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Economics of TAI — Parts 1 &amp; 2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vv17bycogjbmdf5a9qdl" Type="http://schemas.openxmlformats.org/officeDocument/2006/relationships/hyperlink" Target="https://simonwillison.net/2026/May/29/anthropic/" TargetMode="External"/><Relationship Id="rIdusddgxlohxtlq7rpvkacl" Type="http://schemas.openxmlformats.org/officeDocument/2006/relationships/hyperlink" Target="https://sacra.com/c/openai/" TargetMode="External"/><Relationship Id="rIdj8f3rw-btqdsrxcrg1d76" Type="http://schemas.openxmlformats.org/officeDocument/2006/relationships/hyperlink" Target="https://epoch.ai/data/ai-chip-sales" TargetMode="External"/><Relationship Id="rIdixr2s3rs2x3_mdn-wpyex" Type="http://schemas.openxmlformats.org/officeDocument/2006/relationships/hyperlink" Target="https://epoch.ai/data-insights/ai-chip-production" TargetMode="External"/><Relationship Id="rIdyknk0ncluvkh-5ffzjw1r" Type="http://schemas.openxmlformats.org/officeDocument/2006/relationships/hyperlink" Target="https://epoch.ai/data/ai-chip-owners" TargetMode="External"/><Relationship Id="rIdpn9q0b2bn8taaxyljarkt" Type="http://schemas.openxmlformats.org/officeDocument/2006/relationships/hyperlink" Target="https://www.morphllm.com/deepseek-v4" TargetMode="External"/><Relationship Id="rIdjpt3ov7hphdxs4u2s4iz-" Type="http://schemas.openxmlformats.org/officeDocument/2006/relationships/hyperlink" Target="https://epoch.ai/gradient-updates/how-many-digital-workers-could-openai-deploy" TargetMode="External"/><Relationship Id="rId8ewtvv3na8uvsdkoszpxm" Type="http://schemas.openxmlformats.org/officeDocument/2006/relationships/hyperlink" Target="https://epoch.ai/gradient-updates/how-many-digital-workers-could-openai-deploy" TargetMode="External"/><Relationship Id="rIdyahtfq8rih18as4wcprc9" Type="http://schemas.openxmlformats.org/officeDocument/2006/relationships/hyperlink" Target="https://epoch.ai/gradient-updates/is-a-compute-crunch-coming" TargetMode="External"/><Relationship Id="rId6ejzw2ynoq_d6l5ouead1" Type="http://schemas.openxmlformats.org/officeDocument/2006/relationships/hyperlink" Target="https://epoch.ai/blog/inference-economics-of-language-models" TargetMode="External"/><Relationship Id="rIdvuhv3aoidnshn5bst5mek" Type="http://schemas.openxmlformats.org/officeDocument/2006/relationships/hyperlink" Target="https://epoch.ai/gradient-updates/can-ai-companies-become-profitable" TargetMode="External"/><Relationship Id="rIdp0881os_jhhtc7ptyhsr-" Type="http://schemas.openxmlformats.org/officeDocument/2006/relationships/hyperlink" Target="https://epoch.ai/data/ai-chip-owners" TargetMode="External"/><Relationship Id="rIdc3azvnsbgjbf0k42uxih0" Type="http://schemas.openxmlformats.org/officeDocument/2006/relationships/hyperlink" Target="https://epoch.ai/publications/announcing-gate" TargetMode="External"/><Relationship Id="rIdxkumbuhnj1uaaoph_nim2" Type="http://schemas.openxmlformats.org/officeDocument/2006/relationships/hyperlink" Target="https://semianalysis.com/tokenomics-model/" TargetMode="External"/><Relationship Id="rIdzsfkwnvhhlq7gsc3bdgij" Type="http://schemas.openxmlformats.org/officeDocument/2006/relationships/hyperlink" Target="https://sacra.com/c/anthropic/" TargetMode="External"/><Relationship Id="rIdewrxd3ze7k6g7vuge685p" Type="http://schemas.openxmlformats.org/officeDocument/2006/relationships/hyperlink" Target="https://www.dwarkesh.com/p/dario-amodei-2" TargetMode="External"/><Relationship Id="rIdntmyrif5ag6iwbtpzykht" Type="http://schemas.openxmlformats.org/officeDocument/2006/relationships/hyperlink" Target="https://www.piie.com/" TargetMode="External"/><Relationship Id="rIdybv5fv64qzyk2iwgpom41" Type="http://schemas.openxmlformats.org/officeDocument/2006/relationships/hyperlink" Target="https://ai-2027.com/research/compute-forecast" TargetMode="External"/><Relationship Id="rIdsfcbjkc7jld981s4qxmsd" Type="http://schemas.openxmlformats.org/officeDocument/2006/relationships/hyperlink" Target="https://www.forethought.org/research/will-ai-r-and-d-automation-cause-a-software-intelligence-explosion" TargetMode="External"/><Relationship Id="rIdaq2yxu8v6c8cw32v68qix" Type="http://schemas.openxmlformats.org/officeDocument/2006/relationships/hyperlink" Target="https://simonwillison.net/2026/May/29/anthropic/" TargetMode="External"/><Relationship Id="rIdkan4f8m3sezmvxyxozpe-" Type="http://schemas.openxmlformats.org/officeDocument/2006/relationships/hyperlink" Target="https://sacra.com/c/openai/" TargetMode="External"/><Relationship Id="rIdqpgjcfdrgwh1ha0f2mfv2" Type="http://schemas.openxmlformats.org/officeDocument/2006/relationships/hyperlink" Target="https://the-decoder.com/global-ai-compute-hits-15-million-h100-equivalents-epoch-ai-finds/" TargetMode="External"/><Relationship Id="rId5uun0dxlmhdfpwb03qvel" Type="http://schemas.openxmlformats.org/officeDocument/2006/relationships/hyperlink" Target="https://epoch.ai/data-insights/ai-chip-production" TargetMode="External"/><Relationship Id="rIdwo1rev9dmgdtuafrizims" Type="http://schemas.openxmlformats.org/officeDocument/2006/relationships/hyperlink" Target="https://www.anthropic.com/news/google-broadcom-partnership-compute" TargetMode="External"/><Relationship Id="rIdm_0uz7oqqq_1dftpfidfd" Type="http://schemas.openxmlformats.org/officeDocument/2006/relationships/hyperlink" Target="https://www.cloudzero.com/blog/deepseek-pricing/" TargetMode="External"/><Relationship Id="rIdaq5s-kweif5unsbe5os5u" Type="http://schemas.openxmlformats.org/officeDocument/2006/relationships/hyperlink" Target="https://epoch.ai/gradient-updates/how-many-digital-workers-could-openai-deploy" TargetMode="External"/><Relationship Id="rIdufcm0giwerodzlbini3ss" Type="http://schemas.openxmlformats.org/officeDocument/2006/relationships/hyperlink" Target="https://epoch.ai/gradient-updates/is-a-compute-crunch-coming" TargetMode="External"/><Relationship Id="rId6c6cohh-1rha3l6psbczw" Type="http://schemas.openxmlformats.org/officeDocument/2006/relationships/hyperlink" Target="https://cryptobriefing.com/qualcomm-ai-token-demand-2030/" TargetMode="External"/><Relationship Id="rIdg1-1bu6n2h2o85kipjskc" Type="http://schemas.openxmlformats.org/officeDocument/2006/relationships/hyperlink" Target="https://www.educatingsilicon.com/2024/05/09/how-much-llm-training-data-is-there-in-the-limit/" TargetMode="External"/><Relationship Id="rIdvjrcj7_nba4xjrd5beoxc" Type="http://schemas.openxmlformats.org/officeDocument/2006/relationships/hyperlink" Target="https://www.forrester.com/blogs/the-global-information-worker-population-swells-to-1-25-billion-in-2018" TargetMode="External"/><Relationship Id="rId4mguxtmvjwelgoybirx8p" Type="http://schemas.openxmlformats.org/officeDocument/2006/relationships/hyperlink" Target="https://www.dwarkesh.com/p/dario-amodei-2" TargetMode="External"/><Relationship Id="rId8" Type="http://schemas.openxmlformats.org/officeDocument/2006/relationships/image" Target="media/df5b283685813dc351faa8b47ab8a3e0efb4f7eb.png"/><Relationship Id="rId9" Type="http://schemas.openxmlformats.org/officeDocument/2006/relationships/image" Target="media/9f66c74497edefc0d28f85aa881aa23a9ebbce4c.png"/><Relationship Id="rId10" Type="http://schemas.openxmlformats.org/officeDocument/2006/relationships/image" Target="media/1eef0b24fad6deb8098d5ccb8afb8bcf2b5fffa2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2026-06-14T02:12:35.409Z</dcterms:created>
  <dcterms:modified xsi:type="dcterms:W3CDTF">2026-06-14T02:12:35.409Z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