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Audit &amp; Red-Team</w:t>
      </w:r>
    </w:p>
    <w:p>
      <w:pPr>
        <w:spacing w:after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Independent review of the Economics of Transformative AI revenue model (Parts 1 &amp; 2) and the underlying spreadsheet</w:t>
      </w:r>
    </w:p>
    <w:p>
      <w:p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Part 3  |  Prepared for Justin, Arcadia Impact  |  14 June 2026</w:t>
      </w:r>
    </w:p>
    <w:p>
      <w:pPr>
        <w:pBdr>
          <w:bottom w:val="single" w:color="1F3864" w:sz="8" w:space="4"/>
        </w:pBdr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Approach. </w:t>
      </w:r>
      <w:r>
        <w:rPr>
          <w:rFonts w:ascii="Arial" w:cs="Arial" w:eastAsia="Arial" w:hAnsi="Arial"/>
          <w:sz w:val="21"/>
          <w:szCs w:val="21"/>
        </w:rPr>
        <w:t xml:space="preserve">Starting fresh, I brainstormed 20 ways the report and calculations could be wrong, then tested each one — re-deriving every figure in Python (a different language and structure from the spreadsheet, to surface hidden assumptions), checking inputs against current primary sources, and stress-testing the 2028 and 2031 scenarios. The spreadsheet itself was rebuilt from the source doc independently and recalculated to zero formula errors.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Headline verdict. </w:t>
      </w:r>
      <w:r>
        <w:rPr>
          <w:rFonts w:ascii="Arial" w:cs="Arial" w:eastAsia="Arial" w:hAnsi="Arial"/>
          <w:sz w:val="21"/>
          <w:szCs w:val="21"/>
        </w:rPr>
        <w:t xml:space="preserve">The analysis is fundamentally sound and, in its direction and scale, well-supported. The arithmetic is correct everywhere; the inputs are defensible and usually conservative; and the central claim — that frontier-AI revenue and token output are on track to rival meaningful fractions of the human economy within five years — survives every test I ran. The Monte-Carlo re-estimate puts the $2T-by-2031 figure near the 25th percentile (median ≈$6.5T), i.e. cautious, which is appropriate for a government brief.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But the headline is reached through a chain with weak links. </w:t>
      </w:r>
      <w:r>
        <w:rPr>
          <w:rFonts w:ascii="Arial" w:cs="Arial" w:eastAsia="Arial" w:hAnsi="Arial"/>
          <w:sz w:val="21"/>
          <w:szCs w:val="21"/>
        </w:rPr>
        <w:t xml:space="preserve">Of 20 issues, 7 are high-severity. None overturns the conclusion, but several would not survive scrutiny by a hostile economist and should be fixed before any number travels into the brief. The good news: the most defensible method (token-based) lands at ~$2.6–2.7T even after correcting the errors, so the conclusion is more robust than the doc's own derivation of it.</w:t>
      </w:r>
    </w:p>
    <w:p>
      <w:pPr>
        <w:pStyle w:val="Heading3"/>
        <w:spacing w:after="70" w:before="150"/>
      </w:pPr>
      <w:r>
        <w:rPr>
          <w:rFonts w:ascii="Arial" w:cs="Arial" w:eastAsia="Arial" w:hAnsi="Arial"/>
          <w:b/>
          <w:bCs/>
          <w:color w:val="2E4A7B"/>
          <w:sz w:val="21"/>
          <w:szCs w:val="21"/>
        </w:rPr>
        <w:t xml:space="preserve">The five things to fix first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#7 — “$200k per copy, same as today” is wrong. </w:t>
      </w:r>
      <w:r>
        <w:rPr>
          <w:rFonts w:ascii="Arial" w:cs="Arial" w:eastAsia="Arial" w:hAnsi="Arial"/>
          <w:sz w:val="21"/>
          <w:szCs w:val="21"/>
        </w:rPr>
        <w:t xml:space="preserve">Your own 2026 case studies give $1.07M–$2.16M per model. The $2T model-based figure depends entirely on the low number; with consistent inputs it would be $10.7–21.6T.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#8 — three different token prices. </w:t>
      </w:r>
      <w:r>
        <w:rPr>
          <w:rFonts w:ascii="Arial" w:cs="Arial" w:eastAsia="Arial" w:hAnsi="Arial"/>
          <w:sz w:val="21"/>
          <w:szCs w:val="21"/>
        </w:rPr>
        <w:t xml:space="preserve">$3.5/M (DeepSeek calc), $0.83/M (implied by “$5M/min”), and reality (~$0.87/M output). Choose one. At $0.87/M the token method gives $2.74T — so anchor here and the $2.6T conclusion holds honestly.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#4 — the DeepSeek $3.5/M is the pre-discount, output-only price. </w:t>
      </w:r>
      <w:r>
        <w:rPr>
          <w:rFonts w:ascii="Arial" w:cs="Arial" w:eastAsia="Arial" w:hAnsi="Arial"/>
          <w:sz w:val="21"/>
          <w:szCs w:val="21"/>
        </w:rPr>
        <w:t xml:space="preserve">Current V4 output is ~$0.87/M, blended ~$2.17/M. This (with 40% utilisation) inflates revenue-per-GPU ~2×.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#6 — drop or floor the GPU/per-chip method. </w:t>
      </w:r>
      <w:r>
        <w:rPr>
          <w:rFonts w:ascii="Arial" w:cs="Arial" w:eastAsia="Arial" w:hAnsi="Arial"/>
          <w:sz w:val="21"/>
          <w:szCs w:val="21"/>
        </w:rPr>
        <w:t xml:space="preserve">At $90k/chip it yields $180T — about 1.6× world GDP. Use the empirical $45k anchor instead.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#19 — the scenario’s “&gt;5% of wages / 5–10% unemployment” needs care. </w:t>
      </w:r>
      <w:r>
        <w:rPr>
          <w:rFonts w:ascii="Arial" w:cs="Arial" w:eastAsia="Arial" w:hAnsi="Arial"/>
          <w:sz w:val="21"/>
          <w:szCs w:val="21"/>
        </w:rPr>
        <w:t xml:space="preserve">$2T is 4% of wages, not &gt;5%; and the 2031 and 2036 societal-impact bullets are identical (a copy-paste). Unemployment at 5–10% is contested (Goldman ~2.5% near-term; Amodei 10–20%).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 tally: 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HIGH</w:t>
      </w:r>
      <w:r>
        <w:rPr>
          <w:rFonts w:ascii="Arial" w:cs="Arial" w:eastAsia="Arial" w:hAnsi="Arial"/>
          <w:sz w:val="20"/>
          <w:szCs w:val="20"/>
        </w:rPr>
        <w:t xml:space="preserve">  ×7  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</w:t>
      </w:r>
      <w:r>
        <w:rPr>
          <w:rFonts w:ascii="Arial" w:cs="Arial" w:eastAsia="Arial" w:hAnsi="Arial"/>
          <w:sz w:val="20"/>
          <w:szCs w:val="20"/>
        </w:rPr>
        <w:t xml:space="preserve">  ×9   </w:t>
      </w: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LOW</w:t>
      </w:r>
      <w:r>
        <w:rPr>
          <w:rFonts w:ascii="Arial" w:cs="Arial" w:eastAsia="Arial" w:hAnsi="Arial"/>
          <w:sz w:val="20"/>
          <w:szCs w:val="20"/>
        </w:rPr>
        <w:t xml:space="preserve">  ×4.</w:t>
      </w:r>
      <w:r>
        <w:rPr>
          <w:rFonts w:ascii="Arial" w:cs="Arial" w:eastAsia="Arial" w:hAnsi="Arial"/>
          <w:sz w:val="20"/>
          <w:szCs w:val="20"/>
        </w:rPr>
        <w:t xml:space="preserve">  Full register and tests below; deepest treatment of the 2028/2031 scenarios in §3.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Method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Each candidate flaw was tested by at least one of: (a) independent Python re-derivation (</w:t>
      </w:r>
      <w:r>
        <w:rPr>
          <w:rFonts w:ascii="Arial" w:cs="Arial" w:eastAsia="Arial" w:hAnsi="Arial"/>
          <w:sz w:val="21"/>
          <w:szCs w:val="21"/>
        </w:rPr>
        <w:t xml:space="preserve">reproduce.py</w:t>
      </w:r>
      <w:r>
        <w:rPr>
          <w:rFonts w:ascii="Arial" w:cs="Arial" w:eastAsia="Arial" w:hAnsi="Arial"/>
          <w:sz w:val="21"/>
          <w:szCs w:val="21"/>
        </w:rPr>
        <w:t xml:space="preserve"> + </w:t>
      </w:r>
      <w:r>
        <w:rPr>
          <w:rFonts w:ascii="Arial" w:cs="Arial" w:eastAsia="Arial" w:hAnsi="Arial"/>
          <w:sz w:val="21"/>
          <w:szCs w:val="21"/>
        </w:rPr>
        <w:t xml:space="preserve">audit_calc.py</w:t>
      </w:r>
      <w:r>
        <w:rPr>
          <w:rFonts w:ascii="Arial" w:cs="Arial" w:eastAsia="Arial" w:hAnsi="Arial"/>
          <w:sz w:val="21"/>
          <w:szCs w:val="21"/>
        </w:rPr>
        <w:t xml:space="preserve">, in your folder); (b) a 900,000-draw Monte-Carlo to see whether the conclusion is robust to the input being wrong; or (c) checking the input against a current primary source. Verdicts are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Confirmed</w:t>
      </w:r>
      <w:r>
        <w:rPr>
          <w:rFonts w:ascii="Arial" w:cs="Arial" w:eastAsia="Arial" w:hAnsi="Arial"/>
          <w:sz w:val="21"/>
          <w:szCs w:val="21"/>
        </w:rPr>
        <w:t xml:space="preserve"> (a real error to fix), </w:t>
      </w:r>
      <w:r>
        <w:rPr>
          <w:rFonts w:ascii="Arial" w:cs="Arial" w:eastAsia="Arial" w:hAnsi="Arial"/>
          <w:b/>
          <w:bCs/>
          <w:color w:val="B8860B"/>
          <w:sz w:val="21"/>
          <w:szCs w:val="21"/>
        </w:rPr>
        <w:t xml:space="preserve">Nuance</w:t>
      </w:r>
      <w:r>
        <w:rPr>
          <w:rFonts w:ascii="Arial" w:cs="Arial" w:eastAsia="Arial" w:hAnsi="Arial"/>
          <w:sz w:val="21"/>
          <w:szCs w:val="21"/>
        </w:rPr>
        <w:t xml:space="preserve"> (defensible but should be re-stated/caveated), or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Robust</w:t>
      </w:r>
      <w:r>
        <w:rPr>
          <w:rFonts w:ascii="Arial" w:cs="Arial" w:eastAsia="Arial" w:hAnsi="Arial"/>
          <w:sz w:val="21"/>
          <w:szCs w:val="21"/>
        </w:rPr>
        <w:t xml:space="preserve"> (the worry doesn’t bite).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Findings register (20)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3300"/>
        <w:gridCol w:w="1260"/>
        <w:gridCol w:w="7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&amp; finding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OpenAI+Anthropic ARR stated as $80B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~$45B + OpenAI ~$25B = ~$70B. Industry rounding to $100B still fine.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Nuance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World compute stated as 20M H100e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Epoch ~16.5M end-2025 @3.3×/yr → 20M reasonable for mid-2026 (slightly conservative).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Robust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“Anthropic runs inference on ~1M H100e”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fleet ≈2M (1.3M Trainium2 +1M TPUv7 +~220k GPU). 1M is the inference subset; label it so. Rev/total-chip ≈$22k.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Nuance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 price $3.5/M “blended”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Equals V4’s pre-discount, output-only price. Current output ~$0.87/M, blended ~$2.17/M. Inflates rev/GPU ~2×.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 utilisation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Epoch assumes 5–30% for realistic inference. 40% is optimistic; compounds with #4.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$90k/chip → GPU method $180T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$180T ≈ 1.6× world GDP — non-credible. Corrected rev/GPU is $14–58k, bracketing the empirical $45k. Drop/floor this method.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Model-based “$200k/copy, same as today”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Contradicts 2026 case studies ($1.07M &amp; $2.16M). $2T relies on the low figure; consistent inputs give $10.7–21.6T.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 inconsistent token prices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$3.5/M vs implied $0.83/M vs ~$0.87/M reality. Token method ranges $1.6–11T across them. Pick one; $0.87/M → $2.74T.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“Epoch predicts ~1T tokens/sec in 2031”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 direct Epoch statement. Consistent with Epoch’s 0.5–20B tok/s (2025) × 3×/yr. Soften attribution.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Nuance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 cognition = 1000 tok/min (→4×)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Epoch’s 240k tok/day basis the ratio is ~24×. MC: median ~10×, 95% &gt; parity. Direction robust, magnitude soft.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Nuance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1.5B white-collar workers in 2031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~1.0–1.25B. Overstating the human side makes the LLM:human ratio conservative.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Robust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(2026) &amp; 200 (2031) H100e per copy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≈ weights-in-memory minimum (ok). 200 (8×) is a pure assumption; efficiency gains could offset it.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Nuance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 3×/yr to 2031 (243×)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Matches Epoch/Amodei near-term, but Epoch flags lead-time/power limits; the late-period 243× is optimistic.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Nuance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Implicit 12× fall in revenue-per-compute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$100B→$2T while compute ×243 ⇒ rev/compute ÷12. Coherent (price deflation) but unstated — make it explicit.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Nuance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Tokens × list price ≠ net revenue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Ignores free tiers, subsidised pricing, internal/training use, and margins. Token method = gross billable value, an upper bound.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vs inference not separated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~44% of a lab’s fleet serves inference. Partly captured by the “serving share”, but per-chip revenue should net out training.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Nuance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2028 scenario: revenue “towards $1T”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3×/yr gives ~$0.9T by 2028 (consistent) but above Amodei’s “low hundreds of billions by 2028”. Diffusion lag is the risk.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Nuance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Token-parity treated as labour-parity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Epoch explicitly warns 7M “digital workers” ≠ 7M jobs (token throughput ≠ capability). “Substitute all cognitive labour” overclaims.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Scenario: “5–10% unemployment, &gt;5% wages”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$2T=4% (need ~$2.5T for 5%). Unemployment contested (Goldman ~2.5% near-term; Amodei 10–20%). 2031 &amp; 2036 bullets are duplicated.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Demand-side &amp; price elasticity assumed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Supply of tokens is assumed to find paying demand; with price ÷10/yr, volume must ×&gt;10 just to hold revenue. Amodei: demand-prediction is the hard part; revenue could “bend”.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Nuance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MED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Red-team of the 2028 &amp; 2031 scenarios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You asked for particular focus here, because the scenarios carry the narrative weight. Three findings deserve fuller treatment.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 The 2028 revenue picture is at the optimistic edge — but for a subtle reason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2028 scenario has revenues “rapidly climbing towards a trillion dollars.” A clean 3×/yr extrapolation from $100B (2026) gives ~$0.9T by 2028, so the claim is internally consistent. The tension is external: on the Dwarkesh podcast, Amodei expects only “low hundreds of billions” by 2028, with the trillions arriving 2028–2030 as a </w:t>
      </w:r>
      <w:r>
        <w:rPr>
          <w:rFonts w:ascii="Arial" w:cs="Arial" w:eastAsia="Arial" w:hAnsi="Arial"/>
          <w:sz w:val="21"/>
          <w:szCs w:val="21"/>
        </w:rPr>
        <w:t xml:space="preserve">diffusion</w:t>
      </w:r>
      <w:r>
        <w:rPr>
          <w:rFonts w:ascii="Arial" w:cs="Arial" w:eastAsia="Arial" w:hAnsi="Arial"/>
          <w:sz w:val="21"/>
          <w:szCs w:val="21"/>
        </w:rPr>
        <w:t xml:space="preserve"> lag behind capability — “how many years after the country of geniuses do the trillions start rolling in… could be one, two, even five.” Your scenario implicitly assumes capability </w:t>
      </w:r>
      <w:r>
        <w:rPr>
          <w:rFonts w:ascii="Arial" w:cs="Arial" w:eastAsia="Arial" w:hAnsi="Arial"/>
          <w:sz w:val="21"/>
          <w:szCs w:val="21"/>
        </w:rPr>
        <w:t xml:space="preserve">and</w:t>
      </w:r>
      <w:r>
        <w:rPr>
          <w:rFonts w:ascii="Arial" w:cs="Arial" w:eastAsia="Arial" w:hAnsi="Arial"/>
          <w:sz w:val="21"/>
          <w:szCs w:val="21"/>
        </w:rPr>
        <w:t xml:space="preserve"> fast monetisation in the same window. The 2028 adoption narrative (“utilisation still quite low, extremely uneven… slow, expensive pilots”) is, by contrast,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strongly supported</w:t>
      </w:r>
      <w:r>
        <w:rPr>
          <w:rFonts w:ascii="Arial" w:cs="Arial" w:eastAsia="Arial" w:hAnsi="Arial"/>
          <w:sz w:val="21"/>
          <w:szCs w:val="21"/>
        </w:rPr>
        <w:t xml:space="preserve">: MIT’s 2026 GenAI report finds ~95% of enterprise pilots stall and only ~29% see significant ROI. So your adoption story is well-calibrated while your 2028 revenue is a touch ahead of the lab’s own guidance — which is fine if you flag the diffusion-lag risk.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 The 2031 unemployment / wage-share claims are the softest part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Three problems. First, an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internal inconsistency</w:t>
      </w:r>
      <w:r>
        <w:rPr>
          <w:rFonts w:ascii="Arial" w:cs="Arial" w:eastAsia="Arial" w:hAnsi="Arial"/>
          <w:sz w:val="21"/>
          <w:szCs w:val="21"/>
        </w:rPr>
        <w:t xml:space="preserve">: $2T is 4% of Amodei’s $50T global wage bill, not the “&gt;5%” the scenario states — you need ~$2.5T (which the token method’s $2.6T actually delivers, another reason to anchor there). Second, the “5–10% unemployment directly attributable to AI”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genuinely contested</w:t>
      </w:r>
      <w:r>
        <w:rPr>
          <w:rFonts w:ascii="Arial" w:cs="Arial" w:eastAsia="Arial" w:hAnsi="Arial"/>
          <w:sz w:val="21"/>
          <w:szCs w:val="21"/>
        </w:rPr>
        <w:t xml:space="preserve">: 2026 aggregate data has not borne out CEO forecasts (Goldman estimates ~2.5% of US employment at near-term displacement risk), even though entry-level white-collar signals are real (record-low recent-grad gap) and Amodei himself warns of 10–20%. Present it as a scenario assumption with that range, not a forecast. Third, 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drafting bug</w:t>
      </w:r>
      <w:r>
        <w:rPr>
          <w:rFonts w:ascii="Arial" w:cs="Arial" w:eastAsia="Arial" w:hAnsi="Arial"/>
          <w:sz w:val="21"/>
          <w:szCs w:val="21"/>
        </w:rPr>
        <w:t xml:space="preserve">: the “Societal impact” and “Revenue” bullets under 2031 are </w:t>
      </w:r>
      <w:r>
        <w:rPr>
          <w:rFonts w:ascii="Arial" w:cs="Arial" w:eastAsia="Arial" w:hAnsi="Arial"/>
          <w:sz w:val="21"/>
          <w:szCs w:val="21"/>
        </w:rPr>
        <w:t xml:space="preserve">word-for-word identical</w:t>
      </w:r>
      <w:r>
        <w:rPr>
          <w:rFonts w:ascii="Arial" w:cs="Arial" w:eastAsia="Arial" w:hAnsi="Arial"/>
          <w:sz w:val="21"/>
          <w:szCs w:val="21"/>
        </w:rPr>
        <w:t xml:space="preserve"> to those under 2036 — unemployment cannot plausibly be the same 5–10% in both a partially- and a near-fully-automated world. Differentiate them.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  The deepest conceptual issue: token-parity is not labour-parity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Both scenarios lean on the idea that because 2031 token output rivals human cognitive throughput (your ~4×; my MC ~10×), AI can “substitute the outputs of all human workers.” This is the one place the analysis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overclaims</w:t>
      </w:r>
      <w:r>
        <w:rPr>
          <w:rFonts w:ascii="Arial" w:cs="Arial" w:eastAsia="Arial" w:hAnsi="Arial"/>
          <w:sz w:val="21"/>
          <w:szCs w:val="21"/>
        </w:rPr>
        <w:t xml:space="preserve">. Epoch — whose own method you’re mirroring — is emphatic that its ~7M “digital workers” figure is </w:t>
      </w:r>
      <w:r>
        <w:rPr>
          <w:rFonts w:ascii="Arial" w:cs="Arial" w:eastAsia="Arial" w:hAnsi="Arial"/>
          <w:sz w:val="21"/>
          <w:szCs w:val="21"/>
        </w:rPr>
        <w:t xml:space="preserve">not</w:t>
      </w:r>
      <w:r>
        <w:rPr>
          <w:rFonts w:ascii="Arial" w:cs="Arial" w:eastAsia="Arial" w:hAnsi="Arial"/>
          <w:sz w:val="21"/>
          <w:szCs w:val="21"/>
        </w:rPr>
        <w:t xml:space="preserve"> 7M replaceable jobs: token volume is an upper bound on substitution, because humans and AIs have different skill profiles and AIs still cannot do many tasks at any compute budget. Your brief’s thesis (</w:t>
      </w:r>
      <w:r>
        <w:rPr>
          <w:rFonts w:ascii="Arial" w:cs="Arial" w:eastAsia="Arial" w:hAnsi="Arial"/>
          <w:sz w:val="21"/>
          <w:szCs w:val="21"/>
        </w:rPr>
        <w:t xml:space="preserve">doesn’t require 100% automation</w:t>
      </w:r>
      <w:r>
        <w:rPr>
          <w:rFonts w:ascii="Arial" w:cs="Arial" w:eastAsia="Arial" w:hAnsi="Arial"/>
          <w:sz w:val="21"/>
          <w:szCs w:val="21"/>
        </w:rPr>
        <w:t xml:space="preserve">) actually makes this easy to fix: you don’t need token-parity to imply labour-substitution — you only need it to show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scale</w:t>
      </w:r>
      <w:r>
        <w:rPr>
          <w:rFonts w:ascii="Arial" w:cs="Arial" w:eastAsia="Arial" w:hAnsi="Arial"/>
          <w:sz w:val="21"/>
          <w:szCs w:val="21"/>
        </w:rPr>
        <w:t xml:space="preserve"> of cognitive capacity entering the economy. Reframe the comparison as “capacity on the order of total white-collar cognitive throughput” and explicitly decouple it from a jobs claim, and the point becomes both stronger and unimpeachable.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What holds up well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Every arithmetic step. </w:t>
      </w:r>
      <w:r>
        <w:rPr>
          <w:rFonts w:ascii="Arial" w:cs="Arial" w:eastAsia="Arial" w:hAnsi="Arial"/>
          <w:sz w:val="21"/>
          <w:szCs w:val="21"/>
        </w:rPr>
        <w:t xml:space="preserve">Reproduced in Excel and independently in Python; zero discrepancies beyond rounding.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compute spine. </w:t>
      </w:r>
      <w:r>
        <w:rPr>
          <w:rFonts w:ascii="Arial" w:cs="Arial" w:eastAsia="Arial" w:hAnsi="Arial"/>
          <w:sz w:val="21"/>
          <w:szCs w:val="21"/>
        </w:rPr>
        <w:t xml:space="preserve">20M H100e and 3×/yr match Epoch (16.5M, 3.3×) and Amodei (~3×). The 2031 fleet (4.86B) and copy counts follow cleanly.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headline being conservative. </w:t>
      </w:r>
      <w:r>
        <w:rPr>
          <w:rFonts w:ascii="Arial" w:cs="Arial" w:eastAsia="Arial" w:hAnsi="Arial"/>
          <w:sz w:val="21"/>
          <w:szCs w:val="21"/>
        </w:rPr>
        <w:t xml:space="preserve">$2T sits at ~P25 of a pooled probabilistic estimate (median $6.5T; 79% chance of exceeding $2T) and below Amodei’s “multiple trillions by 2028–29.”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token-based estimate. </w:t>
      </w:r>
      <w:r>
        <w:rPr>
          <w:rFonts w:ascii="Arial" w:cs="Arial" w:eastAsia="Arial" w:hAnsi="Arial"/>
          <w:sz w:val="21"/>
          <w:szCs w:val="21"/>
        </w:rPr>
        <w:t xml:space="preserve">Even after fixing the price inconsistency, it lands at $2.6–2.7T — so the conclusion is more robust than its original derivation.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2028 adoption story. </w:t>
      </w:r>
      <w:r>
        <w:rPr>
          <w:rFonts w:ascii="Arial" w:cs="Arial" w:eastAsia="Arial" w:hAnsi="Arial"/>
          <w:sz w:val="21"/>
          <w:szCs w:val="21"/>
        </w:rPr>
        <w:t xml:space="preserve">Matches independent 2026 enterprise-adoption evidence (MIT GenAI report).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Recommendations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In priority order: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sz w:val="21"/>
          <w:szCs w:val="21"/>
        </w:rPr>
        <w:t xml:space="preserve">Anchor the revenue claim on the token method at a single, sourced blended price (~$0.87–$2.17/M), giving ~$2.6–6.8T; present $2T as the conservative floor and cite the Monte-Carlo median (~$6.5T) as the central case.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sz w:val="21"/>
          <w:szCs w:val="21"/>
        </w:rPr>
        <w:t xml:space="preserve">Delete or floor the GPU/per-chip method; if kept, use the empirical $45k/chip, not $90k.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sz w:val="21"/>
          <w:szCs w:val="21"/>
        </w:rPr>
        <w:t xml:space="preserve">Fix the $200k-per-copy line (re-derive from the case studies) and reconcile the three token prices.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sz w:val="21"/>
          <w:szCs w:val="21"/>
        </w:rPr>
        <w:t xml:space="preserve">Reframe the human comparison as a statement about cognitive capacity/scale, explicitly decoupled from a jobs/unemployment claim (cite Epoch’s caveat).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sz w:val="21"/>
          <w:szCs w:val="21"/>
        </w:rPr>
        <w:t xml:space="preserve">Differentiate the 2031 vs 2036 scenario bullets; present unemployment as a range (e.g. 2.5–20%) attributed to named forecasters, not a point figure.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Arial" w:cs="Arial" w:eastAsia="Arial" w:hAnsi="Arial"/>
          <w:sz w:val="21"/>
          <w:szCs w:val="21"/>
        </w:rPr>
        <w:t xml:space="preserve">State the implicit price-deflation assumption (revenue grows ~20× while compute grows ~243×) — it pre-empts the obvious challenge and aligns with Korinek’s deflator argument already in your draft.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Net assessment: </w:t>
      </w:r>
      <w:r>
        <w:rPr>
          <w:rFonts w:ascii="Arial" w:cs="Arial" w:eastAsia="Arial" w:hAnsi="Arial"/>
          <w:sz w:val="21"/>
          <w:szCs w:val="21"/>
        </w:rPr>
        <w:t xml:space="preserve">a credible, careful piece of back-of-envelope work whose conclusion is sturdier than its weakest steps. Fix the seven confirmed issues — none of which changes the direction — and it will withstand a skeptical economist.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Economics of TAI — Part 3 Audit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2026-06-14T02:16:02.562Z</dcterms:created>
  <dcterms:modified xsi:type="dcterms:W3CDTF">2026-06-14T02:16:02.562Z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