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comments.xml" ContentType="application/vnd.openxmlformats-officedocument.wordprocessingml.comments+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jpeg" ContentType="image/jpeg"/>
  <Override PartName="/word/media/image1.png" ContentType="image/pn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rPr>
      </w:pPr>
      <w:r>
        <w:rPr>
          <w:rFonts w:cs="Helvetica" w:ascii="Times New Roman" w:hAnsi="Times New Roman"/>
          <w:b/>
          <w:bCs/>
        </w:rPr>
        <w:t>Title</w:t>
      </w:r>
    </w:p>
    <w:p>
      <w:pPr>
        <w:pStyle w:val="Normal"/>
        <w:rPr>
          <w:rFonts w:ascii="Helvetica" w:hAnsi="Helvetica" w:cs="Helvetica"/>
        </w:rPr>
      </w:pPr>
      <w:r>
        <w:rPr>
          <w:rFonts w:cs="Helvetica" w:ascii="Times New Roman" w:hAnsi="Times New Roman"/>
        </w:rPr>
        <w:t>Selective constraints on oligomerization domains of viral cell death regulators.</w:t>
      </w:r>
    </w:p>
    <w:p>
      <w:pPr>
        <w:pStyle w:val="Normal"/>
        <w:rPr>
          <w:rFonts w:ascii="Times New Roman" w:hAnsi="Times New Roman" w:cs="Helvetica"/>
        </w:rPr>
      </w:pPr>
      <w:r>
        <w:rPr>
          <w:rFonts w:cs="Helvetica" w:ascii="Times New Roman" w:hAnsi="Times New Roman"/>
        </w:rPr>
      </w:r>
    </w:p>
    <w:p>
      <w:pPr>
        <w:pStyle w:val="Normal"/>
        <w:rPr>
          <w:rFonts w:ascii="Helvetica" w:hAnsi="Helvetica" w:cs="Helvetica"/>
        </w:rPr>
      </w:pPr>
      <w:r>
        <w:rPr>
          <w:rFonts w:cs="Helvetica" w:ascii="Times New Roman" w:hAnsi="Times New Roman"/>
          <w:b/>
          <w:bCs/>
        </w:rPr>
        <w:t>Abstract</w:t>
      </w:r>
    </w:p>
    <w:p>
      <w:pPr>
        <w:pStyle w:val="Normal"/>
        <w:rPr>
          <w:rFonts w:ascii="Helvetica" w:hAnsi="Helvetica" w:cs="Helvetica"/>
        </w:rPr>
      </w:pPr>
      <w:r>
        <w:rPr>
          <w:rFonts w:cs="Helvetica" w:ascii="Times New Roman" w:hAnsi="Times New Roman"/>
        </w:rPr>
        <w:t xml:space="preserve">Two paralogs in the human genome govern opposite outcomes during a cell death program; caspase 8 executes the cell by protease activity and cellular FLIP (cFLIP) prevents caspase activation by binding caspase 8. Association of these two proteins occurs by interaction between ancestrally-related death effector domains (DEDs) present in both sequences [1]. Activation of caspase 8 from pro-caspase 8 is dependent on DED-driven self-assembly following an upstream signal; cFLIP competitively oligomerizes with available DED sites and thus prevents pro-caspase activation [2]. </w:t>
      </w:r>
    </w:p>
    <w:p>
      <w:pPr>
        <w:pStyle w:val="Normal"/>
        <w:rPr>
          <w:rFonts w:ascii="Times New Roman" w:hAnsi="Times New Roman" w:cs="Helvetica"/>
        </w:rPr>
      </w:pPr>
      <w:r>
        <w:rPr>
          <w:rFonts w:cs="Helvetica" w:ascii="Times New Roman" w:hAnsi="Times New Roman"/>
        </w:rPr>
      </w:r>
    </w:p>
    <w:p>
      <w:pPr>
        <w:pStyle w:val="Normal"/>
        <w:rPr>
          <w:rFonts w:ascii="Helvetica" w:hAnsi="Helvetica" w:cs="Helvetica"/>
        </w:rPr>
      </w:pPr>
      <w:r>
        <w:rPr>
          <w:rFonts w:cs="Helvetica" w:ascii="Times New Roman" w:hAnsi="Times New Roman"/>
        </w:rPr>
        <w:t xml:space="preserve">Two DNA viruses have incorporated FLIP into their genomes and experimentally demonstrate increased infected cell survival even in the presence of pro-apoptotic signals. Kaposi’s sarcoma herpes virus (KSHV) protein K13 and molluscum contagiosum poxvirus (MCV) MC159 are viral FLIPs (vFLIPs) that have anti-apoptotic activity similar to cFLIP [3,4]. </w:t>
      </w:r>
    </w:p>
    <w:p>
      <w:pPr>
        <w:pStyle w:val="Normal"/>
        <w:rPr>
          <w:rFonts w:ascii="Times New Roman" w:hAnsi="Times New Roman" w:cs="Helvetica"/>
          <w:color w:val="000000" w:themeColor="text1"/>
        </w:rPr>
      </w:pPr>
      <w:r>
        <w:rPr>
          <w:rFonts w:cs="Helvetica" w:ascii="Times New Roman" w:hAnsi="Times New Roman"/>
          <w:color w:val="000000" w:themeColor="text1"/>
        </w:rPr>
      </w:r>
    </w:p>
    <w:p>
      <w:pPr>
        <w:pStyle w:val="Normal"/>
        <w:rPr>
          <w:rFonts w:ascii="Helvetica" w:hAnsi="Helvetica" w:cs="Helvetica"/>
        </w:rPr>
      </w:pPr>
      <w:r>
        <w:rPr>
          <w:rFonts w:cs="Helvetica" w:ascii="Times New Roman" w:hAnsi="Times New Roman"/>
          <w:color w:val="000000" w:themeColor="text1"/>
        </w:rPr>
        <w:t>MCV encodes a second vFLIP, MC160, which does not retard cell death, making its economy in a viral genome less evident. Two possibilities include failure of MC160 DEDs to oligomerize as favorably as other FLIPs, or that the C terminal sequence prevents caspase suppression following oligomerization. Differential evolutionary constraints of either DEDs or C terminal domains provide a diagnostic of the structural source of MC160’s divergent indifference to death. Regulation and misregulation of this pathway of cell death impacts considerations of both acute infectious disease and long term oncogenesis or autoinflammation [5].</w:t>
      </w:r>
    </w:p>
    <w:p>
      <w:pPr>
        <w:pStyle w:val="Normal"/>
        <w:rPr>
          <w:rFonts w:ascii="Times New Roman" w:hAnsi="Times New Roman" w:cs="Helvetica"/>
        </w:rPr>
      </w:pPr>
      <w:r>
        <w:rPr>
          <w:rFonts w:cs="Helvetica" w:ascii="Times New Roman" w:hAnsi="Times New Roman"/>
        </w:rPr>
      </w:r>
    </w:p>
    <w:p>
      <w:pPr>
        <w:pStyle w:val="Normal"/>
        <w:rPr>
          <w:rFonts w:ascii="Helvetica" w:hAnsi="Helvetica" w:cs="Helvetica"/>
          <w:b/>
          <w:b/>
        </w:rPr>
      </w:pPr>
      <w:r>
        <w:rPr>
          <w:rFonts w:cs="Helvetica" w:ascii="Times New Roman" w:hAnsi="Times New Roman"/>
          <w:b/>
        </w:rPr>
        <w:t>Hypothesis</w:t>
      </w:r>
    </w:p>
    <w:p>
      <w:pPr>
        <w:pStyle w:val="Normal"/>
        <w:rPr>
          <w:rFonts w:ascii="Helvetica" w:hAnsi="Helvetica" w:cs="Helvetica"/>
        </w:rPr>
      </w:pPr>
      <w:r>
        <w:rPr>
          <w:rFonts w:cs="Helvetica" w:ascii="Times New Roman" w:hAnsi="Times New Roman"/>
        </w:rPr>
        <w:t xml:space="preserve">cFLIP suppression of caspase occurs by competitive occupation of DED association sites on the caspase. When activated, cFLIP prevents self-association of the caspase and subsequent cleavage/release from the death-inducing signaling complex. </w:t>
      </w:r>
    </w:p>
    <w:p>
      <w:pPr>
        <w:pStyle w:val="Normal"/>
        <w:rPr>
          <w:rFonts w:ascii="Times New Roman" w:hAnsi="Times New Roman" w:cs="Helvetica"/>
        </w:rPr>
      </w:pPr>
      <w:r>
        <w:rPr>
          <w:rFonts w:cs="Helvetica" w:ascii="Times New Roman" w:hAnsi="Times New Roman"/>
        </w:rPr>
      </w:r>
    </w:p>
    <w:p>
      <w:pPr>
        <w:pStyle w:val="ListParagraph"/>
        <w:numPr>
          <w:ilvl w:val="0"/>
          <w:numId w:val="1"/>
        </w:numPr>
        <w:rPr>
          <w:rFonts w:ascii="Helvetica" w:hAnsi="Helvetica" w:cs="Helvetica"/>
        </w:rPr>
      </w:pPr>
      <w:r>
        <w:rPr>
          <w:rFonts w:cs="Helvetica" w:ascii="Times New Roman" w:hAnsi="Times New Roman"/>
        </w:rPr>
        <w:t xml:space="preserve">If MCV vFLIP gene MC160 does not suppress caspase due to failure to oligomerize, there may be evidence of lower DED sequence selection of MC160 compared to MC159. </w:t>
      </w:r>
    </w:p>
    <w:p>
      <w:pPr>
        <w:pStyle w:val="ListParagraph"/>
        <w:numPr>
          <w:ilvl w:val="0"/>
          <w:numId w:val="1"/>
        </w:numPr>
        <w:rPr>
          <w:rFonts w:ascii="Helvetica" w:hAnsi="Helvetica" w:cs="Helvetica"/>
        </w:rPr>
      </w:pPr>
      <w:r>
        <w:rPr>
          <w:rFonts w:cs="Helvetica" w:ascii="Times New Roman" w:hAnsi="Times New Roman"/>
        </w:rPr>
        <w:t>Additionally, there may be greater selective constraint on the DEDs than the C terminal domains in MC159, KSHV K13, or human cFLIP.</w:t>
      </w:r>
    </w:p>
    <w:p>
      <w:pPr>
        <w:pStyle w:val="Normal"/>
        <w:rPr>
          <w:rFonts w:ascii="Times New Roman" w:hAnsi="Times New Roman" w:cs="Helvetica"/>
        </w:rPr>
      </w:pPr>
      <w:r>
        <w:rPr>
          <w:rFonts w:cs="Helvetica" w:ascii="Times New Roman" w:hAnsi="Times New Roman"/>
        </w:rPr>
      </w:r>
    </w:p>
    <w:p>
      <w:pPr>
        <w:pStyle w:val="Normal"/>
        <w:rPr>
          <w:rFonts w:ascii="Helvetica" w:hAnsi="Helvetica" w:cs="Helvetica"/>
          <w:b/>
          <w:b/>
        </w:rPr>
      </w:pPr>
      <w:r>
        <w:rPr>
          <w:rFonts w:cs="Helvetica" w:ascii="Times New Roman" w:hAnsi="Times New Roman"/>
          <w:b/>
        </w:rPr>
        <w:t>Figure One</w:t>
      </w:r>
    </w:p>
    <w:p>
      <w:pPr>
        <w:pStyle w:val="Normal"/>
        <w:rPr>
          <w:rFonts w:ascii="Helvetica" w:hAnsi="Helvetica" w:cs="Helvetica"/>
          <w:b/>
          <w:b/>
        </w:rPr>
      </w:pPr>
      <w:r>
        <w:rPr>
          <w:rFonts w:ascii="Times New Roman" w:hAnsi="Times New Roman"/>
        </w:rPr>
        <w:drawing>
          <wp:inline distT="0" distB="5715" distL="0" distR="5080">
            <wp:extent cx="2865755" cy="972820"/>
            <wp:effectExtent l="0" t="0" r="0" b="0"/>
            <wp:docPr id="1"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
                    <pic:cNvPicPr>
                      <a:picLocks noChangeAspect="1" noChangeArrowheads="1"/>
                    </pic:cNvPicPr>
                  </pic:nvPicPr>
                  <pic:blipFill>
                    <a:blip r:embed="rId2"/>
                    <a:stretch>
                      <a:fillRect/>
                    </a:stretch>
                  </pic:blipFill>
                  <pic:spPr bwMode="auto">
                    <a:xfrm>
                      <a:off x="0" y="0"/>
                      <a:ext cx="2865755" cy="972820"/>
                    </a:xfrm>
                    <a:prstGeom prst="rect">
                      <a:avLst/>
                    </a:prstGeom>
                  </pic:spPr>
                </pic:pic>
              </a:graphicData>
            </a:graphic>
          </wp:inline>
        </w:drawing>
      </w:r>
    </w:p>
    <w:p>
      <w:pPr>
        <w:pStyle w:val="Normal"/>
        <w:rPr>
          <w:rFonts w:ascii="Helvetica" w:hAnsi="Helvetica" w:cs="Helvetica"/>
          <w:b/>
          <w:b/>
        </w:rPr>
      </w:pPr>
      <w:r>
        <w:rPr>
          <w:rFonts w:cs="Helvetica" w:ascii="Times New Roman" w:hAnsi="Times New Roman"/>
          <w:b/>
        </w:rPr>
        <w:t>Figure Two</w:t>
      </w:r>
    </w:p>
    <w:p>
      <w:pPr>
        <w:pStyle w:val="Normal"/>
        <w:rPr>
          <w:rFonts w:ascii="Helvetica" w:hAnsi="Helvetica" w:cs="Helvetica"/>
        </w:rPr>
      </w:pPr>
      <w:bookmarkStart w:id="0" w:name="_GoBack"/>
      <w:bookmarkEnd w:id="0"/>
      <w:r>
        <w:rPr>
          <w:rFonts w:ascii="Times New Roman" w:hAnsi="Times New Roman"/>
        </w:rPr>
        <w:drawing>
          <wp:inline distT="0" distB="5080" distL="0" distR="0">
            <wp:extent cx="3054350" cy="1899920"/>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3"/>
                    <a:srcRect l="0" t="7135" r="0" b="0"/>
                    <a:stretch>
                      <a:fillRect/>
                    </a:stretch>
                  </pic:blipFill>
                  <pic:spPr bwMode="auto">
                    <a:xfrm>
                      <a:off x="0" y="0"/>
                      <a:ext cx="3054350" cy="1899920"/>
                    </a:xfrm>
                    <a:prstGeom prst="rect">
                      <a:avLst/>
                    </a:prstGeom>
                  </pic:spPr>
                </pic:pic>
              </a:graphicData>
            </a:graphic>
          </wp:inline>
        </w:drawing>
      </w:r>
    </w:p>
    <w:p>
      <w:pPr>
        <w:pStyle w:val="Normal"/>
        <w:rPr>
          <w:rFonts w:ascii="Times New Roman" w:hAnsi="Times New Roman" w:cs="Helvetica"/>
          <w:b/>
          <w:b/>
          <w:bCs/>
        </w:rPr>
      </w:pPr>
      <w:r>
        <w:rPr>
          <w:rFonts w:cs="Helvetica" w:ascii="Times New Roman" w:hAnsi="Times New Roman"/>
          <w:b/>
          <w:bCs/>
        </w:rPr>
      </w:r>
    </w:p>
    <w:p>
      <w:pPr>
        <w:pStyle w:val="Normal"/>
        <w:rPr>
          <w:rFonts w:ascii="Helvetica" w:hAnsi="Helvetica" w:cs="Helvetica"/>
        </w:rPr>
      </w:pPr>
      <w:r>
        <w:rPr>
          <w:rFonts w:cs="Helvetica" w:ascii="Times New Roman" w:hAnsi="Times New Roman"/>
          <w:b/>
          <w:bCs/>
        </w:rPr>
        <w:t>Pilot Aims</w:t>
      </w:r>
    </w:p>
    <w:p>
      <w:pPr>
        <w:pStyle w:val="ListParagraph"/>
        <w:numPr>
          <w:ilvl w:val="0"/>
          <w:numId w:val="2"/>
        </w:numPr>
        <w:rPr>
          <w:rFonts w:ascii="Helvetica" w:hAnsi="Helvetica" w:cs="Helvetica"/>
        </w:rPr>
      </w:pPr>
      <w:commentRangeStart w:id="0"/>
      <w:r>
        <w:rPr>
          <w:rFonts w:cs="Helvetica" w:ascii="Times New Roman" w:hAnsi="Times New Roman"/>
        </w:rPr>
        <w:t>Determine synonymous and non-synonymous substitution rates of multiple aligned sequences using SNAP, comparing DEDs</w:t>
      </w:r>
      <w:r>
        <w:rPr>
          <w:rFonts w:cs="Helvetica" w:ascii="Times New Roman" w:hAnsi="Times New Roman"/>
        </w:rPr>
      </w:r>
      <w:commentRangeEnd w:id="0"/>
      <w:r>
        <w:commentReference w:id="0"/>
      </w:r>
      <w:r>
        <w:rPr>
          <w:rFonts w:cs="Helvetica" w:ascii="Times New Roman" w:hAnsi="Times New Roman"/>
        </w:rPr>
        <w:t xml:space="preserve"> among FLIPs and DED vs C terminal region in MC160 to quantify relative effect of selection on oligomerization of ‘non-functional’ vFLIP.</w:t>
      </w:r>
    </w:p>
    <w:p>
      <w:pPr>
        <w:pStyle w:val="ListParagraph"/>
        <w:numPr>
          <w:ilvl w:val="0"/>
          <w:numId w:val="2"/>
        </w:numPr>
        <w:rPr>
          <w:rFonts w:ascii="Times New Roman" w:hAnsi="Times New Roman"/>
        </w:rPr>
      </w:pPr>
      <w:commentRangeStart w:id="1"/>
      <w:r>
        <w:rPr>
          <w:rFonts w:cs="Helvetica" w:ascii="Times New Roman" w:hAnsi="Times New Roman"/>
        </w:rPr>
        <w:t>Compare sequence alignment findings to a crystal structure of MC159 [6] in PyMol to assess structural and substitutional trends to cell fate outcomes.</w:t>
      </w:r>
      <w:commentRangeEnd w:id="1"/>
      <w:r>
        <w:commentReference w:id="1"/>
      </w:r>
      <w:r>
        <w:rPr>
          <w:rFonts w:cs="Helvetica" w:ascii="Times New Roman" w:hAnsi="Times New Roman"/>
        </w:rPr>
      </w:r>
    </w:p>
    <w:p>
      <w:pPr>
        <w:pStyle w:val="Normal"/>
        <w:rPr>
          <w:rFonts w:ascii="Times New Roman" w:hAnsi="Times New Roman" w:cs="Helvetica"/>
        </w:rPr>
      </w:pPr>
      <w:r>
        <w:rPr>
          <w:rFonts w:cs="Helvetica" w:ascii="Times New Roman" w:hAnsi="Times New Roman"/>
        </w:rPr>
      </w:r>
    </w:p>
    <w:p>
      <w:pPr>
        <w:pStyle w:val="Normal"/>
        <w:rPr>
          <w:rFonts w:ascii="Helvetica" w:hAnsi="Helvetica" w:cs="Helvetica"/>
        </w:rPr>
      </w:pPr>
      <w:r>
        <w:rPr>
          <w:rFonts w:cs="Helvetica" w:ascii="Times New Roman" w:hAnsi="Times New Roman"/>
          <w:b/>
          <w:bCs/>
        </w:rPr>
        <w:t>Project Aims</w:t>
      </w:r>
    </w:p>
    <w:p>
      <w:pPr>
        <w:pStyle w:val="ListParagraph"/>
        <w:numPr>
          <w:ilvl w:val="0"/>
          <w:numId w:val="3"/>
        </w:numPr>
        <w:rPr>
          <w:rFonts w:ascii="Times New Roman" w:hAnsi="Times New Roman"/>
        </w:rPr>
      </w:pPr>
      <w:r>
        <w:rPr>
          <w:rFonts w:cs="Helvetica" w:ascii="Times New Roman" w:hAnsi="Times New Roman"/>
        </w:rPr>
        <w:t xml:space="preserve">Propose mutagenesis, deletion and substitution-based cloning strategies and test efficacy of cell death activation or suppression given alternate sequence composition in cell culture and in mouse models of </w:t>
      </w:r>
      <w:commentRangeStart w:id="2"/>
      <w:r>
        <w:rPr>
          <w:rFonts w:cs="Helvetica" w:ascii="Times New Roman" w:hAnsi="Times New Roman"/>
        </w:rPr>
        <w:t>multiple sclerosis [5]. </w:t>
      </w:r>
      <w:commentRangeEnd w:id="2"/>
      <w:r>
        <w:commentReference w:id="2"/>
      </w:r>
      <w:r>
        <w:rPr>
          <w:rFonts w:cs="Helvetica" w:ascii="Times New Roman" w:hAnsi="Times New Roman"/>
        </w:rPr>
      </w:r>
    </w:p>
    <w:p>
      <w:pPr>
        <w:pStyle w:val="ListParagraph"/>
        <w:numPr>
          <w:ilvl w:val="0"/>
          <w:numId w:val="3"/>
        </w:numPr>
        <w:rPr>
          <w:rFonts w:ascii="Helvetica" w:hAnsi="Helvetica" w:cs="Helvetica"/>
        </w:rPr>
      </w:pPr>
      <w:r>
        <w:rPr>
          <w:rFonts w:cs="Helvetica" w:ascii="Times New Roman" w:hAnsi="Times New Roman"/>
        </w:rPr>
        <w:t>Propose directed evolution experiment of vFLIPs to optimize cell death suppression and observe effect on oncogenesis in a mouse model of KSHV [7]. </w:t>
      </w:r>
    </w:p>
    <w:p>
      <w:pPr>
        <w:pStyle w:val="Normal"/>
        <w:rPr>
          <w:rFonts w:ascii="Times New Roman" w:hAnsi="Times New Roman" w:cs="Helvetica"/>
        </w:rPr>
      </w:pPr>
      <w:r>
        <w:rPr>
          <w:rFonts w:cs="Helvetica" w:ascii="Times New Roman" w:hAnsi="Times New Roman"/>
        </w:rPr>
      </w:r>
    </w:p>
    <w:p>
      <w:pPr>
        <w:pStyle w:val="Normal"/>
        <w:rPr>
          <w:rFonts w:ascii="Helvetica" w:hAnsi="Helvetica" w:cs="Helvetica"/>
        </w:rPr>
      </w:pPr>
      <w:r>
        <w:rPr>
          <w:rFonts w:cs="Helvetica" w:ascii="Times New Roman" w:hAnsi="Times New Roman"/>
          <w:b/>
          <w:bCs/>
        </w:rPr>
        <w:t>References</w:t>
      </w:r>
    </w:p>
    <w:p>
      <w:pPr>
        <w:pStyle w:val="Normal"/>
        <w:rPr>
          <w:rFonts w:ascii="Helvetica" w:hAnsi="Helvetica" w:cs="Helvetica"/>
        </w:rPr>
      </w:pPr>
      <w:r>
        <w:rPr>
          <w:rFonts w:cs="Helvetica" w:ascii="Times New Roman" w:hAnsi="Times New Roman"/>
        </w:rPr>
        <w:t>[1] Ozturk et al. Atlas of Genetics in Oncolology &amp; Haematology. November 2013. (Figure Two)</w:t>
      </w:r>
    </w:p>
    <w:p>
      <w:pPr>
        <w:pStyle w:val="Normal"/>
        <w:rPr>
          <w:rFonts w:ascii="Helvetica" w:hAnsi="Helvetica" w:cs="Helvetica"/>
        </w:rPr>
      </w:pPr>
      <w:r>
        <w:rPr>
          <w:rFonts w:cs="Helvetica" w:ascii="Times New Roman" w:hAnsi="Times New Roman"/>
        </w:rPr>
        <w:t>[2] Hughes et al. Molecular Cell. March 2016.</w:t>
      </w:r>
    </w:p>
    <w:p>
      <w:pPr>
        <w:pStyle w:val="Normal"/>
        <w:rPr>
          <w:rFonts w:ascii="Helvetica" w:hAnsi="Helvetica" w:cs="Helvetica"/>
        </w:rPr>
      </w:pPr>
      <w:r>
        <w:rPr>
          <w:rFonts w:cs="Helvetica" w:ascii="Times New Roman" w:hAnsi="Times New Roman"/>
        </w:rPr>
        <w:t>[3] Shisler, J. Virology. June 2014. (Figure One)</w:t>
      </w:r>
    </w:p>
    <w:p>
      <w:pPr>
        <w:pStyle w:val="Normal"/>
        <w:rPr>
          <w:rFonts w:ascii="Helvetica" w:hAnsi="Helvetica" w:cs="Helvetica"/>
        </w:rPr>
      </w:pPr>
      <w:r>
        <w:rPr>
          <w:rFonts w:cs="Helvetica" w:ascii="Times New Roman" w:hAnsi="Times New Roman"/>
        </w:rPr>
        <w:t>[4] Thome et al. Nature. April 1997.</w:t>
      </w:r>
    </w:p>
    <w:p>
      <w:pPr>
        <w:pStyle w:val="Normal"/>
        <w:rPr>
          <w:rFonts w:ascii="Helvetica" w:hAnsi="Helvetica" w:cs="Helvetica"/>
        </w:rPr>
      </w:pPr>
      <w:r>
        <w:rPr>
          <w:rFonts w:cs="Helvetica" w:ascii="Times New Roman" w:hAnsi="Times New Roman"/>
        </w:rPr>
        <w:t>[5] Ofengeim et al. Cell. March 2015.</w:t>
      </w:r>
    </w:p>
    <w:p>
      <w:pPr>
        <w:pStyle w:val="Normal"/>
        <w:rPr>
          <w:rFonts w:ascii="Helvetica" w:hAnsi="Helvetica" w:cs="Helvetica"/>
        </w:rPr>
      </w:pPr>
      <w:r>
        <w:rPr>
          <w:rFonts w:cs="Helvetica" w:ascii="Times New Roman" w:hAnsi="Times New Roman"/>
        </w:rPr>
        <w:t>[6] Yang et al. Molecular Cell. December 2005.</w:t>
      </w:r>
    </w:p>
    <w:p>
      <w:pPr>
        <w:pStyle w:val="Normal"/>
        <w:rPr>
          <w:rFonts w:ascii="Helvetica" w:hAnsi="Helvetica" w:cs="Helvetica"/>
        </w:rPr>
      </w:pPr>
      <w:r>
        <w:rPr>
          <w:rFonts w:cs="Helvetica" w:ascii="Times New Roman" w:hAnsi="Times New Roman"/>
        </w:rPr>
        <w:t>[7] Wang et al. PNAS. February 2014.</w:t>
      </w:r>
    </w:p>
    <w:p>
      <w:pPr>
        <w:pStyle w:val="Normal"/>
        <w:rPr>
          <w:rFonts w:ascii="Times New Roman" w:hAnsi="Times New Roman" w:cs="Helvetica"/>
        </w:rPr>
      </w:pPr>
      <w:r>
        <w:rPr>
          <w:rFonts w:cs="Helvetica" w:ascii="Times New Roman" w:hAnsi="Times New Roman"/>
        </w:rPr>
      </w:r>
    </w:p>
    <w:p>
      <w:pPr>
        <w:pStyle w:val="Normal"/>
        <w:rPr>
          <w:rFonts w:ascii="Times New Roman" w:hAnsi="Times New Roman" w:cs="Helvetica"/>
        </w:rPr>
      </w:pPr>
      <w:r>
        <w:rPr>
          <w:rFonts w:cs="Helvetica" w:ascii="Times New Roman" w:hAnsi="Times New Roman"/>
        </w:rPr>
      </w:r>
    </w:p>
    <w:p>
      <w:pPr>
        <w:pStyle w:val="PreformattedText"/>
        <w:rPr>
          <w:rFonts w:ascii="Times New Roman" w:hAnsi="Times New Roman" w:cs="Helvetica"/>
          <w:b w:val="false"/>
          <w:i w:val="false"/>
          <w:caps w:val="false"/>
          <w:smallCaps w:val="false"/>
          <w:color w:val="000000"/>
          <w:spacing w:val="0"/>
          <w:sz w:val="18"/>
        </w:rPr>
      </w:pPr>
      <w:bookmarkStart w:id="1" w:name="x_gmail-code"/>
      <w:bookmarkEnd w:id="1"/>
      <w:r>
        <w:rPr>
          <w:rFonts w:cs="Helvetica" w:ascii="Times New Roman" w:hAnsi="Times New Roman"/>
          <w:b w:val="false"/>
          <w:i w:val="false"/>
          <w:caps w:val="false"/>
          <w:smallCaps w:val="false"/>
          <w:color w:val="000000"/>
          <w:spacing w:val="0"/>
          <w:sz w:val="18"/>
        </w:rPr>
        <w:t>1) What is the theme of the proposed research? What are the major questions to be addressed?</w:t>
      </w:r>
    </w:p>
    <w:p>
      <w:pPr>
        <w:pStyle w:val="PreformattedText"/>
        <w:widowControl/>
        <w:pBdr/>
        <w:spacing w:before="0" w:after="0"/>
        <w:rPr>
          <w:rFonts w:ascii="Times New Roman" w:hAnsi="Times New Roman"/>
        </w:rPr>
      </w:pPr>
      <w:r>
        <w:rPr>
          <w:rFonts w:ascii="Times New Roman" w:hAnsi="Times New Roman"/>
        </w:rPr>
        <w:t>The theme is to investigate the role of a cell regolatory gene which signals for the apoptosis of a cell. Pathogens ultilize this pathway in order to prevent the cell from destroying itself upon infection – thus securing a foothold into the host.</w:t>
      </w:r>
    </w:p>
    <w:p>
      <w:pPr>
        <w:pStyle w:val="PreformattedText"/>
        <w:widowControl/>
        <w:pBdr/>
        <w:spacing w:before="0" w:after="0"/>
        <w:rPr>
          <w:rFonts w:ascii="Times New Roman" w:hAnsi="Times New Roman"/>
        </w:rPr>
      </w:pPr>
      <w:r>
        <w:rPr>
          <w:rFonts w:ascii="Times New Roman" w:hAnsi="Times New Roman"/>
        </w:rPr>
      </w:r>
    </w:p>
    <w:p>
      <w:pPr>
        <w:pStyle w:val="PreformattedText"/>
        <w:widowControl/>
        <w:pBdr/>
        <w:spacing w:before="0" w:after="0"/>
        <w:rPr>
          <w:rFonts w:ascii="Times New Roman" w:hAnsi="Times New Roman"/>
          <w:b w:val="false"/>
          <w:i w:val="false"/>
          <w:caps w:val="false"/>
          <w:smallCaps w:val="false"/>
          <w:color w:val="000000"/>
          <w:spacing w:val="0"/>
          <w:sz w:val="18"/>
        </w:rPr>
      </w:pPr>
      <w:r>
        <w:rPr>
          <w:rFonts w:ascii="Times New Roman" w:hAnsi="Times New Roman"/>
          <w:b w:val="false"/>
          <w:i w:val="false"/>
          <w:caps w:val="false"/>
          <w:smallCaps w:val="false"/>
          <w:color w:val="000000"/>
          <w:spacing w:val="0"/>
          <w:sz w:val="18"/>
        </w:rPr>
        <w:t>2) Do the methods and preliminary analyses used integrate concepts that lie at the interface of molecular evolution and biochemistry? Do they address the questions being asked?</w:t>
      </w:r>
    </w:p>
    <w:p>
      <w:pPr>
        <w:pStyle w:val="PreformattedText"/>
        <w:widowControl/>
        <w:pBdr/>
        <w:spacing w:before="0" w:after="0"/>
        <w:rPr>
          <w:rFonts w:ascii="Times New Roman" w:hAnsi="Times New Roman"/>
        </w:rPr>
      </w:pPr>
      <w:r>
        <w:rPr>
          <w:rFonts w:ascii="Times New Roman" w:hAnsi="Times New Roman"/>
        </w:rPr>
        <w:t>Yes they do address the concepts of the course in a proper manner. If more honed and specific hypotheses on the predicted results would be preferable.</w:t>
      </w:r>
    </w:p>
    <w:p>
      <w:pPr>
        <w:pStyle w:val="PreformattedText"/>
        <w:widowControl/>
        <w:pBdr/>
        <w:spacing w:before="0" w:after="0"/>
        <w:rPr>
          <w:rFonts w:ascii="Times New Roman" w:hAnsi="Times New Roman"/>
        </w:rPr>
      </w:pPr>
      <w:r>
        <w:rPr>
          <w:rFonts w:ascii="Times New Roman" w:hAnsi="Times New Roman"/>
        </w:rPr>
      </w:r>
    </w:p>
    <w:p>
      <w:pPr>
        <w:pStyle w:val="PreformattedText"/>
        <w:widowControl/>
        <w:pBdr/>
        <w:spacing w:before="0" w:after="0"/>
        <w:rPr>
          <w:rFonts w:ascii="Times New Roman" w:hAnsi="Times New Roman"/>
          <w:b w:val="false"/>
          <w:i w:val="false"/>
          <w:caps w:val="false"/>
          <w:smallCaps w:val="false"/>
          <w:color w:val="000000"/>
          <w:spacing w:val="0"/>
          <w:sz w:val="18"/>
        </w:rPr>
      </w:pPr>
      <w:r>
        <w:rPr>
          <w:rFonts w:ascii="Times New Roman" w:hAnsi="Times New Roman"/>
          <w:b w:val="false"/>
          <w:i w:val="false"/>
          <w:caps w:val="false"/>
          <w:smallCaps w:val="false"/>
          <w:color w:val="000000"/>
          <w:spacing w:val="0"/>
          <w:sz w:val="18"/>
        </w:rPr>
        <w:t>3) What major improvements would you suggest?</w:t>
      </w:r>
    </w:p>
    <w:p>
      <w:pPr>
        <w:pStyle w:val="TextBody"/>
        <w:rPr>
          <w:rFonts w:ascii="Times New Roman" w:hAnsi="Times New Roman"/>
        </w:rPr>
      </w:pPr>
      <w:r>
        <w:rPr>
          <w:rFonts w:ascii="Times New Roman" w:hAnsi="Times New Roman"/>
        </w:rPr>
        <w:t xml:space="preserve">More refined predictions of the results would help bolster the project and bring it into focus. If the author wished to have a more concretated and rigid analysis there additonal analyses which could be implemented with the proposed data set. However, in order to use these the author would need to state what kind of evoluton/selection they are expecting. </w:t>
      </w:r>
      <w:r>
        <w:rPr>
          <w:rFonts w:ascii="Times New Roman" w:hAnsi="Times New Roman"/>
        </w:rPr>
        <w:br/>
      </w:r>
    </w:p>
    <w:p>
      <w:pPr>
        <w:pStyle w:val="Normal"/>
        <w:rPr>
          <w:rFonts w:ascii="Times New Roman" w:hAnsi="Times New Roman" w:cs="Helvetica"/>
        </w:rPr>
      </w:pPr>
      <w:r>
        <w:rPr>
          <w:rFonts w:cs="Helvetica" w:ascii="Times New Roman" w:hAnsi="Times New Roman"/>
        </w:rPr>
        <w:t>Overall I really like this idea and I am excited to see what the preliminary data shows. I would love to read it once you are done – so send it my way if you feel comfortable with sharing it (JustinRRigby@gmail.com).</w:t>
      </w:r>
    </w:p>
    <w:p>
      <w:pPr>
        <w:pStyle w:val="Normal"/>
        <w:rPr>
          <w:rFonts w:ascii="Times New Roman" w:hAnsi="Times New Roman"/>
        </w:rPr>
      </w:pPr>
      <w:r>
        <w:rPr>
          <w:rFonts w:ascii="Times New Roman" w:hAnsi="Times New Roman"/>
        </w:rPr>
      </w:r>
    </w:p>
    <w:sectPr>
      <w:headerReference w:type="default" r:id="rId4"/>
      <w:type w:val="nextPage"/>
      <w:pgSz w:w="12240" w:h="15840"/>
      <w:pgMar w:left="1440" w:right="1440" w:header="720" w:top="1440" w:footer="0" w:bottom="1440" w:gutter="0"/>
      <w:pgNumType w:fmt="decimal"/>
      <w:formProt w:val="false"/>
      <w:textDirection w:val="lrTb"/>
      <w:docGrid w:type="default" w:linePitch="36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18-02-22T13:56:28Z" w:initials="">
    <w:p>
      <w:r>
        <w:rPr>
          <w:rFonts w:eastAsia="Calibri" w:cs="" w:ascii="Calibri" w:hAnsi="Calibri"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position w:val="0"/>
          <w:sz w:val="14"/>
          <w:szCs w:val="24"/>
          <w:u w:val="none"/>
          <w:vertAlign w:val="baseline"/>
          <w:em w:val="none"/>
          <w:lang w:eastAsia="en-US" w:val="en-US" w:bidi="ar-SA"/>
        </w:rPr>
        <w:t>I under that the goal is to see the evolution of the gene, but you need to be more specific on which gene you will be looking at and how you will doing the comparisions – it is a little confusing.</w:t>
      </w:r>
      <w:r>
        <w:rPr>
          <w:rFonts w:eastAsia="Calibri" w:cs="" w:ascii="Calibri" w:hAnsi="Calibri"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position w:val="0"/>
          <w:sz w:val="14"/>
          <w:szCs w:val="24"/>
          <w:u w:val="none"/>
          <w:vertAlign w:val="baseline"/>
          <w:em w:val="none"/>
          <w:lang w:eastAsia="en-US" w:val="en-US" w:bidi="ar-SA"/>
        </w:rPr>
      </w:r>
      <w:r>
        <w:rPr>
          <w:rFonts w:eastAsia="Calibri" w:cs="" w:ascii="Calibri" w:hAnsi="Calibri"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position w:val="0"/>
          <w:sz w:val="14"/>
          <w:szCs w:val="24"/>
          <w:u w:val="none"/>
          <w:vertAlign w:val="baseline"/>
          <w:em w:val="none"/>
          <w:lang w:eastAsia="en-US" w:val="en-US" w:bidi="ar-SA"/>
        </w:rPr>
      </w:r>
      <w:r>
        <w:rPr>
          <w:rFonts w:eastAsia="Calibri" w:cs="" w:ascii="Calibri" w:hAnsi="Calibri"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position w:val="0"/>
          <w:sz w:val="14"/>
          <w:szCs w:val="24"/>
          <w:u w:val="none"/>
          <w:vertAlign w:val="baseline"/>
          <w:em w:val="none"/>
          <w:lang w:eastAsia="en-US" w:val="en-US" w:bidi="ar-SA"/>
        </w:rPr>
        <w:t>Alongside that, I would also recommend defining what kind of evolution you expect because Dn/Ds ratios are useful for a quick analysis to see the trend of the sequences, but is not stringent enough to capture positive selection or purifying selection to a large degree. If you intend to look at SNP as a proxy for evolution I would suggest looking into Tajima’s D – if you need more information feel free to contact me.</w:t>
      </w:r>
    </w:p>
  </w:comment>
  <w:comment w:id="1" w:author="Unknown Author" w:date="2018-02-22T14:06:39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4"/>
          <w:u w:val="none"/>
          <w:vertAlign w:val="baseline"/>
          <w:em w:val="none"/>
          <w:lang w:bidi="ar-SA" w:eastAsia="en-US" w:val="en-US"/>
        </w:rPr>
        <w:t>Good! This would be a really cool method to visualize the polymorphic sites.</w:t>
      </w:r>
    </w:p>
  </w:comment>
  <w:comment w:id="2" w:author="Unknown Author" w:date="2018-02-22T14:08:08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4"/>
          <w:u w:val="none"/>
          <w:vertAlign w:val="baseline"/>
          <w:em w:val="none"/>
          <w:lang w:bidi="ar-SA" w:eastAsia="en-US" w:val="en-US"/>
        </w:rPr>
        <w:t xml:space="preserve">Expand on this more in the abstract as the ‘broad spectrum’ approach/application. </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Helvetica">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ab/>
      <w:tab/>
      <w:t>Ellen Ketter</w:t>
    </w:r>
  </w:p>
  <w:p>
    <w:pPr>
      <w:pStyle w:val="Header"/>
      <w:rPr/>
    </w:pPr>
    <w:r>
      <w:rPr/>
      <w:tab/>
      <w:tab/>
      <w:t>16 February 2018</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3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sz w:val="24"/>
      <w:szCs w:val="24"/>
      <w:lang w:val="en-US" w:eastAsia="en-US" w:bidi="ar-SA"/>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1975a9"/>
    <w:rPr>
      <w:b/>
      <w:bCs/>
    </w:rPr>
  </w:style>
  <w:style w:type="character" w:styleId="HeaderChar" w:customStyle="1">
    <w:name w:val="Header Char"/>
    <w:basedOn w:val="DefaultParagraphFont"/>
    <w:link w:val="Header"/>
    <w:uiPriority w:val="99"/>
    <w:qFormat/>
    <w:rsid w:val="00f37e84"/>
    <w:rPr/>
  </w:style>
  <w:style w:type="character" w:styleId="FooterChar" w:customStyle="1">
    <w:name w:val="Footer Char"/>
    <w:basedOn w:val="DefaultParagraphFont"/>
    <w:link w:val="Footer"/>
    <w:uiPriority w:val="99"/>
    <w:qFormat/>
    <w:rsid w:val="00f37e84"/>
    <w:rPr/>
  </w:style>
  <w:style w:type="character" w:styleId="FootnoteCharacters">
    <w:name w:val="Footnote Characters"/>
    <w:qFormat/>
    <w:rPr/>
  </w:style>
  <w:style w:type="character" w:styleId="FootnoteAnchor">
    <w:name w:val="Footnote Anchor"/>
    <w:rPr>
      <w:vertAlign w:val="superscript"/>
    </w:rPr>
  </w:style>
  <w:style w:type="character" w:styleId="EndnoteCharacters">
    <w:name w:val="Endnote Characters"/>
    <w:qFormat/>
    <w:rPr/>
  </w:style>
  <w:style w:type="character" w:styleId="EndnoteAnchor">
    <w:name w:val="Endnote Anchor"/>
    <w:rPr>
      <w:vertAlign w:val="superscrip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9c036a"/>
    <w:pPr>
      <w:spacing w:before="0" w:after="0"/>
      <w:ind w:left="720" w:hanging="0"/>
      <w:contextualSpacing/>
    </w:pPr>
    <w:rPr/>
  </w:style>
  <w:style w:type="paragraph" w:styleId="Header">
    <w:name w:val="Header"/>
    <w:basedOn w:val="Normal"/>
    <w:link w:val="HeaderChar"/>
    <w:uiPriority w:val="99"/>
    <w:unhideWhenUsed/>
    <w:rsid w:val="00f37e84"/>
    <w:pPr>
      <w:tabs>
        <w:tab w:val="center" w:pos="4680" w:leader="none"/>
        <w:tab w:val="right" w:pos="9360" w:leader="none"/>
      </w:tabs>
    </w:pPr>
    <w:rPr/>
  </w:style>
  <w:style w:type="paragraph" w:styleId="Footer">
    <w:name w:val="Footer"/>
    <w:basedOn w:val="Normal"/>
    <w:link w:val="FooterChar"/>
    <w:uiPriority w:val="99"/>
    <w:unhideWhenUsed/>
    <w:rsid w:val="00f37e84"/>
    <w:pPr>
      <w:tabs>
        <w:tab w:val="center" w:pos="4680" w:leader="none"/>
        <w:tab w:val="right" w:pos="9360" w:leader="none"/>
      </w:tabs>
    </w:pPr>
    <w:rPr/>
  </w:style>
  <w:style w:type="paragraph" w:styleId="PreformattedText">
    <w:name w:val="Preformatted Text"/>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header" Target="header1.xml"/><Relationship Id="rId5" Type="http://schemas.openxmlformats.org/officeDocument/2006/relationships/comments" Target="comment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Application>LibreOffice/5.1.6.2$Linux_X86_64 LibreOffice_project/10m0$Build-2</Application>
  <Pages>3</Pages>
  <Words>725</Words>
  <Characters>3992</Characters>
  <CharactersWithSpaces>4690</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2018-02-19T22:20:00Z</dcterms:created>
  <dc:creator>Ellen Bruner</dc:creator>
  <dc:description/>
  <dc:language>en-US</dc:language>
  <cp:lastModifiedBy/>
  <dcterms:modified xsi:type="dcterms:W3CDTF">2018-02-22T14:39:07Z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