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New Discussion Paper Proposes “Debt-for-Carbon” as Next Evolution of Debt-for-Climate Swaps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EM Market Insights Brief_2026-Q1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EIB and Iberdrola sign €175 million green loan, guaranteed by Cesce, to support the construction of Tâmega wind farms in Portugal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edf.org/media/new-discussion-paper-proposes-debt-carbon-next-evolution-debt-climate-swaps" TargetMode="External"/><Relationship Id="rId7" Type="http://schemas.openxmlformats.org/officeDocument/2006/relationships/hyperlink" Target="https://drive.google.com/file/d/1Jh7frV6ufrOoDbLFIgUprhMvGkW4Rb2T/view?usp=sharing" TargetMode="External"/><Relationship Id="rId8" Type="http://schemas.openxmlformats.org/officeDocument/2006/relationships/hyperlink" Target="https://www.eib.org/en/press/all/2026-010-eib-and-iberdrola-sign-eur175-million-green-loan-guaranteed-by-cesce-to-support-the-construction-of-tamega-wind-farms-in-portug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