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007B6E"/>
          <w:spacing w:val="120"/>
          <w:sz w:val="16"/>
          <w:szCs w:val="16"/>
        </w:rPr>
        <w:t xml:space="preserve">INTERNAL RESEARCH TOOL</w:t>
      </w:r>
    </w:p>
    <w:p>
      <w:pPr>
        <w:spacing w:before="160" w:after="0"/>
      </w:pPr>
      <w:r>
        <w:rPr>
          <w:rFonts w:ascii="Arial" w:cs="Arial" w:eastAsia="Arial" w:hAnsi="Arial"/>
          <w:b/>
          <w:bCs/>
          <w:color w:val="0A1E3A"/>
          <w:sz w:val="48"/>
          <w:szCs w:val="48"/>
        </w:rPr>
        <w:t xml:space="preserve">Product Requirements Document</w:t>
      </w:r>
    </w:p>
    <w:p>
      <w:pPr>
        <w:spacing w:before="80" w:after="0"/>
      </w:pPr>
      <w:r>
        <w:rPr>
          <w:rFonts w:ascii="Arial" w:cs="Arial" w:eastAsia="Arial" w:hAnsi="Arial"/>
          <w:color w:val="1E3A5F"/>
          <w:sz w:val="36"/>
          <w:szCs w:val="36"/>
        </w:rPr>
        <w:t xml:space="preserve">Indonesia Coral Reef Restoration Finance Research</w:t>
      </w:r>
    </w:p>
    <w:p>
      <w:pPr>
        <w:pBdr>
          <w:bottom w:val="single" w:color="007B6E" w:sz="4" w:space="1"/>
        </w:pBdr>
        <w:spacing w:before="80" w:after="8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DDEE" w:sz="1"/>
              <w:left w:val="single" w:color="CCDDEE" w:sz="1"/>
              <w:bottom w:val="single" w:color="CCDDEE" w:sz="1"/>
              <w:right w:val="single" w:color="CCDDEE" w:sz="1"/>
            </w:tcBorders>
            <w:shd w:fill="F0F6FA" w:val="clear"/>
            <w:tcMar>
              <w:top w:type="dxa" w:w="120"/>
              <w:left w:type="dxa" w:w="160"/>
              <w:bottom w:type="dxa" w:w="120"/>
              <w:right w:type="dxa" w:w="160"/>
            </w:tcMar>
          </w:tcPr>
          <w:p>
            <w:r>
              <w:rPr>
                <w:rFonts w:ascii="Arial" w:cs="Arial" w:eastAsia="Arial" w:hAnsi="Arial"/>
                <w:b/>
                <w:bCs/>
                <w:color w:val="4A7A95"/>
                <w:spacing w:val="40"/>
                <w:sz w:val="16"/>
                <w:szCs w:val="16"/>
              </w:rPr>
              <w:t xml:space="preserve">VERSION</w:t>
            </w:r>
          </w:p>
          <w:p>
            <w:r>
              <w:rPr>
                <w:rFonts w:ascii="Arial" w:cs="Arial" w:eastAsia="Arial" w:hAnsi="Arial"/>
                <w:b/>
                <w:bCs/>
                <w:color w:val="0A1E3A"/>
                <w:sz w:val="22"/>
                <w:szCs w:val="22"/>
              </w:rPr>
              <w:t xml:space="preserve">v1.0</w:t>
            </w:r>
          </w:p>
        </w:tc>
        <w:tc>
          <w:tcPr>
            <w:tcW w:type="dxa" w:w="2340"/>
            <w:tcBorders>
              <w:top w:val="single" w:color="CCDDEE" w:sz="1"/>
              <w:left w:val="single" w:color="CCDDEE" w:sz="1"/>
              <w:bottom w:val="single" w:color="CCDDEE" w:sz="1"/>
              <w:right w:val="single" w:color="CCDDEE" w:sz="1"/>
            </w:tcBorders>
            <w:shd w:fill="FFFFFF" w:val="clear"/>
            <w:tcMar>
              <w:top w:type="dxa" w:w="120"/>
              <w:left w:type="dxa" w:w="160"/>
              <w:bottom w:type="dxa" w:w="120"/>
              <w:right w:type="dxa" w:w="160"/>
            </w:tcMar>
          </w:tcPr>
          <w:p>
            <w:r>
              <w:rPr>
                <w:rFonts w:ascii="Arial" w:cs="Arial" w:eastAsia="Arial" w:hAnsi="Arial"/>
                <w:b/>
                <w:bCs/>
                <w:color w:val="4A7A95"/>
                <w:spacing w:val="40"/>
                <w:sz w:val="16"/>
                <w:szCs w:val="16"/>
              </w:rPr>
              <w:t xml:space="preserve">STATUS</w:t>
            </w:r>
          </w:p>
          <w:p>
            <w:r>
              <w:rPr>
                <w:rFonts w:ascii="Arial" w:cs="Arial" w:eastAsia="Arial" w:hAnsi="Arial"/>
                <w:b/>
                <w:bCs/>
                <w:color w:val="0A1E3A"/>
                <w:sz w:val="22"/>
                <w:szCs w:val="22"/>
              </w:rPr>
              <w:t xml:space="preserve">Draft — Pre-Field</w:t>
            </w:r>
          </w:p>
        </w:tc>
        <w:tc>
          <w:tcPr>
            <w:tcW w:type="dxa" w:w="2340"/>
            <w:tcBorders>
              <w:top w:val="single" w:color="CCDDEE" w:sz="1"/>
              <w:left w:val="single" w:color="CCDDEE" w:sz="1"/>
              <w:bottom w:val="single" w:color="CCDDEE" w:sz="1"/>
              <w:right w:val="single" w:color="CCDDEE" w:sz="1"/>
            </w:tcBorders>
            <w:shd w:fill="F0F6FA" w:val="clear"/>
            <w:tcMar>
              <w:top w:type="dxa" w:w="120"/>
              <w:left w:type="dxa" w:w="160"/>
              <w:bottom w:type="dxa" w:w="120"/>
              <w:right w:type="dxa" w:w="160"/>
            </w:tcMar>
          </w:tcPr>
          <w:p>
            <w:r>
              <w:rPr>
                <w:rFonts w:ascii="Arial" w:cs="Arial" w:eastAsia="Arial" w:hAnsi="Arial"/>
                <w:b/>
                <w:bCs/>
                <w:color w:val="4A7A95"/>
                <w:spacing w:val="40"/>
                <w:sz w:val="16"/>
                <w:szCs w:val="16"/>
              </w:rPr>
              <w:t xml:space="preserve">TEAM</w:t>
            </w:r>
          </w:p>
          <w:p>
            <w:r>
              <w:rPr>
                <w:rFonts w:ascii="Arial" w:cs="Arial" w:eastAsia="Arial" w:hAnsi="Arial"/>
                <w:b/>
                <w:bCs/>
                <w:color w:val="0A1E3A"/>
                <w:sz w:val="22"/>
                <w:szCs w:val="22"/>
              </w:rPr>
              <w:t xml:space="preserve">Coral Research Group</w:t>
            </w:r>
          </w:p>
        </w:tc>
        <w:tc>
          <w:tcPr>
            <w:tcW w:type="dxa" w:w="2340"/>
            <w:tcBorders>
              <w:top w:val="single" w:color="CCDDEE" w:sz="1"/>
              <w:left w:val="single" w:color="CCDDEE" w:sz="1"/>
              <w:bottom w:val="single" w:color="CCDDEE" w:sz="1"/>
              <w:right w:val="single" w:color="CCDDEE" w:sz="1"/>
            </w:tcBorders>
            <w:shd w:fill="FFFFFF" w:val="clear"/>
            <w:tcMar>
              <w:top w:type="dxa" w:w="120"/>
              <w:left w:type="dxa" w:w="160"/>
              <w:bottom w:type="dxa" w:w="120"/>
              <w:right w:type="dxa" w:w="160"/>
            </w:tcMar>
          </w:tcPr>
          <w:p>
            <w:r>
              <w:rPr>
                <w:rFonts w:ascii="Arial" w:cs="Arial" w:eastAsia="Arial" w:hAnsi="Arial"/>
                <w:b/>
                <w:bCs/>
                <w:color w:val="4A7A95"/>
                <w:spacing w:val="40"/>
                <w:sz w:val="16"/>
                <w:szCs w:val="16"/>
              </w:rPr>
              <w:t xml:space="preserve">LAST UPDATED</w:t>
            </w:r>
          </w:p>
          <w:p>
            <w:r>
              <w:rPr>
                <w:rFonts w:ascii="Arial" w:cs="Arial" w:eastAsia="Arial" w:hAnsi="Arial"/>
                <w:b/>
                <w:bCs/>
                <w:color w:val="0A1E3A"/>
                <w:sz w:val="22"/>
                <w:szCs w:val="22"/>
              </w:rPr>
              <w:t xml:space="preserve">March 2026</w:t>
            </w:r>
          </w:p>
        </w:tc>
      </w:tr>
    </w:tbl>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B6E"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EAF4F8" w:val="clear"/>
            <w:tcMar>
              <w:top w:type="dxa" w:w="120"/>
              <w:left w:type="dxa" w:w="200"/>
              <w:bottom w:type="dxa" w:w="120"/>
              <w:right w:type="dxa" w:w="200"/>
            </w:tcMar>
          </w:tcPr>
          <w:p>
            <w:r>
              <w:rPr>
                <w:rFonts w:ascii="Arial" w:cs="Arial" w:eastAsia="Arial" w:hAnsi="Arial"/>
                <w:b/>
                <w:bCs/>
                <w:color w:val="007B6E"/>
                <w:spacing w:val="60"/>
                <w:sz w:val="16"/>
                <w:szCs w:val="16"/>
              </w:rPr>
              <w:t xml:space="preserve">CORE RESEARCH HYPOTHESIS</w:t>
            </w:r>
          </w:p>
          <w:p>
            <w:pPr>
              <w:spacing w:before="40"/>
            </w:pPr>
            <w:r>
              <w:rPr>
                <w:rFonts w:ascii="Arial" w:cs="Arial" w:eastAsia="Arial" w:hAnsi="Arial"/>
                <w:i/>
                <w:iCs/>
                <w:color w:val="333333"/>
                <w:sz w:val="21"/>
                <w:szCs w:val="21"/>
              </w:rPr>
              <w:t xml:space="preserve">Coral reef restoration remains underfunded not because beneficiaries are unaware of reef value, but because no institutional mechanism exists that makes funding feel like an obligation rather than a choice.</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FFF8EC" w:val="clear"/>
            <w:tcMar>
              <w:top w:type="dxa" w:w="120"/>
              <w:left w:type="dxa" w:w="200"/>
              <w:bottom w:type="dxa" w:w="120"/>
              <w:right w:type="dxa" w:w="200"/>
            </w:tcMar>
          </w:tcPr>
          <w:p>
            <w:r>
              <w:rPr>
                <w:rFonts w:ascii="Arial" w:cs="Arial" w:eastAsia="Arial" w:hAnsi="Arial"/>
                <w:b/>
                <w:bCs/>
                <w:color w:val="C8922A"/>
                <w:spacing w:val="60"/>
                <w:sz w:val="16"/>
                <w:szCs w:val="16"/>
              </w:rPr>
              <w:t xml:space="preserve">PRIMARY RESEARCH QUESTION</w:t>
            </w:r>
          </w:p>
          <w:p>
            <w:pPr>
              <w:spacing w:before="40"/>
            </w:pPr>
            <w:r>
              <w:rPr>
                <w:rFonts w:ascii="Arial" w:cs="Arial" w:eastAsia="Arial" w:hAnsi="Arial"/>
                <w:i/>
                <w:iCs/>
                <w:color w:val="333333"/>
                <w:sz w:val="21"/>
                <w:szCs w:val="21"/>
              </w:rPr>
              <w:t xml:space="preserve">What prevents economic beneficiaries of coral reefs from translating recognized value into financial commitment — and what conditions would change that?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01</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Purpose &amp; Research Program Overview</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Why This Tool Exists</w:t>
      </w:r>
    </w:p>
    <w:p>
      <w:pPr>
        <w:spacing w:before="60" w:after="80"/>
      </w:pPr>
      <w:r>
        <w:rPr>
          <w:rFonts w:ascii="Arial" w:cs="Arial" w:eastAsia="Arial" w:hAnsi="Arial"/>
          <w:b w:val="false"/>
          <w:bCs w:val="false"/>
          <w:i w:val="false"/>
          <w:iCs w:val="false"/>
          <w:color w:val="333333"/>
          <w:sz w:val="22"/>
          <w:szCs w:val="22"/>
        </w:rPr>
        <w:t xml:space="preserve">This internal tool is the operational backbone for the Indonesia Coral Reef Financing Research project. It exists to consolidate the full research program — hypotheses, stakeholder network, interview protocols, case studies, funding flow analysis, and bottleneck diagnostics — into a single structured reference that every team member uses before, during, and after field interviews in Indonesia.</w:t>
      </w:r>
    </w:p>
    <w:p>
      <w:pPr>
        <w:spacing w:before="80" w:after="0"/>
      </w:pPr>
      <w:r>
        <w:t xml:space="preserve"/>
      </w:r>
    </w:p>
    <w:p>
      <w:pPr>
        <w:spacing w:before="60" w:after="80"/>
      </w:pPr>
      <w:r>
        <w:rPr>
          <w:rFonts w:ascii="Arial" w:cs="Arial" w:eastAsia="Arial" w:hAnsi="Arial"/>
          <w:b w:val="false"/>
          <w:bCs w:val="false"/>
          <w:i w:val="false"/>
          <w:iCs w:val="false"/>
          <w:color w:val="333333"/>
          <w:sz w:val="22"/>
          <w:szCs w:val="22"/>
        </w:rPr>
        <w:t xml:space="preserve">The prior research group (Parker et al., 2024) established that valuation frameworks for coral reefs exist but fail to translate into institutional financing. This project builds on that finding by investigating the institutional and behavioral gap between recognized value and actual funding commitment. The tool is designed to ensure that every stakeholder conversation in Bali and Jakarta feeds into a consistent analytical framework — not a collection of anecdotes.</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Research Program Phases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c>
          <w:tcPr>
            <w:tcW w:type="dxa" w:w="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43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Key Activities</w:t>
            </w:r>
          </w:p>
        </w:tc>
      </w:tr>
      <w:tr>
        <w:tc>
          <w:tcPr>
            <w:tcW w:type="dxa" w:w="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 &amp; Framework Development</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Pre-Field (Now)</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Literature synthesis, hypothesis formation, stakeholder mapping, interview guide design</w:t>
            </w:r>
          </w:p>
        </w:tc>
      </w:tr>
      <w:tr>
        <w:tc>
          <w:tcPr>
            <w:tcW w:type="dxa" w:w="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Field Research — Indonesia</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1 Week In-Country</w:t>
            </w:r>
          </w:p>
        </w:tc>
        <w:tc>
          <w:tcPr>
            <w:tcW w:type="dxa" w:w="4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Stakeholder interviews (restoration orgs, tourism operators), site observation, funding flow documentation</w:t>
            </w:r>
          </w:p>
        </w:tc>
      </w:tr>
      <w:tr>
        <w:tc>
          <w:tcPr>
            <w:tcW w:type="dxa" w:w="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Analysis &amp; Synthesis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Post-Field (Weeks 1–2)</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coding, bottleneck analysis, institutional gap mapping, cross-case comparison</w:t>
            </w:r>
          </w:p>
        </w:tc>
      </w:tr>
      <w:tr>
        <w:tc>
          <w:tcPr>
            <w:tcW w:type="dxa" w:w="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Tool &amp; Framework Output</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Post-Field (Weeks 2–4)</w:t>
            </w:r>
          </w:p>
        </w:tc>
        <w:tc>
          <w:tcPr>
            <w:tcW w:type="dxa" w:w="4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Financing gap diagnostic, stakeholder decision matrix, final research report</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What This Research Will Produce</w:t>
      </w:r>
    </w:p>
    <w:p>
      <w:pPr>
        <w:spacing w:before="60" w:after="0"/>
      </w:pPr>
      <w:r>
        <w:t xml:space="preserve"/>
      </w:r>
    </w:p>
    <w:p>
      <w:pPr>
        <w:spacing w:before="60" w:after="80"/>
      </w:pPr>
      <w:r>
        <w:rPr>
          <w:rFonts w:ascii="Arial" w:cs="Arial" w:eastAsia="Arial" w:hAnsi="Arial"/>
          <w:b/>
          <w:bCs/>
          <w:i w:val="false"/>
          <w:iCs w:val="false"/>
          <w:color w:val="333333"/>
          <w:sz w:val="22"/>
          <w:szCs w:val="22"/>
        </w:rPr>
        <w:t xml:space="preserve">Three deliverables are targeted:</w:t>
      </w:r>
    </w:p>
    <w:p>
      <w:pPr>
        <w:spacing w:before="6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Research Report: 'Why Coral Restoration Funding Fails — Institutional Barriers in Indonesia's Reef Economy'</w:t>
      </w:r>
    </w:p>
    <w:p>
      <w:pPr>
        <w:pStyle w:val="ListParagraph"/>
        <w:numPr>
          <w:ilvl w:val="0"/>
          <w:numId w:val="2"/>
        </w:numPr>
        <w:spacing w:before="40" w:after="40"/>
      </w:pPr>
      <w:r>
        <w:rPr>
          <w:rFonts w:ascii="Arial" w:cs="Arial" w:eastAsia="Arial" w:hAnsi="Arial"/>
          <w:color w:val="333333"/>
          <w:sz w:val="21"/>
          <w:szCs w:val="21"/>
        </w:rPr>
        <w:t xml:space="preserve">Financing Gap Diagnostic Framework: A reusable tool that maps any reef site against three variables — beneficiary concentration, institutional readiness, and willingness threshold — to assess funding feasibility</w:t>
      </w:r>
    </w:p>
    <w:p>
      <w:pPr>
        <w:pStyle w:val="ListParagraph"/>
        <w:numPr>
          <w:ilvl w:val="0"/>
          <w:numId w:val="2"/>
        </w:numPr>
        <w:spacing w:before="40" w:after="40"/>
      </w:pPr>
      <w:r>
        <w:rPr>
          <w:rFonts w:ascii="Arial" w:cs="Arial" w:eastAsia="Arial" w:hAnsi="Arial"/>
          <w:color w:val="333333"/>
          <w:sz w:val="21"/>
          <w:szCs w:val="21"/>
        </w:rPr>
        <w:t xml:space="preserve">Stakeholder Decision Matrix: A structured model of actor incentives, barriers, and conditions for financial participation that future researchers or restoration organizations can apply to new geographies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02</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Research Framework &amp; Hypotheses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The Financing Pipeline Model</w:t>
      </w:r>
    </w:p>
    <w:p>
      <w:pPr>
        <w:spacing w:before="60" w:after="80"/>
      </w:pPr>
      <w:r>
        <w:rPr>
          <w:rFonts w:ascii="Arial" w:cs="Arial" w:eastAsia="Arial" w:hAnsi="Arial"/>
          <w:b w:val="false"/>
          <w:bCs w:val="false"/>
          <w:i w:val="false"/>
          <w:iCs w:val="false"/>
          <w:color w:val="333333"/>
          <w:sz w:val="22"/>
          <w:szCs w:val="22"/>
        </w:rPr>
        <w:t xml:space="preserve">All coral restoration financing can be understood as a pipeline with four stages. Prior research confirms the pipeline exists in theory but breaks in practice. This research locates exactly where it breaks.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3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Status in Coral Context</w:t>
            </w:r>
          </w:p>
        </w:tc>
      </w:tr>
      <w:tr>
        <w:tc>
          <w:tcPr>
            <w:tcW w:type="dxa" w:w="1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Economic Value</w:t>
            </w:r>
          </w:p>
        </w:tc>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Reef provides measurable economic benefits to identifiable actors</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Established — tourism, fisheries, coastal protection documented</w:t>
            </w:r>
          </w:p>
        </w:tc>
      </w:tr>
      <w:tr>
        <w:tc>
          <w:tcPr>
            <w:tcW w:type="dxa" w:w="1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 Valuation Framework</w:t>
            </w:r>
          </w:p>
        </w:tc>
        <w:tc>
          <w:tcPr>
            <w:tcW w:type="dxa" w:w="3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Methods exist to quantify value in financial terms</w:t>
            </w:r>
          </w:p>
        </w:tc>
        <w:tc>
          <w:tcPr>
            <w:tcW w:type="dxa" w:w="4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 Partial — frameworks exist but lack standardization and trust</w:t>
            </w:r>
          </w:p>
        </w:tc>
      </w:tr>
      <w:tr>
        <w:tc>
          <w:tcPr>
            <w:tcW w:type="dxa" w:w="1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Funding Mechanism</w:t>
            </w:r>
          </w:p>
        </w:tc>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Institutional channel that converts recognized value into payment obligation</w:t>
            </w:r>
          </w:p>
        </w:tc>
        <w:tc>
          <w:tcPr>
            <w:tcW w:type="dxa" w:w="4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Missing — no reliable mechanism connects value to obligation</w:t>
            </w:r>
          </w:p>
        </w:tc>
      </w:tr>
      <w:tr>
        <w:tc>
          <w:tcPr>
            <w:tcW w:type="dxa" w:w="1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4. Restoration Implementation</w:t>
            </w:r>
          </w:p>
        </w:tc>
        <w:tc>
          <w:tcPr>
            <w:tcW w:type="dxa" w:w="3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Funds reach operators; restoration occurs at scale</w:t>
            </w:r>
          </w:p>
        </w:tc>
        <w:tc>
          <w:tcPr>
            <w:tcW w:type="dxa" w:w="4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 Dependent — blocked by Stage 3 failure</w:t>
            </w:r>
          </w:p>
        </w:tc>
      </w:tr>
    </w:tbl>
    <w:p>
      <w:pPr>
        <w:spacing w:before="80" w:after="0"/>
      </w:pPr>
      <w:r>
        <w:t xml:space="preserve"/>
      </w:r>
    </w:p>
    <w:p>
      <w:pPr>
        <w:spacing w:before="60" w:after="80"/>
      </w:pPr>
      <w:r>
        <w:rPr>
          <w:rFonts w:ascii="Arial" w:cs="Arial" w:eastAsia="Arial" w:hAnsi="Arial"/>
          <w:b w:val="false"/>
          <w:bCs w:val="false"/>
          <w:i/>
          <w:iCs/>
          <w:color w:val="007B6E"/>
          <w:sz w:val="22"/>
          <w:szCs w:val="22"/>
        </w:rPr>
        <w:t xml:space="preserve">→  The pipeline breaks between Stage 2 and Stage 3. This is the research site.</w:t>
      </w:r>
    </w:p>
    <w:p>
      <w:pPr>
        <w:spacing w:before="200" w:after="0"/>
      </w:pPr>
      <w:r>
        <w:t xml:space="preserve"/>
      </w:r>
    </w:p>
    <w:p>
      <w:pPr>
        <w:pStyle w:val="Heading2"/>
        <w:spacing w:before="320" w:after="120"/>
      </w:pPr>
      <w:r>
        <w:rPr>
          <w:rFonts w:ascii="Arial" w:cs="Arial" w:eastAsia="Arial" w:hAnsi="Arial"/>
          <w:b/>
          <w:bCs/>
          <w:color w:val="1E3A5F"/>
          <w:sz w:val="26"/>
          <w:szCs w:val="26"/>
        </w:rPr>
        <w:t xml:space="preserve">The 3-Part Analytical Framework</w:t>
      </w:r>
    </w:p>
    <w:p>
      <w:pPr>
        <w:spacing w:before="60" w:after="80"/>
      </w:pPr>
      <w:r>
        <w:rPr>
          <w:rFonts w:ascii="Arial" w:cs="Arial" w:eastAsia="Arial" w:hAnsi="Arial"/>
          <w:b w:val="false"/>
          <w:bCs w:val="false"/>
          <w:i w:val="false"/>
          <w:iCs w:val="false"/>
          <w:color w:val="333333"/>
          <w:sz w:val="22"/>
          <w:szCs w:val="22"/>
        </w:rPr>
        <w:t xml:space="preserve">Every interview and every piece of data collected should map to one of these three analytical dimensions: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Research Question</w:t>
            </w:r>
          </w:p>
        </w:tc>
        <w:tc>
          <w:tcPr>
            <w:tcW w:type="dxa" w:w="37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What We're Testing</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Beneficiary Identification</w:t>
            </w:r>
          </w:p>
        </w:tc>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Who actually benefits from healthy reefs, and do they recognize their economic dependency?</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Whether lack of perceived dependency explains non-participation in funding</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 Incentive Alignment</w:t>
            </w:r>
          </w:p>
        </w:tc>
        <w:tc>
          <w:tcPr>
            <w:tcW w:type="dxa" w:w="3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Even when beneficiaries recognize dependency, what prevents them from funding restoration?</w:t>
            </w:r>
          </w:p>
        </w:tc>
        <w:tc>
          <w:tcPr>
            <w:tcW w:type="dxa" w:w="37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Whether free-rider dynamics, distrust, or misaligned incentives explain the gap</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Institutional Mechanisms</w:t>
            </w:r>
          </w:p>
        </w:tc>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funding structures currently exist, and why are they insufficient to convert benefits into obligations?</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Whether institutional absence (not behavioral failure) is the primary barrier</w:t>
            </w:r>
          </w:p>
        </w:tc>
      </w:tr>
    </w:tbl>
    <w:p>
      <w:pPr>
        <w:spacing w:before="200" w:after="0"/>
      </w:pPr>
      <w:r>
        <w:t xml:space="preserve"/>
      </w:r>
    </w:p>
    <w:p>
      <w:pPr>
        <w:pStyle w:val="Heading2"/>
        <w:spacing w:before="320" w:after="120"/>
      </w:pPr>
      <w:r>
        <w:rPr>
          <w:rFonts w:ascii="Arial" w:cs="Arial" w:eastAsia="Arial" w:hAnsi="Arial"/>
          <w:b/>
          <w:bCs/>
          <w:color w:val="1E3A5F"/>
          <w:sz w:val="26"/>
          <w:szCs w:val="26"/>
        </w:rPr>
        <w:t xml:space="preserve">Hypotheses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B6E"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EAF4F8" w:val="clear"/>
            <w:tcMar>
              <w:top w:type="dxa" w:w="120"/>
              <w:left w:type="dxa" w:w="200"/>
              <w:bottom w:type="dxa" w:w="120"/>
              <w:right w:type="dxa" w:w="200"/>
            </w:tcMar>
          </w:tcPr>
          <w:p>
            <w:r>
              <w:rPr>
                <w:rFonts w:ascii="Arial" w:cs="Arial" w:eastAsia="Arial" w:hAnsi="Arial"/>
                <w:b/>
                <w:bCs/>
                <w:color w:val="007B6E"/>
                <w:spacing w:val="60"/>
                <w:sz w:val="16"/>
                <w:szCs w:val="16"/>
              </w:rPr>
              <w:t xml:space="preserve">H1 — BENEFICIARY RECOGNITION</w:t>
            </w:r>
          </w:p>
          <w:p>
            <w:pPr>
              <w:spacing w:before="40"/>
            </w:pPr>
            <w:r>
              <w:rPr>
                <w:rFonts w:ascii="Arial" w:cs="Arial" w:eastAsia="Arial" w:hAnsi="Arial"/>
                <w:i/>
                <w:iCs/>
                <w:color w:val="333333"/>
                <w:sz w:val="21"/>
                <w:szCs w:val="21"/>
              </w:rPr>
              <w:t xml:space="preserve">Reef-dependent actors (tourism, fisheries) recognize reef value in general terms but do not calculate or act on their specific financial exposure to reef degradation. Recognition is abstract, not operational.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FFF8EC" w:val="clear"/>
            <w:tcMar>
              <w:top w:type="dxa" w:w="120"/>
              <w:left w:type="dxa" w:w="200"/>
              <w:bottom w:type="dxa" w:w="120"/>
              <w:right w:type="dxa" w:w="200"/>
            </w:tcMar>
          </w:tcPr>
          <w:p>
            <w:r>
              <w:rPr>
                <w:rFonts w:ascii="Arial" w:cs="Arial" w:eastAsia="Arial" w:hAnsi="Arial"/>
                <w:b/>
                <w:bCs/>
                <w:color w:val="C8922A"/>
                <w:spacing w:val="60"/>
                <w:sz w:val="16"/>
                <w:szCs w:val="16"/>
              </w:rPr>
              <w:t xml:space="preserve">H2 — FREE-RIDER DYNAMICS</w:t>
            </w:r>
          </w:p>
          <w:p>
            <w:pPr>
              <w:spacing w:before="40"/>
            </w:pPr>
            <w:r>
              <w:rPr>
                <w:rFonts w:ascii="Arial" w:cs="Arial" w:eastAsia="Arial" w:hAnsi="Arial"/>
                <w:i/>
                <w:iCs/>
                <w:color w:val="333333"/>
                <w:sz w:val="21"/>
                <w:szCs w:val="21"/>
              </w:rPr>
              <w:t xml:space="preserve">Even among actors who recognize dependency, collective action problems dominate. Individual actors are unwilling to fund restoration unilaterally when competitors and neighbors benefit without contributing.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94040"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FFF0F0" w:val="clear"/>
            <w:tcMar>
              <w:top w:type="dxa" w:w="120"/>
              <w:left w:type="dxa" w:w="200"/>
              <w:bottom w:type="dxa" w:w="120"/>
              <w:right w:type="dxa" w:w="200"/>
            </w:tcMar>
          </w:tcPr>
          <w:p>
            <w:r>
              <w:rPr>
                <w:rFonts w:ascii="Arial" w:cs="Arial" w:eastAsia="Arial" w:hAnsi="Arial"/>
                <w:b/>
                <w:bCs/>
                <w:color w:val="B94040"/>
                <w:spacing w:val="60"/>
                <w:sz w:val="16"/>
                <w:szCs w:val="16"/>
              </w:rPr>
              <w:t xml:space="preserve">H3 — INSTITUTIONAL GAP</w:t>
            </w:r>
          </w:p>
          <w:p>
            <w:pPr>
              <w:spacing w:before="40"/>
            </w:pPr>
            <w:r>
              <w:rPr>
                <w:rFonts w:ascii="Arial" w:cs="Arial" w:eastAsia="Arial" w:hAnsi="Arial"/>
                <w:i/>
                <w:iCs/>
                <w:color w:val="333333"/>
                <w:sz w:val="21"/>
                <w:szCs w:val="21"/>
              </w:rPr>
              <w:t xml:space="preserve">The primary barrier is not behavioral reluctance but the absence of any institutional mechanism (reef fund, conservation fee, government budget line, insurance linkage) that makes reef funding a normal cost of doing business.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B8A"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F0F4FF" w:val="clear"/>
            <w:tcMar>
              <w:top w:type="dxa" w:w="120"/>
              <w:left w:type="dxa" w:w="200"/>
              <w:bottom w:type="dxa" w:w="120"/>
              <w:right w:type="dxa" w:w="200"/>
            </w:tcMar>
          </w:tcPr>
          <w:p>
            <w:r>
              <w:rPr>
                <w:rFonts w:ascii="Arial" w:cs="Arial" w:eastAsia="Arial" w:hAnsi="Arial"/>
                <w:b/>
                <w:bCs/>
                <w:color w:val="2E6B8A"/>
                <w:spacing w:val="60"/>
                <w:sz w:val="16"/>
                <w:szCs w:val="16"/>
              </w:rPr>
              <w:t xml:space="preserve">H4 — CARBON FRAMING FAILURE</w:t>
            </w:r>
          </w:p>
          <w:p>
            <w:pPr>
              <w:spacing w:before="40"/>
            </w:pPr>
            <w:r>
              <w:rPr>
                <w:rFonts w:ascii="Arial" w:cs="Arial" w:eastAsia="Arial" w:hAnsi="Arial"/>
                <w:i/>
                <w:iCs/>
                <w:color w:val="333333"/>
                <w:sz w:val="21"/>
                <w:szCs w:val="21"/>
              </w:rPr>
              <w:t xml:space="preserve">Attempts to attract investment via carbon sequestration metrics have failed because investors request carbon data without clear frameworks for acting on it, and because coral's sequestration profile differs from more familiar asset classes like forests.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03</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Stakeholder Network</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Network Overview</w:t>
      </w:r>
    </w:p>
    <w:p>
      <w:pPr>
        <w:spacing w:before="60" w:after="80"/>
      </w:pPr>
      <w:r>
        <w:rPr>
          <w:rFonts w:ascii="Arial" w:cs="Arial" w:eastAsia="Arial" w:hAnsi="Arial"/>
          <w:b w:val="false"/>
          <w:bCs w:val="false"/>
          <w:i w:val="false"/>
          <w:iCs w:val="false"/>
          <w:color w:val="333333"/>
          <w:sz w:val="22"/>
          <w:szCs w:val="22"/>
        </w:rPr>
        <w:t xml:space="preserve">The Indonesia coral reef financing ecosystem involves four primary actor categories and two secondary categories. Understanding the relationships, funding flows, and incentive structures between these actors is the core of the field research. The tool's interactive stakeholder network visualization maps all nodes and edges described in this section.</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Actor Categories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c>
          <w:tcPr>
            <w:tcW w:type="dxa" w:w="1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Key Actors</w:t>
            </w:r>
          </w:p>
        </w:tc>
        <w:tc>
          <w:tcPr>
            <w:tcW w:type="dxa" w:w="2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Role in Financing</w:t>
            </w:r>
          </w:p>
        </w:tc>
        <w:tc>
          <w:tcPr>
            <w:tcW w:type="dxa" w:w="23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Interview Priority</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Restoration Operators</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Mars Coral Restoration, Coral Triangle Center, local NGOs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Supply side — run restoration, seek and report on funding</w:t>
            </w:r>
          </w:p>
        </w:tc>
        <w:tc>
          <w:tcPr>
            <w:tcW w:type="dxa" w:w="2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confirmed meetings</w:t>
            </w:r>
          </w:p>
        </w:tc>
      </w:tr>
      <w:tr>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Tourism &amp; Dive Industry</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Dive resort operators, liveaboard companies, dive schools</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Primary private sector beneficiaries; potential fee contributors</w:t>
            </w:r>
          </w:p>
        </w:tc>
        <w:tc>
          <w:tcPr>
            <w:tcW w:type="dxa" w:w="2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HIGH — confirmed meetings</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&amp; Policy</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Ministry of Marine Affairs &amp; Fisheries, local marine park authorities, BAPPENAS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infrastructure framing; budget authority; regulation</w:t>
            </w:r>
          </w:p>
        </w:tc>
        <w:tc>
          <w:tcPr>
            <w:tcW w:type="dxa" w:w="2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 pursue in-country</w:t>
            </w:r>
          </w:p>
        </w:tc>
      </w:tr>
      <w:tr>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Investors &amp; Funders</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Impact investors, conservation foundations, corporate ESG programs</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Capital allocation; outcome-based financing potential</w:t>
            </w:r>
          </w:p>
        </w:tc>
        <w:tc>
          <w:tcPr>
            <w:tcW w:type="dxa" w:w="2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TARGET — pursue in-country</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Fisheries</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and artisanal fishing cooperatives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Indirect beneficiaries; diffuse and hard-to-organize</w:t>
            </w:r>
          </w:p>
        </w:tc>
        <w:tc>
          <w:tcPr>
            <w:tcW w:type="dxa" w:w="2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w:t>
            </w:r>
          </w:p>
        </w:tc>
      </w:tr>
      <w:tr>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Insurance &amp; Finance</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Parametric insurance providers, green bond issuers</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Potential mechanism creators; underexplored channel</w:t>
            </w:r>
          </w:p>
        </w:tc>
        <w:tc>
          <w:tcPr>
            <w:tcW w:type="dxa" w:w="2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SECONDARY</w:t>
            </w:r>
          </w:p>
        </w:tc>
      </w:tr>
    </w:tbl>
    <w:p>
      <w:pPr>
        <w:spacing w:before="200" w:after="0"/>
      </w:pPr>
      <w:r>
        <w:t xml:space="preserve"/>
      </w:r>
    </w:p>
    <w:p>
      <w:pPr>
        <w:pStyle w:val="Heading2"/>
        <w:spacing w:before="320" w:after="120"/>
      </w:pPr>
      <w:r>
        <w:rPr>
          <w:rFonts w:ascii="Arial" w:cs="Arial" w:eastAsia="Arial" w:hAnsi="Arial"/>
          <w:b/>
          <w:bCs/>
          <w:color w:val="1E3A5F"/>
          <w:sz w:val="26"/>
          <w:szCs w:val="26"/>
        </w:rPr>
        <w:t xml:space="preserve">Key Relationships &amp; Funding Flows</w:t>
      </w:r>
    </w:p>
    <w:p>
      <w:pPr>
        <w:spacing w:before="60" w:after="80"/>
      </w:pPr>
      <w:r>
        <w:rPr>
          <w:rFonts w:ascii="Arial" w:cs="Arial" w:eastAsia="Arial" w:hAnsi="Arial"/>
          <w:b w:val="false"/>
          <w:bCs w:val="false"/>
          <w:i w:val="false"/>
          <w:iCs w:val="false"/>
          <w:color w:val="333333"/>
          <w:sz w:val="22"/>
          <w:szCs w:val="22"/>
        </w:rPr>
        <w:t xml:space="preserve">The following relationships define the structure of the stakeholder network. Each relationship is characterized by the type of flow (funding, data, influence, dependency) and its current state.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1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Flow Type</w:t>
            </w:r>
          </w:p>
        </w:tc>
        <w:tc>
          <w:tcPr>
            <w:tcW w:type="dxa" w:w="33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Foundations / Donors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Restoration Operators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Philanthropic grants</w:t>
            </w:r>
          </w:p>
        </w:tc>
        <w:tc>
          <w:tcPr>
            <w:tcW w:type="dxa" w:w="3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but unstable; project-by-project basis</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Corporate ESG Programs</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Restoration Operators</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Sponsored restoration (e.g. Leon Boey model)</w:t>
            </w:r>
          </w:p>
        </w:tc>
        <w:tc>
          <w:tcPr>
            <w:tcW w:type="dxa" w:w="3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Early stage; driven by carbon narrative</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Dive Tourism Operators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Reef Ecosystem</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Indirect economic dependency</w:t>
            </w:r>
          </w:p>
        </w:tc>
        <w:tc>
          <w:tcPr>
            <w:tcW w:type="dxa" w:w="3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dependency, zero financial contribution</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Fisheries</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Reef Ecosystem</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Indirect economic dependency</w:t>
            </w:r>
          </w:p>
        </w:tc>
        <w:tc>
          <w:tcPr>
            <w:tcW w:type="dxa" w:w="3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High dependency, no formal contribution mechanism</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Restoration Operators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Investors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Impact data / outcome reports</w:t>
            </w:r>
          </w:p>
        </w:tc>
        <w:tc>
          <w:tcPr>
            <w:tcW w:type="dxa" w:w="3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Weak — no standardized MRV creates distrust</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Government</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Reef Ecosystem</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Regulatory protection (not funding)</w:t>
            </w:r>
          </w:p>
        </w:tc>
        <w:tc>
          <w:tcPr>
            <w:tcW w:type="dxa" w:w="3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Reefs not classified as public infrastructure</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Leon Boey / Mars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Corporate Investors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Carbon sequestration data</w:t>
            </w:r>
          </w:p>
        </w:tc>
        <w:tc>
          <w:tcPr>
            <w:tcW w:type="dxa" w:w="33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Investors request data but don't convert to commitment</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Restoration Operators</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Tourism Operators</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Healthy reef product</w:t>
            </w:r>
          </w:p>
        </w:tc>
        <w:tc>
          <w:tcPr>
            <w:tcW w:type="dxa" w:w="33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Unacknowledged economic relationship</w:t>
            </w:r>
          </w:p>
        </w:tc>
      </w:tr>
    </w:tbl>
    <w:p>
      <w:pPr>
        <w:spacing w:before="200" w:after="0"/>
      </w:pPr>
      <w:r>
        <w:t xml:space="preserve"/>
      </w:r>
    </w:p>
    <w:p>
      <w:pPr>
        <w:pStyle w:val="Heading2"/>
        <w:spacing w:before="320" w:after="120"/>
      </w:pPr>
      <w:r>
        <w:rPr>
          <w:rFonts w:ascii="Arial" w:cs="Arial" w:eastAsia="Arial" w:hAnsi="Arial"/>
          <w:b/>
          <w:bCs/>
          <w:color w:val="1E3A5F"/>
          <w:sz w:val="26"/>
          <w:szCs w:val="26"/>
        </w:rPr>
        <w:t xml:space="preserve">Network Visualization Specification</w:t>
      </w:r>
    </w:p>
    <w:p>
      <w:pPr>
        <w:spacing w:before="60" w:after="80"/>
      </w:pPr>
      <w:r>
        <w:rPr>
          <w:rFonts w:ascii="Arial" w:cs="Arial" w:eastAsia="Arial" w:hAnsi="Arial"/>
          <w:b w:val="false"/>
          <w:bCs w:val="false"/>
          <w:i w:val="false"/>
          <w:iCs w:val="false"/>
          <w:color w:val="333333"/>
          <w:sz w:val="22"/>
          <w:szCs w:val="22"/>
        </w:rPr>
        <w:t xml:space="preserve">The interactive stakeholder network in the research tool should implement the following structure:</w:t>
      </w:r>
    </w:p>
    <w:p>
      <w:pPr>
        <w:spacing w:before="80" w:after="0"/>
      </w:pPr>
      <w:r>
        <w:t xml:space="preserve"/>
      </w:r>
    </w:p>
    <w:p>
      <w:pPr>
        <w:spacing w:before="200" w:after="80"/>
      </w:pPr>
      <w:r>
        <w:rPr>
          <w:rFonts w:ascii="Arial" w:cs="Arial" w:eastAsia="Arial" w:hAnsi="Arial"/>
          <w:b/>
          <w:bCs/>
          <w:color w:val="2E6B8A"/>
          <w:sz w:val="22"/>
          <w:szCs w:val="22"/>
        </w:rPr>
        <w:t xml:space="preserve">Node Types &amp; Visual Encoding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Node Type</w:t>
            </w:r>
          </w:p>
        </w:tc>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Size Basis</w:t>
            </w:r>
          </w:p>
        </w:tc>
        <w:tc>
          <w:tcPr>
            <w:tcW w:type="dxa" w:w="25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Restoration Operators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Teal (#007B6E)</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Restoration capacity (hectares/yr)</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4–6 nodes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Tourism / Dive Industry</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Cyan (#2E6B8A)</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Revenue scale</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5–8 nodes</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Agencies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Navy (#0A1E3A)</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Jurisdictional authority</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 nodes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Investors / Funders</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Gold (#C8922A)</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AUM / grant capacity</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4–6 nodes</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Fisheries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 (#2D7A4A)</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Fleet size / dependency</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 nodes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Insurance / Finance</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Purple (#5B3A8A)</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Market exposure</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2–3 nodes</w:t>
            </w:r>
          </w:p>
        </w:tc>
      </w:tr>
    </w:tbl>
    <w:p>
      <w:pPr>
        <w:spacing w:before="120" w:after="0"/>
      </w:pPr>
      <w:r>
        <w:t xml:space="preserve"/>
      </w:r>
    </w:p>
    <w:p>
      <w:pPr>
        <w:spacing w:before="200" w:after="80"/>
      </w:pPr>
      <w:r>
        <w:rPr>
          <w:rFonts w:ascii="Arial" w:cs="Arial" w:eastAsia="Arial" w:hAnsi="Arial"/>
          <w:b/>
          <w:bCs/>
          <w:color w:val="2E6B8A"/>
          <w:sz w:val="22"/>
          <w:szCs w:val="22"/>
        </w:rPr>
        <w:t xml:space="preserve">Edge Types &amp; Visual Encoding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Edge Type</w:t>
            </w:r>
          </w:p>
        </w:tc>
        <w:tc>
          <w:tcPr>
            <w:tcW w:type="dxa" w:w="1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Style</w:t>
            </w:r>
          </w:p>
        </w:tc>
        <w:tc>
          <w:tcPr>
            <w:tcW w:type="dxa" w:w="1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41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Funding Flow</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Solid, animated</w:t>
            </w:r>
          </w:p>
        </w:tc>
        <w:tc>
          <w:tcPr>
            <w:tcW w:type="dxa" w:w="1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Money currently moving between actors</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Economic Dependency</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Dashed</w:t>
            </w:r>
          </w:p>
        </w:tc>
        <w:tc>
          <w:tcPr>
            <w:tcW w:type="dxa" w:w="1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Cyan</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Actor benefits economically but no funding contribution</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 Reporting</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Dotted</w:t>
            </w:r>
          </w:p>
        </w:tc>
        <w:tc>
          <w:tcPr>
            <w:tcW w:type="dxa" w:w="1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Teal</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Information flows (MRV, impact reports)</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Regulatory Influence</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Solid, thin</w:t>
            </w:r>
          </w:p>
        </w:tc>
        <w:tc>
          <w:tcPr>
            <w:tcW w:type="dxa" w:w="1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Navy</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Policy or legal authority over actor</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Potential / Proposed</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Dashed, light</w:t>
            </w:r>
          </w:p>
        </w:tc>
        <w:tc>
          <w:tcPr>
            <w:tcW w:type="dxa" w:w="1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Gray</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Relationships that could exist with right mechanism</w:t>
            </w:r>
          </w:p>
        </w:tc>
      </w:tr>
    </w:tbl>
    <w:p>
      <w:pPr>
        <w:spacing w:before="120" w:after="0"/>
      </w:pPr>
      <w:r>
        <w:t xml:space="preserve"/>
      </w:r>
    </w:p>
    <w:p>
      <w:pPr>
        <w:spacing w:before="200" w:after="80"/>
      </w:pPr>
      <w:r>
        <w:rPr>
          <w:rFonts w:ascii="Arial" w:cs="Arial" w:eastAsia="Arial" w:hAnsi="Arial"/>
          <w:b/>
          <w:bCs/>
          <w:color w:val="2E6B8A"/>
          <w:sz w:val="22"/>
          <w:szCs w:val="22"/>
        </w:rPr>
        <w:t xml:space="preserve">Interaction Requirements</w:t>
      </w:r>
    </w:p>
    <w:p>
      <w:pPr>
        <w:spacing w:before="6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Click any node to expand: actor profile, funding relationships, interview status, key quotes</w:t>
      </w:r>
    </w:p>
    <w:p>
      <w:pPr>
        <w:pStyle w:val="ListParagraph"/>
        <w:numPr>
          <w:ilvl w:val="0"/>
          <w:numId w:val="2"/>
        </w:numPr>
        <w:spacing w:before="40" w:after="40"/>
      </w:pPr>
      <w:r>
        <w:rPr>
          <w:rFonts w:ascii="Arial" w:cs="Arial" w:eastAsia="Arial" w:hAnsi="Arial"/>
          <w:color w:val="333333"/>
          <w:sz w:val="21"/>
          <w:szCs w:val="21"/>
        </w:rPr>
        <w:t xml:space="preserve">Filter by actor category to isolate sub-networks</w:t>
      </w:r>
    </w:p>
    <w:p>
      <w:pPr>
        <w:pStyle w:val="ListParagraph"/>
        <w:numPr>
          <w:ilvl w:val="0"/>
          <w:numId w:val="2"/>
        </w:numPr>
        <w:spacing w:before="40" w:after="40"/>
      </w:pPr>
      <w:r>
        <w:rPr>
          <w:rFonts w:ascii="Arial" w:cs="Arial" w:eastAsia="Arial" w:hAnsi="Arial"/>
          <w:color w:val="333333"/>
          <w:sz w:val="21"/>
          <w:szCs w:val="21"/>
        </w:rPr>
        <w:t xml:space="preserve">Toggle edge types to show/hide funding flows vs. dependency vs. data flows</w:t>
      </w:r>
    </w:p>
    <w:p>
      <w:pPr>
        <w:pStyle w:val="ListParagraph"/>
        <w:numPr>
          <w:ilvl w:val="0"/>
          <w:numId w:val="2"/>
        </w:numPr>
        <w:spacing w:before="40" w:after="40"/>
      </w:pPr>
      <w:r>
        <w:rPr>
          <w:rFonts w:ascii="Arial" w:cs="Arial" w:eastAsia="Arial" w:hAnsi="Arial"/>
          <w:color w:val="333333"/>
          <w:sz w:val="21"/>
          <w:szCs w:val="21"/>
        </w:rPr>
        <w:t xml:space="preserve">Highlight path: select two nodes to illuminate the funding pathway (or gap) between them</w:t>
      </w:r>
    </w:p>
    <w:p>
      <w:pPr>
        <w:pStyle w:val="ListParagraph"/>
        <w:numPr>
          <w:ilvl w:val="0"/>
          <w:numId w:val="2"/>
        </w:numPr>
        <w:spacing w:before="40" w:after="40"/>
      </w:pPr>
      <w:r>
        <w:rPr>
          <w:rFonts w:ascii="Arial" w:cs="Arial" w:eastAsia="Arial" w:hAnsi="Arial"/>
          <w:color w:val="333333"/>
          <w:sz w:val="21"/>
          <w:szCs w:val="21"/>
        </w:rPr>
        <w:t xml:space="preserve">Color-code nodes by 'willingness to pay' score (from 0–5) after field interviews are complete</w:t>
      </w:r>
    </w:p>
    <w:p>
      <w:pPr>
        <w:pStyle w:val="ListParagraph"/>
        <w:numPr>
          <w:ilvl w:val="0"/>
          <w:numId w:val="2"/>
        </w:numPr>
        <w:spacing w:before="40" w:after="40"/>
      </w:pPr>
      <w:r>
        <w:rPr>
          <w:rFonts w:ascii="Arial" w:cs="Arial" w:eastAsia="Arial" w:hAnsi="Arial"/>
          <w:color w:val="333333"/>
          <w:sz w:val="21"/>
          <w:szCs w:val="21"/>
        </w:rPr>
        <w:t xml:space="preserve">Export visible network state as PNG or structured JSON for further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04</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Funding Flows Analysis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Current Funding Landscape</w:t>
      </w:r>
    </w:p>
    <w:p>
      <w:pPr>
        <w:spacing w:before="60" w:after="80"/>
      </w:pPr>
      <w:r>
        <w:rPr>
          <w:rFonts w:ascii="Arial" w:cs="Arial" w:eastAsia="Arial" w:hAnsi="Arial"/>
          <w:b w:val="false"/>
          <w:bCs w:val="false"/>
          <w:i w:val="false"/>
          <w:iCs w:val="false"/>
          <w:color w:val="333333"/>
          <w:sz w:val="22"/>
          <w:szCs w:val="22"/>
        </w:rPr>
        <w:t xml:space="preserve">Coral reef restoration in Indonesia is currently funded through three primary channels. None of them are stable, scalable, or institutionally embedded. Understanding why each channel is limited is central to identifying where new mechanisms could work.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Funding Channel</w:t>
            </w:r>
          </w:p>
        </w:tc>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1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Annual Estimate</w:t>
            </w:r>
          </w:p>
        </w:tc>
        <w:tc>
          <w:tcPr>
            <w:tcW w:type="dxa" w:w="1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Stability</w:t>
            </w:r>
          </w:p>
        </w:tc>
        <w:tc>
          <w:tcPr>
            <w:tcW w:type="dxa" w:w="25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Philanthropic Grants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Conservation foundations, bilateral aid, university programs</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$2M–$10M (Indonesia est.)</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project cycles</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Dependent on donor priorities; no obligation to renew</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Corporate Sponsorship</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Mars Inc. (Mars Coral Restoration), dive brand CSR</w:t>
            </w:r>
          </w:p>
        </w:tc>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$500K–$3M</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Medium — brand-tied</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Driven by carbon narrative; investors request data without commitment frameworks</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Allocation</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Ministry of Marine Affairs, MPA management budgets</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Marginal / indirect</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Reefs not classified as infrastructure; no dedicated restoration budget line</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Tourism Self-Funding</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Dive operator reef fees, conservation levies</w:t>
            </w:r>
          </w:p>
        </w:tc>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&lt; $500K combined</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Voluntary only; free-rider dynamics prevent industry coordination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Impact Investment</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Outcome-based financing (proposed, not active)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no active deals</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standardized MRV; no proven repayment mechanism; payer not identified</w:t>
            </w:r>
          </w:p>
        </w:tc>
      </w:tr>
    </w:tbl>
    <w:p>
      <w:pPr>
        <w:spacing w:before="200" w:after="0"/>
      </w:pPr>
      <w:r>
        <w:t xml:space="preserve"/>
      </w:r>
    </w:p>
    <w:p>
      <w:pPr>
        <w:pStyle w:val="Heading2"/>
        <w:spacing w:before="320" w:after="120"/>
      </w:pPr>
      <w:r>
        <w:rPr>
          <w:rFonts w:ascii="Arial" w:cs="Arial" w:eastAsia="Arial" w:hAnsi="Arial"/>
          <w:b/>
          <w:bCs/>
          <w:color w:val="1E3A5F"/>
          <w:sz w:val="26"/>
          <w:szCs w:val="26"/>
        </w:rPr>
        <w:t xml:space="preserve">The Missing Mechanism: Why Flows Don't Scale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B6E"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EAF4F8" w:val="clear"/>
            <w:tcMar>
              <w:top w:type="dxa" w:w="120"/>
              <w:left w:type="dxa" w:w="200"/>
              <w:bottom w:type="dxa" w:w="120"/>
              <w:right w:type="dxa" w:w="200"/>
            </w:tcMar>
          </w:tcPr>
          <w:p>
            <w:r>
              <w:rPr>
                <w:rFonts w:ascii="Arial" w:cs="Arial" w:eastAsia="Arial" w:hAnsi="Arial"/>
                <w:b/>
                <w:bCs/>
                <w:color w:val="007B6E"/>
                <w:spacing w:val="60"/>
                <w:sz w:val="16"/>
                <w:szCs w:val="16"/>
              </w:rPr>
              <w:t xml:space="preserve">STRUCTURAL PROBLEM</w:t>
            </w:r>
          </w:p>
          <w:p>
            <w:pPr>
              <w:spacing w:before="40"/>
            </w:pPr>
            <w:r>
              <w:rPr>
                <w:rFonts w:ascii="Arial" w:cs="Arial" w:eastAsia="Arial" w:hAnsi="Arial"/>
                <w:i/>
                <w:iCs/>
                <w:color w:val="333333"/>
                <w:sz w:val="21"/>
                <w:szCs w:val="21"/>
              </w:rPr>
              <w:t xml:space="preserve">Every existing funding channel is voluntary, discretionary, or philanthropic. None impose an obligation on beneficiaries. Wetlands and mangrove restoration scaled when they were reclassified as coastal protection infrastructure — moving funding from voluntary to obligatory. Coral has not made this transition.</w:t>
            </w:r>
          </w:p>
        </w:tc>
      </w:tr>
    </w:tbl>
    <w:p>
      <w:pPr>
        <w:spacing w:before="120" w:after="0"/>
      </w:pPr>
      <w:r>
        <w:t xml:space="preserve"/>
      </w:r>
    </w:p>
    <w:p>
      <w:pPr>
        <w:spacing w:before="60" w:after="80"/>
      </w:pPr>
      <w:r>
        <w:rPr>
          <w:rFonts w:ascii="Arial" w:cs="Arial" w:eastAsia="Arial" w:hAnsi="Arial"/>
          <w:b w:val="false"/>
          <w:bCs w:val="false"/>
          <w:i w:val="false"/>
          <w:iCs w:val="false"/>
          <w:color w:val="333333"/>
          <w:sz w:val="22"/>
          <w:szCs w:val="22"/>
        </w:rPr>
        <w:t xml:space="preserve">Four structural reasons explain why flows cannot scale without new mechanisms:</w:t>
      </w:r>
    </w:p>
    <w:p>
      <w:pPr>
        <w:spacing w:before="8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Diffuse beneficiaries: Reef benefits are distributed across tourism, fisheries, coastal protection, and biodiversity — meaning no single actor feels fully responsible for funding restoration</w:t>
      </w:r>
    </w:p>
    <w:p>
      <w:pPr>
        <w:pStyle w:val="ListParagraph"/>
        <w:numPr>
          <w:ilvl w:val="0"/>
          <w:numId w:val="2"/>
        </w:numPr>
        <w:spacing w:before="40" w:after="40"/>
      </w:pPr>
      <w:r>
        <w:rPr>
          <w:rFonts w:ascii="Arial" w:cs="Arial" w:eastAsia="Arial" w:hAnsi="Arial"/>
          <w:color w:val="333333"/>
          <w:sz w:val="21"/>
          <w:szCs w:val="21"/>
        </w:rPr>
        <w:t xml:space="preserve">Weak property rights: Unlike forests or wetlands, reefs have no clear ownership structure, so no actor captures sufficient economic return to justify restoration investment</w:t>
      </w:r>
    </w:p>
    <w:p>
      <w:pPr>
        <w:pStyle w:val="ListParagraph"/>
        <w:numPr>
          <w:ilvl w:val="0"/>
          <w:numId w:val="2"/>
        </w:numPr>
        <w:spacing w:before="40" w:after="40"/>
      </w:pPr>
      <w:r>
        <w:rPr>
          <w:rFonts w:ascii="Arial" w:cs="Arial" w:eastAsia="Arial" w:hAnsi="Arial"/>
          <w:color w:val="333333"/>
          <w:sz w:val="21"/>
          <w:szCs w:val="21"/>
        </w:rPr>
        <w:t xml:space="preserve">Measurement costs: Outcome-based financing requires MRV (Measurement, Reporting, Verification), but standardized reef metrics don't yet exist at scale, making investors unwilling to commit</w:t>
      </w:r>
    </w:p>
    <w:p>
      <w:pPr>
        <w:pStyle w:val="ListParagraph"/>
        <w:numPr>
          <w:ilvl w:val="0"/>
          <w:numId w:val="2"/>
        </w:numPr>
        <w:spacing w:before="40" w:after="40"/>
      </w:pPr>
      <w:r>
        <w:rPr>
          <w:rFonts w:ascii="Arial" w:cs="Arial" w:eastAsia="Arial" w:hAnsi="Arial"/>
          <w:color w:val="333333"/>
          <w:sz w:val="21"/>
          <w:szCs w:val="21"/>
        </w:rPr>
        <w:t xml:space="preserve">Time horizon mismatch: Reef restoration benefits accrue over 5–20+ years; most private capital operates on 3–7 year cycles with defined exit points</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Proposed Mechanism Landscape</w:t>
      </w:r>
    </w:p>
    <w:p>
      <w:pPr>
        <w:spacing w:before="60" w:after="80"/>
      </w:pPr>
      <w:r>
        <w:rPr>
          <w:rFonts w:ascii="Arial" w:cs="Arial" w:eastAsia="Arial" w:hAnsi="Arial"/>
          <w:b w:val="false"/>
          <w:bCs w:val="false"/>
          <w:i w:val="false"/>
          <w:iCs w:val="false"/>
          <w:color w:val="333333"/>
          <w:sz w:val="22"/>
          <w:szCs w:val="22"/>
        </w:rPr>
        <w:t xml:space="preserve">The tool should track the following candidate mechanisms as research progresses: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2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Precedent</w:t>
            </w:r>
          </w:p>
        </w:tc>
        <w:tc>
          <w:tcPr>
            <w:tcW w:type="dxa" w:w="25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Feasibility (Pre-Field)</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Reef Conservation Fee</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Mandatory levy on dive tourism (e.g. $5–15/dive)</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Palau, Raja Ampat marine park fees</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regulatory will required</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Parametric Insurance Linkage</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Insurers fund restoration as coastal protection asset</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Mesoamerican Reef insurance (TNC)</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Low-Medium — no Indonesian precedent</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Reef Infrastructure Budget</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classifies reefs as coastal infrastructure</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Wetlands in US, Netherlands</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political classification shift needed</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Outcome-Based Financing</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Investors fund restoration; repaid when outcomes verified</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Development Impact Bonds</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 — payer identity unsolved</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Fishery Co-Management Fund</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Fishing cooperatives contribute to reef maintenance</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Pacific Island models</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requires cooperative structures</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Corporate Carbon+Biodiversity Credit</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Bundled carbon/biodiversity offset for coral</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Forest carbon markets</w:t>
            </w:r>
          </w:p>
        </w:tc>
        <w:tc>
          <w:tcPr>
            <w:tcW w:type="dxa" w:w="25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 — coral carbon accounting unsolved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05</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Comparative Case Studies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Why These Cases</w:t>
      </w:r>
    </w:p>
    <w:p>
      <w:pPr>
        <w:spacing w:before="60" w:after="80"/>
      </w:pPr>
      <w:r>
        <w:rPr>
          <w:rFonts w:ascii="Arial" w:cs="Arial" w:eastAsia="Arial" w:hAnsi="Arial"/>
          <w:b w:val="false"/>
          <w:bCs w:val="false"/>
          <w:i w:val="false"/>
          <w:iCs w:val="false"/>
          <w:color w:val="333333"/>
          <w:sz w:val="22"/>
          <w:szCs w:val="22"/>
        </w:rPr>
        <w:t xml:space="preserve">Three ecosystem restoration cases were analyzed to identify the conditions under which environmental funding scales. Each case represents a different primary funding trigger. Coral reefs contain the value elements of all three cases but have failed to activate any of the funding triggers. Understanding why illuminates the research problem.</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Case 1 — Louisiana Coastal Wetlands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Ecosystem</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Coastal wetlands, Mississippi Delta</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Funding Trigger</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Agricultural + fisheries productivity protection; hurricane storm surge mitigation</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Funders</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Federal government (CWPPRA), state infrastructure budgets, oil &amp; gas industry mitigation funds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Annual Investment</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$500M+ across federal and state programs</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Mechanism</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Wetlands reclassified as coastal infrastructure; funding embedded in public works budgets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Relevance to Coral</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Demonstrates that framing ecosystem as protective infrastructure unlocks public budget — coral lacks this classification</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Case 2 — California Wildfire Prevention &amp; Recovery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Ecosystem</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Chaparral, forest interfaces; Palisades fire zone</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Funding Trigger</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Property value protection; insurance risk reduction; public safety infrastructure</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Funders</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FEMA, Cal Fire, insurance industry, federal infrastructure law allocations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Annual Investment</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$2B+ in prevention and recovery (federal + state combined)</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Mechanism</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mitigation framing tied to insurable assets; funding scales because beneficiaries are identifiable property owners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Relevance to Coral</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Demonstrates that when benefits flow to identifiable, insured asset holders, funding mechanisms emerge — reef beneficiaries are diffuse and uninsured</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Case 3 — Mangrove Restoration (Global)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Ecosystem</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Coastal mangroves; Indonesia, Bangladesh, Philippines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Funding Trigger</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Carbon sequestration credits + coastal protection co-benefits</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Funders</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Carbon markets, conservation NGOs, government coastal programs, World Bank blue carbon</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Annual Investment</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$200M–$500M globally (growing)</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Mechanism</w:t>
            </w:r>
          </w:p>
        </w:tc>
        <w:tc>
          <w:tcPr>
            <w:tcW w:type="dxa" w:w="6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Mangroves generate verified carbon credits (Verra, Gold Standard); carbon revenue cross-subsidizes restoration</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Relevance to Coral</w:t>
            </w:r>
          </w:p>
        </w:tc>
        <w:tc>
          <w:tcPr>
            <w:tcW w:type="dxa" w:w="6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Coral cannot access the same carbon markets — sequestration profile is different, accounting methods don't transfer, undermining the carbon narrative used in Leon Boey meetings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Cross-Case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2784"/>
      </w:tblGrid>
      <w:tr>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1392"/>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Wetlands</w:t>
            </w:r>
          </w:p>
        </w:tc>
        <w:tc>
          <w:tcPr>
            <w:tcW w:type="dxa" w:w="1392"/>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Wildfire</w:t>
            </w:r>
          </w:p>
        </w:tc>
        <w:tc>
          <w:tcPr>
            <w:tcW w:type="dxa" w:w="1392"/>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Mangroves</w:t>
            </w:r>
          </w:p>
        </w:tc>
        <w:tc>
          <w:tcPr>
            <w:tcW w:type="dxa" w:w="2784"/>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Coral Reefs</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Beneficiaries identifiable?</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2784"/>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highly diffuse</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Infrastructure framing?</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2784"/>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Carbon market access?</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784"/>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Emotional/pathos appeal?</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784"/>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 (declining)</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Obligatory funding mechanism?</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2784"/>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Scales to $100M+?</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92"/>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Growing</w:t>
            </w:r>
          </w:p>
        </w:tc>
        <w:tc>
          <w:tcPr>
            <w:tcW w:type="dxa" w:w="2784"/>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06</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Interview Protocol</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Protocol Design Principles</w:t>
      </w:r>
    </w:p>
    <w:p>
      <w:pPr>
        <w:spacing w:before="60" w:after="80"/>
      </w:pPr>
      <w:r>
        <w:rPr>
          <w:rFonts w:ascii="Arial" w:cs="Arial" w:eastAsia="Arial" w:hAnsi="Arial"/>
          <w:b w:val="false"/>
          <w:bCs w:val="false"/>
          <w:i w:val="false"/>
          <w:iCs w:val="false"/>
          <w:color w:val="333333"/>
          <w:sz w:val="22"/>
          <w:szCs w:val="22"/>
        </w:rPr>
        <w:t xml:space="preserve">Every interview in Indonesia should extract data against the three analytical dimensions (Beneficiary Identification, Incentive Alignment, Institutional Mechanisms). Questions are designed to be conversational but structured — the interviewer should feel like they're having a natural discussion while systematically collecting comparable data across all stakeholders.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22A"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FFF8EC" w:val="clear"/>
            <w:tcMar>
              <w:top w:type="dxa" w:w="120"/>
              <w:left w:type="dxa" w:w="200"/>
              <w:bottom w:type="dxa" w:w="120"/>
              <w:right w:type="dxa" w:w="200"/>
            </w:tcMar>
          </w:tcPr>
          <w:p>
            <w:r>
              <w:rPr>
                <w:rFonts w:ascii="Arial" w:cs="Arial" w:eastAsia="Arial" w:hAnsi="Arial"/>
                <w:b/>
                <w:bCs/>
                <w:color w:val="C8922A"/>
                <w:spacing w:val="60"/>
                <w:sz w:val="16"/>
                <w:szCs w:val="16"/>
              </w:rPr>
              <w:t xml:space="preserve">INTERVIEW RULE</w:t>
            </w:r>
          </w:p>
          <w:p>
            <w:pPr>
              <w:spacing w:before="40"/>
            </w:pPr>
            <w:r>
              <w:rPr>
                <w:rFonts w:ascii="Arial" w:cs="Arial" w:eastAsia="Arial" w:hAnsi="Arial"/>
                <w:i/>
                <w:iCs/>
                <w:color w:val="333333"/>
                <w:sz w:val="21"/>
                <w:szCs w:val="21"/>
              </w:rPr>
              <w:t xml:space="preserve">Never ask 'would you fund reef restoration?' directly. Instead, build to it: establish dependency first, then probe barriers, then explore conditions. The answer to a cold direct ask is almost always 'yes in principle' — which is useless data.</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Category A — Restoration Operators</w:t>
      </w:r>
    </w:p>
    <w:p>
      <w:pPr>
        <w:spacing w:before="60" w:after="80"/>
      </w:pPr>
      <w:r>
        <w:rPr>
          <w:rFonts w:ascii="Arial" w:cs="Arial" w:eastAsia="Arial" w:hAnsi="Arial"/>
          <w:b w:val="false"/>
          <w:bCs w:val="false"/>
          <w:i w:val="false"/>
          <w:iCs w:val="false"/>
          <w:color w:val="333333"/>
          <w:sz w:val="22"/>
          <w:szCs w:val="22"/>
        </w:rPr>
        <w:t xml:space="preserve">Target: Mars Coral Restoration (Leon Boey), Coral Triangle Center, local restoration NGOs</w:t>
      </w:r>
    </w:p>
    <w:p>
      <w:pPr>
        <w:spacing w:before="80" w:after="0"/>
      </w:pPr>
      <w:r>
        <w:t xml:space="preserve"/>
      </w:r>
    </w:p>
    <w:p>
      <w:pPr>
        <w:spacing w:before="200" w:after="80"/>
      </w:pPr>
      <w:r>
        <w:rPr>
          <w:rFonts w:ascii="Arial" w:cs="Arial" w:eastAsia="Arial" w:hAnsi="Arial"/>
          <w:b/>
          <w:bCs/>
          <w:color w:val="2E6B8A"/>
          <w:sz w:val="22"/>
          <w:szCs w:val="22"/>
        </w:rPr>
        <w:t xml:space="preserve">Dimension 1: Funding Reality</w:t>
      </w:r>
    </w:p>
    <w:p>
      <w:pPr>
        <w:spacing w:before="4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Walk me through your current funding mix — where does money actually come from, and how stable is each source?</w:t>
      </w:r>
    </w:p>
    <w:p>
      <w:pPr>
        <w:pStyle w:val="ListParagraph"/>
        <w:numPr>
          <w:ilvl w:val="0"/>
          <w:numId w:val="2"/>
        </w:numPr>
        <w:spacing w:before="40" w:after="40"/>
      </w:pPr>
      <w:r>
        <w:rPr>
          <w:rFonts w:ascii="Arial" w:cs="Arial" w:eastAsia="Arial" w:hAnsi="Arial"/>
          <w:color w:val="333333"/>
          <w:sz w:val="21"/>
          <w:szCs w:val="21"/>
        </w:rPr>
        <w:t xml:space="preserve">What does a funder typically ask for before they commit — what metrics, what proof, what narrative?</w:t>
      </w:r>
    </w:p>
    <w:p>
      <w:pPr>
        <w:pStyle w:val="ListParagraph"/>
        <w:numPr>
          <w:ilvl w:val="0"/>
          <w:numId w:val="2"/>
        </w:numPr>
        <w:spacing w:before="40" w:after="40"/>
      </w:pPr>
      <w:r>
        <w:rPr>
          <w:rFonts w:ascii="Arial" w:cs="Arial" w:eastAsia="Arial" w:hAnsi="Arial"/>
          <w:color w:val="333333"/>
          <w:sz w:val="21"/>
          <w:szCs w:val="21"/>
        </w:rPr>
        <w:t xml:space="preserve">Have you ever had a funder commit and then not renew? What was the reason they gave?</w:t>
      </w:r>
    </w:p>
    <w:p>
      <w:pPr>
        <w:pStyle w:val="ListParagraph"/>
        <w:numPr>
          <w:ilvl w:val="0"/>
          <w:numId w:val="2"/>
        </w:numPr>
        <w:spacing w:before="40" w:after="40"/>
      </w:pPr>
      <w:r>
        <w:rPr>
          <w:rFonts w:ascii="Arial" w:cs="Arial" w:eastAsia="Arial" w:hAnsi="Arial"/>
          <w:color w:val="333333"/>
          <w:sz w:val="21"/>
          <w:szCs w:val="21"/>
        </w:rPr>
        <w:t xml:space="preserve">(For Leon Boey specifically) You mentioned investors request carbon data but don't always follow through — what do you think is happening in that gap?</w:t>
      </w:r>
    </w:p>
    <w:p>
      <w:pPr>
        <w:spacing w:before="80" w:after="0"/>
      </w:pPr>
      <w:r>
        <w:t xml:space="preserve"/>
      </w:r>
    </w:p>
    <w:p>
      <w:pPr>
        <w:spacing w:before="200" w:after="80"/>
      </w:pPr>
      <w:r>
        <w:rPr>
          <w:rFonts w:ascii="Arial" w:cs="Arial" w:eastAsia="Arial" w:hAnsi="Arial"/>
          <w:b/>
          <w:bCs/>
          <w:color w:val="2E6B8A"/>
          <w:sz w:val="22"/>
          <w:szCs w:val="22"/>
        </w:rPr>
        <w:t xml:space="preserve">Dimension 2: Beneficiary Relationships</w:t>
      </w:r>
    </w:p>
    <w:p>
      <w:pPr>
        <w:spacing w:before="4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Do tourism operators in areas where you work ever contribute financially to restoration — directly or indirectly?</w:t>
      </w:r>
    </w:p>
    <w:p>
      <w:pPr>
        <w:pStyle w:val="ListParagraph"/>
        <w:numPr>
          <w:ilvl w:val="0"/>
          <w:numId w:val="2"/>
        </w:numPr>
        <w:spacing w:before="40" w:after="40"/>
      </w:pPr>
      <w:r>
        <w:rPr>
          <w:rFonts w:ascii="Arial" w:cs="Arial" w:eastAsia="Arial" w:hAnsi="Arial"/>
          <w:color w:val="333333"/>
          <w:sz w:val="21"/>
          <w:szCs w:val="21"/>
        </w:rPr>
        <w:t xml:space="preserve">Have you ever approached a dive resort or hotel about co-funding restoration? What happened?</w:t>
      </w:r>
    </w:p>
    <w:p>
      <w:pPr>
        <w:pStyle w:val="ListParagraph"/>
        <w:numPr>
          <w:ilvl w:val="0"/>
          <w:numId w:val="2"/>
        </w:numPr>
        <w:spacing w:before="40" w:after="40"/>
      </w:pPr>
      <w:r>
        <w:rPr>
          <w:rFonts w:ascii="Arial" w:cs="Arial" w:eastAsia="Arial" w:hAnsi="Arial"/>
          <w:color w:val="333333"/>
          <w:sz w:val="21"/>
          <w:szCs w:val="21"/>
        </w:rPr>
        <w:t xml:space="preserve">Who do you think benefits most economically from the reefs you restore — and do any of them know you exist?</w:t>
      </w:r>
    </w:p>
    <w:p>
      <w:pPr>
        <w:spacing w:before="80" w:after="0"/>
      </w:pPr>
      <w:r>
        <w:t xml:space="preserve"/>
      </w:r>
    </w:p>
    <w:p>
      <w:pPr>
        <w:spacing w:before="200" w:after="80"/>
      </w:pPr>
      <w:r>
        <w:rPr>
          <w:rFonts w:ascii="Arial" w:cs="Arial" w:eastAsia="Arial" w:hAnsi="Arial"/>
          <w:b/>
          <w:bCs/>
          <w:color w:val="2E6B8A"/>
          <w:sz w:val="22"/>
          <w:szCs w:val="22"/>
        </w:rPr>
        <w:t xml:space="preserve">Dimension 3: Institutional Landscape</w:t>
      </w:r>
    </w:p>
    <w:p>
      <w:pPr>
        <w:spacing w:before="4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Is there any government budget — local, provincial, national — that you can access for reef restoration?</w:t>
      </w:r>
    </w:p>
    <w:p>
      <w:pPr>
        <w:pStyle w:val="ListParagraph"/>
        <w:numPr>
          <w:ilvl w:val="0"/>
          <w:numId w:val="2"/>
        </w:numPr>
        <w:spacing w:before="40" w:after="40"/>
      </w:pPr>
      <w:r>
        <w:rPr>
          <w:rFonts w:ascii="Arial" w:cs="Arial" w:eastAsia="Arial" w:hAnsi="Arial"/>
          <w:color w:val="333333"/>
          <w:sz w:val="21"/>
          <w:szCs w:val="21"/>
        </w:rPr>
        <w:t xml:space="preserve">Have you ever seen coral reef restoration treated like coastal infrastructure by a government body? What would need to change for that to happen here?</w:t>
      </w:r>
    </w:p>
    <w:p>
      <w:pPr>
        <w:pStyle w:val="ListParagraph"/>
        <w:numPr>
          <w:ilvl w:val="0"/>
          <w:numId w:val="2"/>
        </w:numPr>
        <w:spacing w:before="40" w:after="40"/>
      </w:pPr>
      <w:r>
        <w:rPr>
          <w:rFonts w:ascii="Arial" w:cs="Arial" w:eastAsia="Arial" w:hAnsi="Arial"/>
          <w:color w:val="333333"/>
          <w:sz w:val="21"/>
          <w:szCs w:val="21"/>
        </w:rPr>
        <w:t xml:space="preserve">If you could design one new funding mechanism that doesn't exist yet, what would it be and who would it obligate?</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Category B — Tourism &amp; Dive Operators</w:t>
      </w:r>
    </w:p>
    <w:p>
      <w:pPr>
        <w:spacing w:before="60" w:after="80"/>
      </w:pPr>
      <w:r>
        <w:rPr>
          <w:rFonts w:ascii="Arial" w:cs="Arial" w:eastAsia="Arial" w:hAnsi="Arial"/>
          <w:b w:val="false"/>
          <w:bCs w:val="false"/>
          <w:i w:val="false"/>
          <w:iCs w:val="false"/>
          <w:color w:val="333333"/>
          <w:sz w:val="22"/>
          <w:szCs w:val="22"/>
        </w:rPr>
        <w:t xml:space="preserve">Target: Dive resort operators, liveaboard companies, dive schools in Bali / Nusa Penida / Komodo region</w:t>
      </w:r>
    </w:p>
    <w:p>
      <w:pPr>
        <w:spacing w:before="80" w:after="0"/>
      </w:pPr>
      <w:r>
        <w:t xml:space="preserve"/>
      </w:r>
    </w:p>
    <w:p>
      <w:pPr>
        <w:spacing w:before="200" w:after="80"/>
      </w:pPr>
      <w:r>
        <w:rPr>
          <w:rFonts w:ascii="Arial" w:cs="Arial" w:eastAsia="Arial" w:hAnsi="Arial"/>
          <w:b/>
          <w:bCs/>
          <w:color w:val="2E6B8A"/>
          <w:sz w:val="22"/>
          <w:szCs w:val="22"/>
        </w:rPr>
        <w:t xml:space="preserve">Dimension 1: Dependency Recognition</w:t>
      </w:r>
    </w:p>
    <w:p>
      <w:pPr>
        <w:spacing w:before="4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How important are healthy reefs to your business — if I asked you to put a percentage on it, what proportion of your revenue depends on reef quality?</w:t>
      </w:r>
    </w:p>
    <w:p>
      <w:pPr>
        <w:pStyle w:val="ListParagraph"/>
        <w:numPr>
          <w:ilvl w:val="0"/>
          <w:numId w:val="2"/>
        </w:numPr>
        <w:spacing w:before="40" w:after="40"/>
      </w:pPr>
      <w:r>
        <w:rPr>
          <w:rFonts w:ascii="Arial" w:cs="Arial" w:eastAsia="Arial" w:hAnsi="Arial"/>
          <w:color w:val="333333"/>
          <w:sz w:val="21"/>
          <w:szCs w:val="21"/>
        </w:rPr>
        <w:t xml:space="preserve">Have you noticed reef degradation affecting your business in any measurable way in the last 5–10 years?</w:t>
      </w:r>
    </w:p>
    <w:p>
      <w:pPr>
        <w:pStyle w:val="ListParagraph"/>
        <w:numPr>
          <w:ilvl w:val="0"/>
          <w:numId w:val="2"/>
        </w:numPr>
        <w:spacing w:before="40" w:after="40"/>
      </w:pPr>
      <w:r>
        <w:rPr>
          <w:rFonts w:ascii="Arial" w:cs="Arial" w:eastAsia="Arial" w:hAnsi="Arial"/>
          <w:color w:val="333333"/>
          <w:sz w:val="21"/>
          <w:szCs w:val="21"/>
        </w:rPr>
        <w:t xml:space="preserve">Do your customers ask about reef health before booking — or comment on it during their trip?</w:t>
      </w:r>
    </w:p>
    <w:p>
      <w:pPr>
        <w:spacing w:before="80" w:after="0"/>
      </w:pPr>
      <w:r>
        <w:t xml:space="preserve"/>
      </w:r>
    </w:p>
    <w:p>
      <w:pPr>
        <w:spacing w:before="200" w:after="80"/>
      </w:pPr>
      <w:r>
        <w:rPr>
          <w:rFonts w:ascii="Arial" w:cs="Arial" w:eastAsia="Arial" w:hAnsi="Arial"/>
          <w:b/>
          <w:bCs/>
          <w:color w:val="2E6B8A"/>
          <w:sz w:val="22"/>
          <w:szCs w:val="22"/>
        </w:rPr>
        <w:t xml:space="preserve">Dimension 2: Willingness &amp; Barriers</w:t>
      </w:r>
    </w:p>
    <w:p>
      <w:pPr>
        <w:spacing w:before="4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Do you currently contribute anything — financially or in-kind — to reef restoration or conservation?</w:t>
      </w:r>
    </w:p>
    <w:p>
      <w:pPr>
        <w:pStyle w:val="ListParagraph"/>
        <w:numPr>
          <w:ilvl w:val="0"/>
          <w:numId w:val="2"/>
        </w:numPr>
        <w:spacing w:before="40" w:after="40"/>
      </w:pPr>
      <w:r>
        <w:rPr>
          <w:rFonts w:ascii="Arial" w:cs="Arial" w:eastAsia="Arial" w:hAnsi="Arial"/>
          <w:color w:val="333333"/>
          <w:sz w:val="21"/>
          <w:szCs w:val="21"/>
        </w:rPr>
        <w:t xml:space="preserve">If a reef restoration organization approached you and asked for a $10/dive contribution to maintain the reefs at your primary sites, what would your response be?</w:t>
      </w:r>
    </w:p>
    <w:p>
      <w:pPr>
        <w:pStyle w:val="ListParagraph"/>
        <w:numPr>
          <w:ilvl w:val="0"/>
          <w:numId w:val="2"/>
        </w:numPr>
        <w:spacing w:before="40" w:after="40"/>
      </w:pPr>
      <w:r>
        <w:rPr>
          <w:rFonts w:ascii="Arial" w:cs="Arial" w:eastAsia="Arial" w:hAnsi="Arial"/>
          <w:color w:val="333333"/>
          <w:sz w:val="21"/>
          <w:szCs w:val="21"/>
        </w:rPr>
        <w:t xml:space="preserve">What would make you more likely to commit — third-party verification of outcomes? An industry-wide commitment so you're not acting alone? A government mandate?</w:t>
      </w:r>
    </w:p>
    <w:p>
      <w:pPr>
        <w:pStyle w:val="ListParagraph"/>
        <w:numPr>
          <w:ilvl w:val="0"/>
          <w:numId w:val="2"/>
        </w:numPr>
        <w:spacing w:before="40" w:after="40"/>
      </w:pPr>
      <w:r>
        <w:rPr>
          <w:rFonts w:ascii="Arial" w:cs="Arial" w:eastAsia="Arial" w:hAnsi="Arial"/>
          <w:color w:val="333333"/>
          <w:sz w:val="21"/>
          <w:szCs w:val="21"/>
        </w:rPr>
        <w:t xml:space="preserve">What's your biggest concern about contributing to a reef fund — where does your skepticism live?</w:t>
      </w:r>
    </w:p>
    <w:p>
      <w:pPr>
        <w:spacing w:before="80" w:after="0"/>
      </w:pPr>
      <w:r>
        <w:t xml:space="preserve"/>
      </w:r>
    </w:p>
    <w:p>
      <w:pPr>
        <w:spacing w:before="200" w:after="80"/>
      </w:pPr>
      <w:r>
        <w:rPr>
          <w:rFonts w:ascii="Arial" w:cs="Arial" w:eastAsia="Arial" w:hAnsi="Arial"/>
          <w:b/>
          <w:bCs/>
          <w:color w:val="2E6B8A"/>
          <w:sz w:val="22"/>
          <w:szCs w:val="22"/>
        </w:rPr>
        <w:t xml:space="preserve">Dimension 3: Mechanism Design</w:t>
      </w:r>
    </w:p>
    <w:p>
      <w:pPr>
        <w:spacing w:before="4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Is there any existing fee or levy in your industry — a park entry fee, dive tax, conservation surcharge — that you pay? How do you feel about it?</w:t>
      </w:r>
    </w:p>
    <w:p>
      <w:pPr>
        <w:pStyle w:val="ListParagraph"/>
        <w:numPr>
          <w:ilvl w:val="0"/>
          <w:numId w:val="2"/>
        </w:numPr>
        <w:spacing w:before="40" w:after="40"/>
      </w:pPr>
      <w:r>
        <w:rPr>
          <w:rFonts w:ascii="Arial" w:cs="Arial" w:eastAsia="Arial" w:hAnsi="Arial"/>
          <w:color w:val="333333"/>
          <w:sz w:val="21"/>
          <w:szCs w:val="21"/>
        </w:rPr>
        <w:t xml:space="preserve">Could you imagine a reef conservation fee being absorbed into your dive pricing without affecting demand? At what level?</w:t>
      </w:r>
    </w:p>
    <w:p>
      <w:pPr>
        <w:pStyle w:val="ListParagraph"/>
        <w:numPr>
          <w:ilvl w:val="0"/>
          <w:numId w:val="2"/>
        </w:numPr>
        <w:spacing w:before="40" w:after="40"/>
      </w:pPr>
      <w:r>
        <w:rPr>
          <w:rFonts w:ascii="Arial" w:cs="Arial" w:eastAsia="Arial" w:hAnsi="Arial"/>
          <w:color w:val="333333"/>
          <w:sz w:val="21"/>
          <w:szCs w:val="21"/>
        </w:rPr>
        <w:t xml:space="preserve">Who would have to lead this for you to trust it — a government body, an industry association, an independent NGO, a combination?</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Closing Question — All Stakeholders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B6E"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EAF4F8" w:val="clear"/>
            <w:tcMar>
              <w:top w:type="dxa" w:w="120"/>
              <w:left w:type="dxa" w:w="200"/>
              <w:bottom w:type="dxa" w:w="120"/>
              <w:right w:type="dxa" w:w="200"/>
            </w:tcMar>
          </w:tcPr>
          <w:p>
            <w:r>
              <w:rPr>
                <w:rFonts w:ascii="Arial" w:cs="Arial" w:eastAsia="Arial" w:hAnsi="Arial"/>
                <w:b/>
                <w:bCs/>
                <w:color w:val="007B6E"/>
                <w:spacing w:val="60"/>
                <w:sz w:val="16"/>
                <w:szCs w:val="16"/>
              </w:rPr>
              <w:t xml:space="preserve">UNIVERSAL CLOSING</w:t>
            </w:r>
          </w:p>
          <w:p>
            <w:pPr>
              <w:spacing w:before="40"/>
            </w:pPr>
            <w:r>
              <w:rPr>
                <w:rFonts w:ascii="Arial" w:cs="Arial" w:eastAsia="Arial" w:hAnsi="Arial"/>
                <w:i/>
                <w:iCs/>
                <w:color w:val="333333"/>
                <w:sz w:val="21"/>
                <w:szCs w:val="21"/>
              </w:rPr>
              <w:t xml:space="preserve">If you imagine coral reef restoration being properly funded in Indonesia 10 years from now — who is paying for it, and what changed to make them pay? Walk me through what that world looks like.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07</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Ecosystem Economics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Indonesia Reef Economic Profile</w:t>
      </w:r>
    </w:p>
    <w:p>
      <w:pPr>
        <w:spacing w:before="60" w:after="80"/>
      </w:pPr>
      <w:r>
        <w:rPr>
          <w:rFonts w:ascii="Arial" w:cs="Arial" w:eastAsia="Arial" w:hAnsi="Arial"/>
          <w:b w:val="false"/>
          <w:bCs w:val="false"/>
          <w:i w:val="false"/>
          <w:iCs w:val="false"/>
          <w:color w:val="333333"/>
          <w:sz w:val="22"/>
          <w:szCs w:val="22"/>
        </w:rPr>
        <w:t xml:space="preserve">Indonesia hosts the world's largest coral reef system — approximately 51,000 km² — within the Coral Triangle. The economic value of these reefs is substantial but distributed across sectors in ways that make aggregation and obligation difficult.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Economic Service</w:t>
            </w:r>
          </w:p>
        </w:tc>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Annual Value Estimate</w:t>
            </w:r>
          </w:p>
        </w:tc>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Primary Beneficiaries</w:t>
            </w:r>
          </w:p>
        </w:tc>
        <w:tc>
          <w:tcPr>
            <w:tcW w:type="dxa" w:w="27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Measurability</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Tourism &amp; Recreation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$3–5B (Indonesia)</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Dive operators, hotels, liveaboards, local transport</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trackable via visitor data</w:t>
            </w:r>
          </w:p>
        </w:tc>
      </w:tr>
      <w:tr>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Fisheries Production</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$2–3B (reef-associated)</w:t>
            </w:r>
          </w:p>
        </w:tc>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Commercial and artisanal fishers, fish markets, export industry</w:t>
            </w:r>
          </w:p>
        </w:tc>
        <w:tc>
          <w:tcPr>
            <w:tcW w:type="dxa" w:w="27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 — reef attribution difficult</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Coastal Protection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$1–2B (replacement value)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Coastal property owners, governments, insurers</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counterfactual dependent</w:t>
            </w:r>
          </w:p>
        </w:tc>
      </w:tr>
      <w:tr>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Biodiversity Services</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Unquantified</w:t>
            </w:r>
          </w:p>
        </w:tc>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Global — no local beneficiary</w:t>
            </w:r>
          </w:p>
        </w:tc>
        <w:tc>
          <w:tcPr>
            <w:tcW w:type="dxa" w:w="27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Very Low</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Carbon Sequestration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(no market access)</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Potential: carbon credit buyers</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coral accounting unsolved</w:t>
            </w:r>
          </w:p>
        </w:tc>
      </w:tr>
      <w:tr>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Pharmaceutical / Biotech</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Early stage / potential</w:t>
            </w:r>
          </w:p>
        </w:tc>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Research institutions, pharma companies</w:t>
            </w:r>
          </w:p>
        </w:tc>
        <w:tc>
          <w:tcPr>
            <w:tcW w:type="dxa" w:w="27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Very Low</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The Diffuseness Problem</w:t>
      </w:r>
    </w:p>
    <w:p>
      <w:pPr>
        <w:spacing w:before="60" w:after="80"/>
      </w:pPr>
      <w:r>
        <w:rPr>
          <w:rFonts w:ascii="Arial" w:cs="Arial" w:eastAsia="Arial" w:hAnsi="Arial"/>
          <w:b w:val="false"/>
          <w:bCs w:val="false"/>
          <w:i w:val="false"/>
          <w:iCs w:val="false"/>
          <w:color w:val="333333"/>
          <w:sz w:val="22"/>
          <w:szCs w:val="22"/>
        </w:rPr>
        <w:t xml:space="preserve">The core economic problem is that reef value is real but atomized. Consider a single healthy reef in Nusa Penida:</w:t>
      </w:r>
    </w:p>
    <w:p>
      <w:pPr>
        <w:spacing w:before="8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15 dive operators bring 200 clients/day across the site</w:t>
      </w:r>
    </w:p>
    <w:p>
      <w:pPr>
        <w:pStyle w:val="ListParagraph"/>
        <w:numPr>
          <w:ilvl w:val="0"/>
          <w:numId w:val="2"/>
        </w:numPr>
        <w:spacing w:before="40" w:after="40"/>
      </w:pPr>
      <w:r>
        <w:rPr>
          <w:rFonts w:ascii="Arial" w:cs="Arial" w:eastAsia="Arial" w:hAnsi="Arial"/>
          <w:color w:val="333333"/>
          <w:sz w:val="21"/>
          <w:szCs w:val="21"/>
        </w:rPr>
        <w:t xml:space="preserve">Each operator benefits from the reef but no single operator has a sufficient stake to fund restoration alone</w:t>
      </w:r>
    </w:p>
    <w:p>
      <w:pPr>
        <w:pStyle w:val="ListParagraph"/>
        <w:numPr>
          <w:ilvl w:val="0"/>
          <w:numId w:val="2"/>
        </w:numPr>
        <w:spacing w:before="40" w:after="40"/>
      </w:pPr>
      <w:r>
        <w:rPr>
          <w:rFonts w:ascii="Arial" w:cs="Arial" w:eastAsia="Arial" w:hAnsi="Arial"/>
          <w:color w:val="333333"/>
          <w:sz w:val="21"/>
          <w:szCs w:val="21"/>
        </w:rPr>
        <w:t xml:space="preserve">If one operator pays and others don't, they subsidize their competitors — the classic free-rider problem</w:t>
      </w:r>
    </w:p>
    <w:p>
      <w:pPr>
        <w:pStyle w:val="ListParagraph"/>
        <w:numPr>
          <w:ilvl w:val="0"/>
          <w:numId w:val="2"/>
        </w:numPr>
        <w:spacing w:before="40" w:after="40"/>
      </w:pPr>
      <w:r>
        <w:rPr>
          <w:rFonts w:ascii="Arial" w:cs="Arial" w:eastAsia="Arial" w:hAnsi="Arial"/>
          <w:color w:val="333333"/>
          <w:sz w:val="21"/>
          <w:szCs w:val="21"/>
        </w:rPr>
        <w:t xml:space="preserve">Total economic benefit from the reef may be $10M/year; total restoration funding: near zero</w:t>
      </w:r>
    </w:p>
    <w:p>
      <w:pPr>
        <w:spacing w:before="80" w:after="0"/>
      </w:pPr>
      <w:r>
        <w:t xml:space="preserve"/>
      </w:r>
    </w:p>
    <w:p>
      <w:pPr>
        <w:spacing w:before="60" w:after="80"/>
      </w:pPr>
      <w:r>
        <w:rPr>
          <w:rFonts w:ascii="Arial" w:cs="Arial" w:eastAsia="Arial" w:hAnsi="Arial"/>
          <w:b w:val="false"/>
          <w:bCs w:val="false"/>
          <w:i w:val="false"/>
          <w:iCs w:val="false"/>
          <w:color w:val="333333"/>
          <w:sz w:val="22"/>
          <w:szCs w:val="22"/>
        </w:rPr>
        <w:t xml:space="preserve">This is not a failure of awareness or goodwill. It is a structural collective action problem that only resolves with mandatory contribution mechanisms — exactly what reefs currently lack and wetlands/wildfire zones have.</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Carbon Economics — The Leon Boey Data Point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1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Context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Coral restoration unit</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m² of restored reef</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Mars Coral Restoration unit</w:t>
            </w:r>
          </w:p>
        </w:tc>
      </w:tr>
      <w:tr>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Carbon sequestered per unit</w:t>
            </w:r>
          </w:p>
        </w:tc>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4.4–6.6 kg CO₂ / m²</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Leon Boey research data</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per unit (1 star)</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 USD</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restoration cost</w:t>
            </w:r>
          </w:p>
        </w:tc>
      </w:tr>
      <w:tr>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Cost per tonne CO₂e (implied)</w:t>
            </w:r>
          </w:p>
        </w:tc>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~$10,000–$15,000</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Far above forest carbon (~$15–50/tonne)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Carbon credit market access</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(current)</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Coral accounting not accepted by Verra or Gold Standard</w:t>
            </w:r>
          </w:p>
        </w:tc>
      </w:tr>
      <w:tr>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Investor response to data</w:t>
            </w:r>
          </w:p>
        </w:tc>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Request metrics, limited conversion</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Pattern observed in Leon Boey stakeholder meetings</w:t>
            </w:r>
          </w:p>
        </w:tc>
      </w:tr>
    </w:tbl>
    <w:p>
      <w:pPr>
        <w:spacing w:before="80" w:after="0"/>
      </w:pPr>
      <w:r>
        <w:t xml:space="preserve"/>
      </w:r>
    </w:p>
    <w:p>
      <w:pPr>
        <w:spacing w:before="60" w:after="80"/>
      </w:pPr>
      <w:r>
        <w:rPr>
          <w:rFonts w:ascii="Arial" w:cs="Arial" w:eastAsia="Arial" w:hAnsi="Arial"/>
          <w:b w:val="false"/>
          <w:bCs w:val="false"/>
          <w:i w:val="false"/>
          <w:iCs w:val="false"/>
          <w:color w:val="333333"/>
          <w:sz w:val="22"/>
          <w:szCs w:val="22"/>
        </w:rPr>
        <w:t xml:space="preserve">The carbon economics do not work as a primary value driver at current costs. The research should probe whether bundled biodiversity + carbon + coastal protection co-benefits change the investor calculus.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08</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Bottleneck Diagnostics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Diagnostic Framework</w:t>
      </w:r>
    </w:p>
    <w:p>
      <w:pPr>
        <w:spacing w:before="60" w:after="80"/>
      </w:pPr>
      <w:r>
        <w:rPr>
          <w:rFonts w:ascii="Arial" w:cs="Arial" w:eastAsia="Arial" w:hAnsi="Arial"/>
          <w:b w:val="false"/>
          <w:bCs w:val="false"/>
          <w:i w:val="false"/>
          <w:iCs w:val="false"/>
          <w:color w:val="333333"/>
          <w:sz w:val="22"/>
          <w:szCs w:val="22"/>
        </w:rPr>
        <w:t xml:space="preserve">The financing pipeline diagnostic assesses five potential bottleneck types. Field interviews should generate qualitative data that lets us score each bottleneck and determine which dominates. Understanding the primary bottleneck determines the appropriate mechanism design.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Bottleneck</w:t>
            </w:r>
          </w:p>
        </w:tc>
        <w:tc>
          <w:tcPr>
            <w:tcW w:type="dxa" w:w="1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Severity (Pre-Field)</w:t>
            </w:r>
          </w:p>
        </w:tc>
        <w:tc>
          <w:tcPr>
            <w:tcW w:type="dxa" w:w="41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Primary Signal</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Awareness Gap</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Cognitive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 research shows beneficiaries know reefs are valuable; specific financial exposure is unclear</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 Free-Rider Dynamics</w:t>
            </w:r>
          </w:p>
        </w:tc>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Behavioral / Game Theory</w:t>
            </w:r>
          </w:p>
        </w:tc>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Classic public goods problem; benefits non-excludable; no coordination mechanism</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MRV / Data Failure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 Trust</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Investors request metrics; no standardized system exists; outcomes not comparable across sites</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4. Institutional Absence</w:t>
            </w:r>
          </w:p>
        </w:tc>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 reef infrastructure budget, no conservation fee mandate, no insurance linkage exists in Indonesia</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Time Horizon Mismatch</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 Structural</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Restoration benefits: 10–20 years; private capital exit: 3–7 years; gap not bridged</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Bottleneck Decision Tree</w:t>
      </w:r>
    </w:p>
    <w:p>
      <w:pPr>
        <w:spacing w:before="60" w:after="80"/>
      </w:pPr>
      <w:r>
        <w:rPr>
          <w:rFonts w:ascii="Arial" w:cs="Arial" w:eastAsia="Arial" w:hAnsi="Arial"/>
          <w:b w:val="false"/>
          <w:bCs w:val="false"/>
          <w:i w:val="false"/>
          <w:iCs w:val="false"/>
          <w:color w:val="333333"/>
          <w:sz w:val="22"/>
          <w:szCs w:val="22"/>
        </w:rPr>
        <w:t xml:space="preserve">Use this logic to determine which intervention is appropriate based on field findings:</w:t>
      </w:r>
    </w:p>
    <w:p>
      <w:pPr>
        <w:spacing w:before="8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If interviews reveal beneficiaries don't recognize dependency → Primary intervention: awareness and dependency quantification campaigns before any mechanism design</w:t>
      </w:r>
    </w:p>
    <w:p>
      <w:pPr>
        <w:pStyle w:val="ListParagraph"/>
        <w:numPr>
          <w:ilvl w:val="0"/>
          <w:numId w:val="2"/>
        </w:numPr>
        <w:spacing w:before="40" w:after="40"/>
      </w:pPr>
      <w:r>
        <w:rPr>
          <w:rFonts w:ascii="Arial" w:cs="Arial" w:eastAsia="Arial" w:hAnsi="Arial"/>
          <w:color w:val="333333"/>
          <w:sz w:val="21"/>
          <w:szCs w:val="21"/>
        </w:rPr>
        <w:t xml:space="preserve">If beneficiaries recognize dependency but cite free-rider concerns → Primary intervention: mandatory collective mechanism (industry levy, park fee, government mandate)</w:t>
      </w:r>
    </w:p>
    <w:p>
      <w:pPr>
        <w:pStyle w:val="ListParagraph"/>
        <w:numPr>
          <w:ilvl w:val="0"/>
          <w:numId w:val="2"/>
        </w:numPr>
        <w:spacing w:before="40" w:after="40"/>
      </w:pPr>
      <w:r>
        <w:rPr>
          <w:rFonts w:ascii="Arial" w:cs="Arial" w:eastAsia="Arial" w:hAnsi="Arial"/>
          <w:color w:val="333333"/>
          <w:sz w:val="21"/>
          <w:szCs w:val="21"/>
        </w:rPr>
        <w:t xml:space="preserve">If beneficiaries are willing but no mechanism exists → Primary intervention: mechanism design and institutional advocacy (reef fund, conservation fee structure)</w:t>
      </w:r>
    </w:p>
    <w:p>
      <w:pPr>
        <w:pStyle w:val="ListParagraph"/>
        <w:numPr>
          <w:ilvl w:val="0"/>
          <w:numId w:val="2"/>
        </w:numPr>
        <w:spacing w:before="40" w:after="40"/>
      </w:pPr>
      <w:r>
        <w:rPr>
          <w:rFonts w:ascii="Arial" w:cs="Arial" w:eastAsia="Arial" w:hAnsi="Arial"/>
          <w:color w:val="333333"/>
          <w:sz w:val="21"/>
          <w:szCs w:val="21"/>
        </w:rPr>
        <w:t xml:space="preserve">If mechanisms are proposed but funders don't trust outcomes → Primary intervention: MRV standardization and third-party verification infrastructure</w:t>
      </w:r>
    </w:p>
    <w:p>
      <w:pPr>
        <w:pStyle w:val="ListParagraph"/>
        <w:numPr>
          <w:ilvl w:val="0"/>
          <w:numId w:val="2"/>
        </w:numPr>
        <w:spacing w:before="40" w:after="40"/>
      </w:pPr>
      <w:r>
        <w:rPr>
          <w:rFonts w:ascii="Arial" w:cs="Arial" w:eastAsia="Arial" w:hAnsi="Arial"/>
          <w:color w:val="333333"/>
          <w:sz w:val="21"/>
          <w:szCs w:val="21"/>
        </w:rPr>
        <w:t xml:space="preserve">If all of the above → Staged intervention: mechanism + MRV together, with government classification as enabling condition</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What the Tool Should Track Post-Field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Data Point to Capture</w:t>
            </w:r>
          </w:p>
        </w:tc>
        <w:tc>
          <w:tcPr>
            <w:tcW w:type="dxa" w:w="2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1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Dependency recognition score (1–5) per actor</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responses</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Bottleneck 1 assessment</w:t>
            </w:r>
          </w:p>
        </w:tc>
      </w:tr>
      <w:tr>
        <w:tc>
          <w:tcPr>
            <w:tcW w:type="dxa" w:w="3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Free-rider language in interviews (coded)</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Interview transcripts</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Bottleneck 2 assessment</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Conditions cited for willingness to pay</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responses</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Mechanism design specification</w:t>
            </w:r>
          </w:p>
        </w:tc>
      </w:tr>
      <w:tr>
        <w:tc>
          <w:tcPr>
            <w:tcW w:type="dxa" w:w="3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Existing fee/levy examples encountered</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Field observation + interviews</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Precedent for new mechanism</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budget category awareness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interviews (if secured)</w:t>
            </w:r>
          </w:p>
        </w:tc>
        <w:tc>
          <w:tcPr>
            <w:tcW w:type="dxa" w:w="4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Institutional gap mapping</w:t>
            </w:r>
          </w:p>
        </w:tc>
      </w:tr>
      <w:tr>
        <w:tc>
          <w:tcPr>
            <w:tcW w:type="dxa" w:w="3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Investor conversion rate (requests vs. commitments)</w:t>
            </w:r>
          </w:p>
        </w:tc>
        <w:tc>
          <w:tcPr>
            <w:tcW w:type="dxa" w:w="2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Leon Boey + restoration org data</w:t>
            </w:r>
          </w:p>
        </w:tc>
        <w:tc>
          <w:tcPr>
            <w:tcW w:type="dxa" w:w="4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MRV / trust gap assessment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09</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Investor Psychology</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What We Know From Leon Boey's Experience</w:t>
      </w:r>
    </w:p>
    <w:p>
      <w:pPr>
        <w:spacing w:before="60" w:after="80"/>
      </w:pPr>
      <w:r>
        <w:rPr>
          <w:rFonts w:ascii="Arial" w:cs="Arial" w:eastAsia="Arial" w:hAnsi="Arial"/>
          <w:b w:val="false"/>
          <w:bCs w:val="false"/>
          <w:i w:val="false"/>
          <w:iCs w:val="false"/>
          <w:color w:val="333333"/>
          <w:sz w:val="22"/>
          <w:szCs w:val="22"/>
        </w:rPr>
        <w:t xml:space="preserve">The meeting notes from Leon Boey reveal a critical and underappreciated data point: the gap between investor interest and investor commitment is not primarily a data gap. Investors request carbon metrics — receive them — and still don't convert. This is a psychology and mechanism problem, not an information problem.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B6E" w:val="clear"/>
            <w:tcMar>
              <w:top w:type="dxa" w:w="120"/>
              <w:left w:type="dxa" w:w="120"/>
              <w:bottom w:type="dxa" w:w="120"/>
              <w:right w:type="dxa" w:w="120"/>
            </w:tcMar>
          </w:tcPr>
          <w:p/>
        </w:tc>
        <w:tc>
          <w:tcPr>
            <w:tcW w:type="dxa" w:w="9160"/>
            <w:tcBorders>
              <w:top w:val="single" w:color="CCDDEE" w:sz="1"/>
              <w:left w:val="none" w:color="FFFFFF" w:sz="0"/>
              <w:bottom w:val="single" w:color="CCDDEE" w:sz="1"/>
              <w:right w:val="single" w:color="CCDDEE" w:sz="1"/>
            </w:tcBorders>
            <w:shd w:fill="EAF4F8" w:val="clear"/>
            <w:tcMar>
              <w:top w:type="dxa" w:w="120"/>
              <w:left w:type="dxa" w:w="200"/>
              <w:bottom w:type="dxa" w:w="120"/>
              <w:right w:type="dxa" w:w="200"/>
            </w:tcMar>
          </w:tcPr>
          <w:p>
            <w:r>
              <w:rPr>
                <w:rFonts w:ascii="Arial" w:cs="Arial" w:eastAsia="Arial" w:hAnsi="Arial"/>
                <w:b/>
                <w:bCs/>
                <w:color w:val="007B6E"/>
                <w:spacing w:val="60"/>
                <w:sz w:val="16"/>
                <w:szCs w:val="16"/>
              </w:rPr>
              <w:t xml:space="preserve">KEY OBSERVATION</w:t>
            </w:r>
          </w:p>
          <w:p>
            <w:pPr>
              <w:spacing w:before="40"/>
            </w:pPr>
            <w:r>
              <w:rPr>
                <w:rFonts w:ascii="Arial" w:cs="Arial" w:eastAsia="Arial" w:hAnsi="Arial"/>
                <w:i/>
                <w:iCs/>
                <w:color w:val="333333"/>
                <w:sz w:val="21"/>
                <w:szCs w:val="21"/>
              </w:rPr>
              <w:t xml:space="preserve">Corporate sponsors say they need to see carbon emission amounts. Investors ask for carbon measurements but then don't say much about it — not necessarily knowledgeable. Private investors are moved by stories and trust in Leon's experience; corporations are moved by numbers and tonnage.</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Investor Typology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000"/>
        <w:gridCol w:w="1960"/>
      </w:tblGrid>
      <w:tr>
        <w:tc>
          <w:tcPr>
            <w:tcW w:type="dxa" w:w="1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Investor Type</w:t>
            </w:r>
          </w:p>
        </w:tc>
        <w:tc>
          <w:tcPr>
            <w:tcW w:type="dxa" w:w="1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Primary Motivation</w:t>
            </w:r>
          </w:p>
        </w:tc>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Decision Trigger</w:t>
            </w:r>
          </w:p>
        </w:tc>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Coral Barrier</w:t>
            </w:r>
          </w:p>
        </w:tc>
        <w:tc>
          <w:tcPr>
            <w:tcW w:type="dxa" w:w="19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Research Priority</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 HNWI</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 in operator; narrative and story; personal connection to ocean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Relationship with Leon or similar credible figure</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Dependent on individual relationships; doesn't scale</w:t>
            </w:r>
          </w:p>
        </w:tc>
        <w:tc>
          <w:tcPr>
            <w:tcW w:type="dxa" w:w="1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Understand conversion factors</w:t>
            </w:r>
          </w:p>
        </w:tc>
      </w:tr>
      <w:tr>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Corporate ESG / CSR</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Tonnage metrics; reportable numbers; brand alignment</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Carbon or biodiversity data that fits existing reporting framework</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Coral carbon doesn't fit standard frameworks; high cost per tonne</w:t>
            </w:r>
          </w:p>
        </w:tc>
        <w:tc>
          <w:tcPr>
            <w:tcW w:type="dxa" w:w="1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Identify what alternate metric could substitute</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Impact Investors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Measurable outcomes; return on investment; exit pathway</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Proven MRV system; clear repayment mechanism; comparable deals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standardized outcomes; no active repayment deals</w:t>
            </w:r>
          </w:p>
        </w:tc>
        <w:tc>
          <w:tcPr>
            <w:tcW w:type="dxa" w:w="1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 what OBF deal structure would need to look like</w:t>
            </w:r>
          </w:p>
        </w:tc>
      </w:tr>
      <w:tr>
        <w:tc>
          <w:tcPr>
            <w:tcW w:type="dxa" w:w="1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Conservation Foundations</w:t>
            </w:r>
          </w:p>
        </w:tc>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Mission alignment; ecological impact; leverage potential</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Strong restoration operator credibility; co-funding from others</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Unstable; renewal dependent on program officer priorities</w:t>
            </w:r>
          </w:p>
        </w:tc>
        <w:tc>
          <w:tcPr>
            <w:tcW w:type="dxa" w:w="19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Identify what conditions produce multi-year commitments</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 Bilateral</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Policy outcomes; constituency benefits; international commitments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Reef classified as infrastructure; political will; co-funding</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Reefs not infrastructure; no dedicated budget category</w:t>
            </w:r>
          </w:p>
        </w:tc>
        <w:tc>
          <w:tcPr>
            <w:tcW w:type="dxa" w:w="1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Probe classification pathway in interviews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The Data Request / Commitment Gap</w:t>
      </w:r>
    </w:p>
    <w:p>
      <w:pPr>
        <w:spacing w:before="60" w:after="80"/>
      </w:pPr>
      <w:r>
        <w:rPr>
          <w:rFonts w:ascii="Arial" w:cs="Arial" w:eastAsia="Arial" w:hAnsi="Arial"/>
          <w:b w:val="false"/>
          <w:bCs w:val="false"/>
          <w:i w:val="false"/>
          <w:iCs w:val="false"/>
          <w:color w:val="333333"/>
          <w:sz w:val="22"/>
          <w:szCs w:val="22"/>
        </w:rPr>
        <w:t xml:space="preserve">A specific phenomenon observed in the Leon Boey meetings deserves attention as a research finding in its own right: investors consistently request carbon data, receive it, and don't act. Three explanations are possible and should be tested in interviews:</w:t>
      </w:r>
    </w:p>
    <w:p>
      <w:pPr>
        <w:spacing w:before="8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Explanation A (Knowledge Gap): Investors don't have internal frameworks for evaluating coral carbon data — they ask for it because they think they should, not because they know how to use it</w:t>
      </w:r>
    </w:p>
    <w:p>
      <w:pPr>
        <w:pStyle w:val="ListParagraph"/>
        <w:numPr>
          <w:ilvl w:val="0"/>
          <w:numId w:val="2"/>
        </w:numPr>
        <w:spacing w:before="40" w:after="40"/>
      </w:pPr>
      <w:r>
        <w:rPr>
          <w:rFonts w:ascii="Arial" w:cs="Arial" w:eastAsia="Arial" w:hAnsi="Arial"/>
          <w:color w:val="333333"/>
          <w:sz w:val="21"/>
          <w:szCs w:val="21"/>
        </w:rPr>
        <w:t xml:space="preserve">Explanation B (Cost Barrier): They receive the data, calculate cost per tonne, compare to forest carbon alternatives, and conclude coral is not competitive — but don't say so explicitly</w:t>
      </w:r>
    </w:p>
    <w:p>
      <w:pPr>
        <w:pStyle w:val="ListParagraph"/>
        <w:numPr>
          <w:ilvl w:val="0"/>
          <w:numId w:val="2"/>
        </w:numPr>
        <w:spacing w:before="40" w:after="40"/>
      </w:pPr>
      <w:r>
        <w:rPr>
          <w:rFonts w:ascii="Arial" w:cs="Arial" w:eastAsia="Arial" w:hAnsi="Arial"/>
          <w:color w:val="333333"/>
          <w:sz w:val="21"/>
          <w:szCs w:val="21"/>
        </w:rPr>
        <w:t xml:space="preserve">Explanation C (Decision Authority): The person receiving the data is not the decision-maker; data doesn't reach the level where commitments are made</w:t>
      </w:r>
    </w:p>
    <w:p>
      <w:pPr>
        <w:spacing w:before="80" w:after="0"/>
      </w:pPr>
      <w:r>
        <w:t xml:space="preserve"/>
      </w:r>
    </w:p>
    <w:p>
      <w:pPr>
        <w:spacing w:before="60" w:after="80"/>
      </w:pPr>
      <w:r>
        <w:rPr>
          <w:rFonts w:ascii="Arial" w:cs="Arial" w:eastAsia="Arial" w:hAnsi="Arial"/>
          <w:b w:val="false"/>
          <w:bCs w:val="false"/>
          <w:i w:val="false"/>
          <w:iCs w:val="false"/>
          <w:color w:val="333333"/>
          <w:sz w:val="22"/>
          <w:szCs w:val="22"/>
        </w:rPr>
        <w:t xml:space="preserve">Field interviews with investors (if secured) should probe which explanation dominates. This distinction determines whether the solution is better data, bundled co-benefits, or a different entry point into corporate decision-making.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10</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Institutional Analysis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The Core Institutional Gap</w:t>
      </w:r>
    </w:p>
    <w:p>
      <w:pPr>
        <w:spacing w:before="60" w:after="80"/>
      </w:pPr>
      <w:r>
        <w:rPr>
          <w:rFonts w:ascii="Arial" w:cs="Arial" w:eastAsia="Arial" w:hAnsi="Arial"/>
          <w:b w:val="false"/>
          <w:bCs w:val="false"/>
          <w:i w:val="false"/>
          <w:iCs w:val="false"/>
          <w:color w:val="333333"/>
          <w:sz w:val="22"/>
          <w:szCs w:val="22"/>
        </w:rPr>
        <w:t xml:space="preserve">The central finding from prior research — and the central hypothesis of this project — is that coral reefs lack the institutional embedding that enables other ecosystems to attract obligatory funding. This section maps the institutional landscape and identifies the specific classification changes that would shift reef funding from voluntary to structural.</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What Institutional Embedding Looks Like Elsewhere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Institution Type</w:t>
            </w:r>
          </w:p>
        </w:tc>
        <w:tc>
          <w:tcPr>
            <w:tcW w:type="dxa" w:w="2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Ecosystem Example</w:t>
            </w:r>
          </w:p>
        </w:tc>
        <w:tc>
          <w:tcPr>
            <w:tcW w:type="dxa" w:w="26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7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Indonesian Coral Equivalent Needed</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Infrastructure Budget</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 coastal wetlands (CWPPRA)</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Wetlands classified as storm protection infrastructure; federal engineering budget applies</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Ministry of Public Works or BNPB classifying reefs as coastal protection assets</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Mandatory Industry Levy</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Palau Marine Sanctuary</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All tourist fees include marine conservation levy; legally mandated</w:t>
            </w:r>
          </w:p>
        </w:tc>
        <w:tc>
          <w:tcPr>
            <w:tcW w:type="dxa" w:w="27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Dive tourism regulatory framework requiring conservation surcharge</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Insurance Linkage</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Mesoamerican Reef (TNC/SwissRe)</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Parametric insurance policy on reef; storm damage triggers restoration payout</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Indonesian insurance market recognizing reef as insurable coastal asset</w:t>
            </w:r>
          </w:p>
        </w:tc>
      </w:tr>
      <w:tr>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Carbon Market Access</w:t>
            </w:r>
          </w:p>
        </w:tc>
        <w:tc>
          <w:tcPr>
            <w:tcW w:type="dxa" w:w="2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Mangrove blue carbon</w:t>
            </w:r>
          </w:p>
        </w:tc>
        <w:tc>
          <w:tcPr>
            <w:tcW w:type="dxa" w:w="26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Verified carbon credits issued for mangrove restoration; revenue funds ongoing maintenance</w:t>
            </w:r>
          </w:p>
        </w:tc>
        <w:tc>
          <w:tcPr>
            <w:tcW w:type="dxa" w:w="27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New carbon accounting standard for coral (requires IPCC or Verra action)</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Fishing Rights / Co-Management</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Pacific Island reef tenure</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Fishing communities hold exclusive reef rights; maintenance is self-interest</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Exclusive reef stewardship zones for Indonesian fishing cooperatives</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Indonesian Institutional Context</w:t>
      </w:r>
    </w:p>
    <w:p>
      <w:pPr>
        <w:spacing w:before="60" w:after="80"/>
      </w:pPr>
      <w:r>
        <w:rPr>
          <w:rFonts w:ascii="Arial" w:cs="Arial" w:eastAsia="Arial" w:hAnsi="Arial"/>
          <w:b w:val="false"/>
          <w:bCs w:val="false"/>
          <w:i w:val="false"/>
          <w:iCs w:val="false"/>
          <w:color w:val="333333"/>
          <w:sz w:val="22"/>
          <w:szCs w:val="22"/>
        </w:rPr>
        <w:t xml:space="preserve">Several features of Indonesia's governance structure are relevant to mechanism design:</w:t>
      </w:r>
    </w:p>
    <w:p>
      <w:pPr>
        <w:spacing w:before="8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Decentralized governance: Marine park authority sits partly at provincial and district level — local governments can mandate conservation fees without national legislation</w:t>
      </w:r>
    </w:p>
    <w:p>
      <w:pPr>
        <w:pStyle w:val="ListParagraph"/>
        <w:numPr>
          <w:ilvl w:val="0"/>
          <w:numId w:val="2"/>
        </w:numPr>
        <w:spacing w:before="40" w:after="40"/>
      </w:pPr>
      <w:r>
        <w:rPr>
          <w:rFonts w:ascii="Arial" w:cs="Arial" w:eastAsia="Arial" w:hAnsi="Arial"/>
          <w:color w:val="333333"/>
          <w:sz w:val="21"/>
          <w:szCs w:val="21"/>
        </w:rPr>
        <w:t xml:space="preserve">Ministry of Marine Affairs &amp; Fisheries (KKP): Primary federal body; has shown interest in blue economy frameworks but has not classified reefs as infrastructure</w:t>
      </w:r>
    </w:p>
    <w:p>
      <w:pPr>
        <w:pStyle w:val="ListParagraph"/>
        <w:numPr>
          <w:ilvl w:val="0"/>
          <w:numId w:val="2"/>
        </w:numPr>
        <w:spacing w:before="40" w:after="40"/>
      </w:pPr>
      <w:r>
        <w:rPr>
          <w:rFonts w:ascii="Arial" w:cs="Arial" w:eastAsia="Arial" w:hAnsi="Arial"/>
          <w:color w:val="333333"/>
          <w:sz w:val="21"/>
          <w:szCs w:val="21"/>
        </w:rPr>
        <w:t xml:space="preserve">BAPPENAS: National development planning agency; infrastructure classification would flow through this body — reef advocates need a pathway here</w:t>
      </w:r>
    </w:p>
    <w:p>
      <w:pPr>
        <w:pStyle w:val="ListParagraph"/>
        <w:numPr>
          <w:ilvl w:val="0"/>
          <w:numId w:val="2"/>
        </w:numPr>
        <w:spacing w:before="40" w:after="40"/>
      </w:pPr>
      <w:r>
        <w:rPr>
          <w:rFonts w:ascii="Arial" w:cs="Arial" w:eastAsia="Arial" w:hAnsi="Arial"/>
          <w:color w:val="333333"/>
          <w:sz w:val="21"/>
          <w:szCs w:val="21"/>
        </w:rPr>
        <w:t xml:space="preserve">Raja Ampat precedent: Entry and dive fees exist in Raja Ampat and have generated conservation funding — this is the closest domestic institutional model and should be examined in field research</w:t>
      </w:r>
    </w:p>
    <w:p>
      <w:pPr>
        <w:pStyle w:val="ListParagraph"/>
        <w:numPr>
          <w:ilvl w:val="0"/>
          <w:numId w:val="2"/>
        </w:numPr>
        <w:spacing w:before="40" w:after="40"/>
      </w:pPr>
      <w:r>
        <w:rPr>
          <w:rFonts w:ascii="Arial" w:cs="Arial" w:eastAsia="Arial" w:hAnsi="Arial"/>
          <w:color w:val="333333"/>
          <w:sz w:val="21"/>
          <w:szCs w:val="21"/>
        </w:rPr>
        <w:t xml:space="preserve">Tourism revenue dependency: Bali's economy is &gt;60% tourism-dependent; political will for reef protection exists if economic framing is strong — this is an entry point</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Institutional Research Questions for Field</w:t>
      </w:r>
    </w:p>
    <w:p>
      <w:pPr>
        <w:spacing w:before="6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Has any Indonesian local government body ever classified reef protection as part of its coastal infrastructure budget?</w:t>
      </w:r>
    </w:p>
    <w:p>
      <w:pPr>
        <w:pStyle w:val="ListParagraph"/>
        <w:numPr>
          <w:ilvl w:val="0"/>
          <w:numId w:val="2"/>
        </w:numPr>
        <w:spacing w:before="40" w:after="40"/>
      </w:pPr>
      <w:r>
        <w:rPr>
          <w:rFonts w:ascii="Arial" w:cs="Arial" w:eastAsia="Arial" w:hAnsi="Arial"/>
          <w:color w:val="333333"/>
          <w:sz w:val="21"/>
          <w:szCs w:val="21"/>
        </w:rPr>
        <w:t xml:space="preserve">What is the regulatory pathway for mandating a conservation levy on dive tourism — who has authority, and what would it take?</w:t>
      </w:r>
    </w:p>
    <w:p>
      <w:pPr>
        <w:pStyle w:val="ListParagraph"/>
        <w:numPr>
          <w:ilvl w:val="0"/>
          <w:numId w:val="2"/>
        </w:numPr>
        <w:spacing w:before="40" w:after="40"/>
      </w:pPr>
      <w:r>
        <w:rPr>
          <w:rFonts w:ascii="Arial" w:cs="Arial" w:eastAsia="Arial" w:hAnsi="Arial"/>
          <w:color w:val="333333"/>
          <w:sz w:val="21"/>
          <w:szCs w:val="21"/>
        </w:rPr>
        <w:t xml:space="preserve">Does the Raja Ampat model (entry fees + dive fees) generate sufficient revenue for meaningful restoration — and is it transferable to Bali?</w:t>
      </w:r>
    </w:p>
    <w:p>
      <w:pPr>
        <w:pStyle w:val="ListParagraph"/>
        <w:numPr>
          <w:ilvl w:val="0"/>
          <w:numId w:val="2"/>
        </w:numPr>
        <w:spacing w:before="40" w:after="40"/>
      </w:pPr>
      <w:r>
        <w:rPr>
          <w:rFonts w:ascii="Arial" w:cs="Arial" w:eastAsia="Arial" w:hAnsi="Arial"/>
          <w:color w:val="333333"/>
          <w:sz w:val="21"/>
          <w:szCs w:val="21"/>
        </w:rPr>
        <w:t xml:space="preserve">Are there any insurance products in Indonesia that price coastal risk based on reef health 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11</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Graph Relationships — Data Model</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Node Schema</w:t>
      </w:r>
    </w:p>
    <w:p>
      <w:pPr>
        <w:spacing w:before="60" w:after="80"/>
      </w:pPr>
      <w:r>
        <w:rPr>
          <w:rFonts w:ascii="Arial" w:cs="Arial" w:eastAsia="Arial" w:hAnsi="Arial"/>
          <w:b w:val="false"/>
          <w:bCs w:val="false"/>
          <w:i w:val="false"/>
          <w:iCs w:val="false"/>
          <w:color w:val="333333"/>
          <w:sz w:val="22"/>
          <w:szCs w:val="22"/>
        </w:rPr>
        <w:t xml:space="preserve">The interactive stakeholder network is built on a graph data model. This section defines the schema so the tool's visualization is consistent with the research framework and can be populated progressively as field data is collected.</w:t>
      </w:r>
    </w:p>
    <w:p>
      <w:pPr>
        <w:spacing w:before="120" w:after="0"/>
      </w:pPr>
      <w:r>
        <w:t xml:space="preserve"/>
      </w:r>
    </w:p>
    <w:p>
      <w:pPr>
        <w:spacing w:before="200" w:after="80"/>
      </w:pPr>
      <w:r>
        <w:rPr>
          <w:rFonts w:ascii="Arial" w:cs="Arial" w:eastAsia="Arial" w:hAnsi="Arial"/>
          <w:b/>
          <w:bCs/>
          <w:color w:val="2E6B8A"/>
          <w:sz w:val="22"/>
          <w:szCs w:val="22"/>
        </w:rPr>
        <w:t xml:space="preserve">Actor Node Properties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1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identifier</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mars_coral_restoration</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Display name</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Mars Coral Restoration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Actor category (6 types)</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restoration_operator</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Geographic context</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Bali, Indonesia</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dependency_score</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1–5</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dependent on reef health (1=low, 5=critical)</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willingness_score</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Int 1–5</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Observed willingness to fund restoration</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interview_status</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confirmed / target / completed / not_pursued</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confirmed</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key_quote</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Most important quote from interview</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Text from field</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funding_role</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funder / beneficiary / operator / regulator / both</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operator</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annual_funding_USD</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Current annual funding given or received</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500000</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Freetext research notes</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160" w:after="0"/>
      </w:pPr>
      <w:r>
        <w:t xml:space="preserve"/>
      </w:r>
    </w:p>
    <w:p>
      <w:pPr>
        <w:spacing w:before="200" w:after="80"/>
      </w:pPr>
      <w:r>
        <w:rPr>
          <w:rFonts w:ascii="Arial" w:cs="Arial" w:eastAsia="Arial" w:hAnsi="Arial"/>
          <w:b/>
          <w:bCs/>
          <w:color w:val="2E6B8A"/>
          <w:sz w:val="22"/>
          <w:szCs w:val="22"/>
        </w:rPr>
        <w:t xml:space="preserve">Edge (Relationship) Properties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1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edge identifier</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mars_to_foundation_grant</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source</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Source node id</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conservation_foundation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node id</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mars_coral_restoration</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relationship_type</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funding / dependency / data / regulation / proposed</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funding</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flow_direction</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unidirectional / bidirectional</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unidirectional</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annual_value_USD</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Financial value of flow (if funding)</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250000</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stability</w:t>
            </w:r>
          </w:p>
        </w:tc>
        <w:tc>
          <w:tcPr>
            <w:tcW w:type="dxa" w:w="1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 unstable / potential</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unstable</w:t>
            </w:r>
          </w:p>
        </w:tc>
      </w:tr>
      <w:tr>
        <w:tc>
          <w:tcPr>
            <w:tcW w:type="dxa" w:w="1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32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Contextual description</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Project-based; no multi-year commitment</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Key Graph Queries the Tool Should Support</w:t>
      </w:r>
    </w:p>
    <w:p>
      <w:pPr>
        <w:spacing w:before="8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Find all actors with dependency_score &gt;= 4 and willingness_score &lt;= 2 — this is the free-rider cluster</w:t>
      </w:r>
    </w:p>
    <w:p>
      <w:pPr>
        <w:pStyle w:val="ListParagraph"/>
        <w:numPr>
          <w:ilvl w:val="0"/>
          <w:numId w:val="2"/>
        </w:numPr>
        <w:spacing w:before="40" w:after="40"/>
      </w:pPr>
      <w:r>
        <w:rPr>
          <w:rFonts w:ascii="Arial" w:cs="Arial" w:eastAsia="Arial" w:hAnsi="Arial"/>
          <w:color w:val="333333"/>
          <w:sz w:val="21"/>
          <w:szCs w:val="21"/>
        </w:rPr>
        <w:t xml:space="preserve">Find all funding edges with stability = 'unstable' — this is the fragility map</w:t>
      </w:r>
    </w:p>
    <w:p>
      <w:pPr>
        <w:pStyle w:val="ListParagraph"/>
        <w:numPr>
          <w:ilvl w:val="0"/>
          <w:numId w:val="2"/>
        </w:numPr>
        <w:spacing w:before="40" w:after="40"/>
      </w:pPr>
      <w:r>
        <w:rPr>
          <w:rFonts w:ascii="Arial" w:cs="Arial" w:eastAsia="Arial" w:hAnsi="Arial"/>
          <w:color w:val="333333"/>
          <w:sz w:val="21"/>
          <w:szCs w:val="21"/>
        </w:rPr>
        <w:t xml:space="preserve">Find shortest path between any funder node and reef ecosystem — this shows how many intermediaries funding must pass through</w:t>
      </w:r>
    </w:p>
    <w:p>
      <w:pPr>
        <w:pStyle w:val="ListParagraph"/>
        <w:numPr>
          <w:ilvl w:val="0"/>
          <w:numId w:val="2"/>
        </w:numPr>
        <w:spacing w:before="40" w:after="40"/>
      </w:pPr>
      <w:r>
        <w:rPr>
          <w:rFonts w:ascii="Arial" w:cs="Arial" w:eastAsia="Arial" w:hAnsi="Arial"/>
          <w:color w:val="333333"/>
          <w:sz w:val="21"/>
          <w:szCs w:val="21"/>
        </w:rPr>
        <w:t xml:space="preserve">Find all nodes with no active funding edges but high dependency_score — these are the unfunded beneficiaries</w:t>
      </w:r>
    </w:p>
    <w:p>
      <w:pPr>
        <w:pStyle w:val="ListParagraph"/>
        <w:numPr>
          <w:ilvl w:val="0"/>
          <w:numId w:val="2"/>
        </w:numPr>
        <w:spacing w:before="40" w:after="40"/>
      </w:pPr>
      <w:r>
        <w:rPr>
          <w:rFonts w:ascii="Arial" w:cs="Arial" w:eastAsia="Arial" w:hAnsi="Arial"/>
          <w:color w:val="333333"/>
          <w:sz w:val="21"/>
          <w:szCs w:val="21"/>
        </w:rPr>
        <w:t xml:space="preserve">Count proposed edges vs. active edges — the ratio is a measure of institutional gap severity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A1E3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12</w:t>
            </w:r>
          </w:p>
        </w:tc>
        <w:tc>
          <w:tcPr>
            <w:tcW w:type="dxa" w:w="8660"/>
            <w:tcBorders>
              <w:top w:val="none" w:color="FFFFFF" w:sz="0"/>
              <w:left w:val="none" w:color="FFFFFF" w:sz="0"/>
              <w:bottom w:val="single" w:color="007B6E" w:sz="1"/>
              <w:right w:val="none" w:color="FFFFFF" w:sz="0"/>
            </w:tcBorders>
            <w:shd w:fill="FFFFFF" w:val="clear"/>
            <w:tcMar>
              <w:top w:type="dxa" w:w="100"/>
              <w:left w:type="dxa" w:w="200"/>
              <w:bottom w:type="dxa" w:w="100"/>
              <w:right w:type="dxa" w:w="120"/>
            </w:tcMar>
            <w:vAlign w:val="center"/>
          </w:tcPr>
          <w:p>
            <w:r>
              <w:rPr>
                <w:rFonts w:ascii="Arial" w:cs="Arial" w:eastAsia="Arial" w:hAnsi="Arial"/>
                <w:b/>
                <w:bCs/>
                <w:color w:val="0A1E3A"/>
                <w:sz w:val="28"/>
                <w:szCs w:val="28"/>
              </w:rPr>
              <w:t xml:space="preserve">Tool Requirements Summary</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Core Modules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000"/>
        <w:gridCol w:w="3160"/>
      </w:tblGrid>
      <w:tr>
        <w:tc>
          <w:tcPr>
            <w:tcW w:type="dxa" w:w="24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8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00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160"/>
            <w:tcBorders>
              <w:top w:val="single" w:color="007B6E" w:sz="1"/>
              <w:left w:val="single" w:color="007B6E" w:sz="1"/>
              <w:bottom w:val="single" w:color="007B6E" w:sz="1"/>
              <w:right w:val="single" w:color="007B6E" w:sz="1"/>
            </w:tcBorders>
            <w:shd w:fill="0A1E3A"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Program Dashboard</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Overview of phases, hypotheses, progress tracking</w:t>
            </w:r>
          </w:p>
        </w:tc>
        <w:tc>
          <w:tcPr>
            <w:tcW w:type="dxa" w:w="1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Static + manual updates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Interactive Stakeholder Network</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Force-directed graph visualization with node/edge detail</w:t>
            </w:r>
          </w:p>
        </w:tc>
        <w:tc>
          <w:tcPr>
            <w:tcW w:type="dxa" w:w="1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P0 — Hero Feature</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Pre-loaded + field data entry</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Funding Flows Diagram</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Sankey or flow chart of current and proposed funding channels</w:t>
            </w:r>
          </w:p>
        </w:tc>
        <w:tc>
          <w:tcPr>
            <w:tcW w:type="dxa" w:w="1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 field data</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Hypothesis Tracker</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Status dashboard for H1–H4 with evidence log</w:t>
            </w:r>
          </w:p>
        </w:tc>
        <w:tc>
          <w:tcPr>
            <w:tcW w:type="dxa" w:w="1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Field interview data</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Protocol</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Per-stakeholder question guide with note-taking fields</w:t>
            </w:r>
          </w:p>
        </w:tc>
        <w:tc>
          <w:tcPr>
            <w:tcW w:type="dxa" w:w="1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This PRD</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Case Study Browser</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Comparative case cards (Louisiana, Wildfire, Mangroves)</w:t>
            </w:r>
          </w:p>
        </w:tc>
        <w:tc>
          <w:tcPr>
            <w:tcW w:type="dxa" w:w="1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Static research data</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Ecosystem Economics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metrics, carbon data, value estimates</w:t>
            </w:r>
          </w:p>
        </w:tc>
        <w:tc>
          <w:tcPr>
            <w:tcW w:type="dxa" w:w="1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Literature + field</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Bottleneck Diagnostic</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Severity scoring interface for 5 bottleneck types</w:t>
            </w:r>
          </w:p>
        </w:tc>
        <w:tc>
          <w:tcPr>
            <w:tcW w:type="dxa" w:w="1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Post-field data entry</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Investor Psychology</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Typology cards with conversion data</w:t>
            </w:r>
          </w:p>
        </w:tc>
        <w:tc>
          <w:tcPr>
            <w:tcW w:type="dxa" w:w="1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synthesis</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Institutional Analysis</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Mechanism landscape with feasibility scores</w:t>
            </w:r>
          </w:p>
        </w:tc>
        <w:tc>
          <w:tcPr>
            <w:tcW w:type="dxa" w:w="1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Field + desk research</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 Data Editor</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Add/edit nodes and edges directly in the tool</w:t>
            </w:r>
          </w:p>
        </w:tc>
        <w:tc>
          <w:tcPr>
            <w:tcW w:type="dxa" w:w="1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input</w:t>
            </w:r>
          </w:p>
        </w:tc>
      </w:tr>
      <w:tr>
        <w:tc>
          <w:tcPr>
            <w:tcW w:type="dxa" w:w="24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Export</w:t>
            </w:r>
          </w:p>
        </w:tc>
        <w:tc>
          <w:tcPr>
            <w:tcW w:type="dxa" w:w="28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JSON graph export, PDF report generation</w:t>
            </w:r>
          </w:p>
        </w:tc>
        <w:tc>
          <w:tcPr>
            <w:tcW w:type="dxa" w:w="100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3160"/>
            <w:tcBorders>
              <w:top w:val="single" w:color="CCDDEE" w:sz="1"/>
              <w:left w:val="single" w:color="CCDDEE" w:sz="1"/>
              <w:bottom w:val="single" w:color="CCDDEE" w:sz="1"/>
              <w:right w:val="single" w:color="CCDDEE"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Tool output</w:t>
            </w:r>
          </w:p>
        </w:tc>
      </w:tr>
    </w:tbl>
    <w:p>
      <w:pPr>
        <w:spacing w:before="160" w:after="0"/>
      </w:pPr>
      <w:r>
        <w:t xml:space="preserve"/>
      </w:r>
    </w:p>
    <w:p>
      <w:pPr>
        <w:pStyle w:val="Heading2"/>
        <w:spacing w:before="320" w:after="120"/>
      </w:pPr>
      <w:r>
        <w:rPr>
          <w:rFonts w:ascii="Arial" w:cs="Arial" w:eastAsia="Arial" w:hAnsi="Arial"/>
          <w:b/>
          <w:bCs/>
          <w:color w:val="1E3A5F"/>
          <w:sz w:val="26"/>
          <w:szCs w:val="26"/>
        </w:rPr>
        <w:t xml:space="preserve">Stakeholder Network — Specific Requirements</w:t>
      </w:r>
    </w:p>
    <w:p>
      <w:pPr>
        <w:spacing w:before="60" w:after="80"/>
      </w:pPr>
      <w:r>
        <w:rPr>
          <w:rFonts w:ascii="Arial" w:cs="Arial" w:eastAsia="Arial" w:hAnsi="Arial"/>
          <w:b w:val="false"/>
          <w:bCs w:val="false"/>
          <w:i w:val="false"/>
          <w:iCs w:val="false"/>
          <w:color w:val="333333"/>
          <w:sz w:val="22"/>
          <w:szCs w:val="22"/>
        </w:rPr>
        <w:t xml:space="preserve">This module is the centerpiece of the tool and requires the most detailed specification:</w:t>
      </w:r>
    </w:p>
    <w:p>
      <w:pPr>
        <w:spacing w:before="8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Technology: D3.js force-directed graph (v7) with SVG rendering</w:t>
      </w:r>
    </w:p>
    <w:p>
      <w:pPr>
        <w:pStyle w:val="ListParagraph"/>
        <w:numPr>
          <w:ilvl w:val="0"/>
          <w:numId w:val="2"/>
        </w:numPr>
        <w:spacing w:before="40" w:after="40"/>
      </w:pPr>
      <w:r>
        <w:rPr>
          <w:rFonts w:ascii="Arial" w:cs="Arial" w:eastAsia="Arial" w:hAnsi="Arial"/>
          <w:color w:val="333333"/>
          <w:sz w:val="21"/>
          <w:szCs w:val="21"/>
        </w:rPr>
        <w:t xml:space="preserve">Layout: Force simulation with charge repulsion, link distance by relationship type, center gravity</w:t>
      </w:r>
    </w:p>
    <w:p>
      <w:pPr>
        <w:pStyle w:val="ListParagraph"/>
        <w:numPr>
          <w:ilvl w:val="0"/>
          <w:numId w:val="2"/>
        </w:numPr>
        <w:spacing w:before="40" w:after="40"/>
      </w:pPr>
      <w:r>
        <w:rPr>
          <w:rFonts w:ascii="Arial" w:cs="Arial" w:eastAsia="Arial" w:hAnsi="Arial"/>
          <w:color w:val="333333"/>
          <w:sz w:val="21"/>
          <w:szCs w:val="21"/>
        </w:rPr>
        <w:t xml:space="preserve">Node rendering: Circle size = relative importance (funding volume or dependency score); color = actor category; border = interview status (dashed = target, solid = confirmed, thick = completed)</w:t>
      </w:r>
    </w:p>
    <w:p>
      <w:pPr>
        <w:pStyle w:val="ListParagraph"/>
        <w:numPr>
          <w:ilvl w:val="0"/>
          <w:numId w:val="2"/>
        </w:numPr>
        <w:spacing w:before="40" w:after="40"/>
      </w:pPr>
      <w:r>
        <w:rPr>
          <w:rFonts w:ascii="Arial" w:cs="Arial" w:eastAsia="Arial" w:hAnsi="Arial"/>
          <w:color w:val="333333"/>
          <w:sz w:val="21"/>
          <w:szCs w:val="21"/>
        </w:rPr>
        <w:t xml:space="preserve">Edge rendering: Line weight = funding volume; style = relationship type (solid/dashed/dotted); animated pulse on active funding flows; color-coded by flow type</w:t>
      </w:r>
    </w:p>
    <w:p>
      <w:pPr>
        <w:pStyle w:val="ListParagraph"/>
        <w:numPr>
          <w:ilvl w:val="0"/>
          <w:numId w:val="2"/>
        </w:numPr>
        <w:spacing w:before="40" w:after="40"/>
      </w:pPr>
      <w:r>
        <w:rPr>
          <w:rFonts w:ascii="Arial" w:cs="Arial" w:eastAsia="Arial" w:hAnsi="Arial"/>
          <w:color w:val="333333"/>
          <w:sz w:val="21"/>
          <w:szCs w:val="21"/>
        </w:rPr>
        <w:t xml:space="preserve">Tooltip on hover: Actor name, category, dependency score, willingness score, interview status, top quote</w:t>
      </w:r>
    </w:p>
    <w:p>
      <w:pPr>
        <w:pStyle w:val="ListParagraph"/>
        <w:numPr>
          <w:ilvl w:val="0"/>
          <w:numId w:val="2"/>
        </w:numPr>
        <w:spacing w:before="40" w:after="40"/>
      </w:pPr>
      <w:r>
        <w:rPr>
          <w:rFonts w:ascii="Arial" w:cs="Arial" w:eastAsia="Arial" w:hAnsi="Arial"/>
          <w:color w:val="333333"/>
          <w:sz w:val="21"/>
          <w:szCs w:val="21"/>
        </w:rPr>
        <w:t xml:space="preserve">Click to expand: Full actor profile panel slides in from right — all properties, related edges, interview notes field</w:t>
      </w:r>
    </w:p>
    <w:p>
      <w:pPr>
        <w:pStyle w:val="ListParagraph"/>
        <w:numPr>
          <w:ilvl w:val="0"/>
          <w:numId w:val="2"/>
        </w:numPr>
        <w:spacing w:before="40" w:after="40"/>
      </w:pPr>
      <w:r>
        <w:rPr>
          <w:rFonts w:ascii="Arial" w:cs="Arial" w:eastAsia="Arial" w:hAnsi="Arial"/>
          <w:color w:val="333333"/>
          <w:sz w:val="21"/>
          <w:szCs w:val="21"/>
        </w:rPr>
        <w:t xml:space="preserve">Filter controls: By actor category, by relationship type, by interview status, by dependency score range</w:t>
      </w:r>
    </w:p>
    <w:p>
      <w:pPr>
        <w:pStyle w:val="ListParagraph"/>
        <w:numPr>
          <w:ilvl w:val="0"/>
          <w:numId w:val="2"/>
        </w:numPr>
        <w:spacing w:before="40" w:after="40"/>
      </w:pPr>
      <w:r>
        <w:rPr>
          <w:rFonts w:ascii="Arial" w:cs="Arial" w:eastAsia="Arial" w:hAnsi="Arial"/>
          <w:color w:val="333333"/>
          <w:sz w:val="21"/>
          <w:szCs w:val="21"/>
        </w:rPr>
        <w:t xml:space="preserve">Path highlight: Select two nodes to highlight the chain of relationships between them</w:t>
      </w:r>
    </w:p>
    <w:p>
      <w:pPr>
        <w:pStyle w:val="ListParagraph"/>
        <w:numPr>
          <w:ilvl w:val="0"/>
          <w:numId w:val="2"/>
        </w:numPr>
        <w:spacing w:before="40" w:after="40"/>
      </w:pPr>
      <w:r>
        <w:rPr>
          <w:rFonts w:ascii="Arial" w:cs="Arial" w:eastAsia="Arial" w:hAnsi="Arial"/>
          <w:color w:val="333333"/>
          <w:sz w:val="21"/>
          <w:szCs w:val="21"/>
        </w:rPr>
        <w:t xml:space="preserve">Edit mode: Toggle to add new nodes and draw edges (for post-field data entry)</w:t>
      </w:r>
    </w:p>
    <w:p>
      <w:pPr>
        <w:pStyle w:val="ListParagraph"/>
        <w:numPr>
          <w:ilvl w:val="0"/>
          <w:numId w:val="2"/>
        </w:numPr>
        <w:spacing w:before="40" w:after="40"/>
      </w:pPr>
      <w:r>
        <w:rPr>
          <w:rFonts w:ascii="Arial" w:cs="Arial" w:eastAsia="Arial" w:hAnsi="Arial"/>
          <w:color w:val="333333"/>
          <w:sz w:val="21"/>
          <w:szCs w:val="21"/>
        </w:rPr>
        <w:t xml:space="preserve">Legend: Always visible; explains node colors, edge styles, size encoding</w:t>
      </w:r>
    </w:p>
    <w:p>
      <w:pPr>
        <w:spacing w:before="160" w:after="0"/>
      </w:pPr>
      <w:r>
        <w:t xml:space="preserve"/>
      </w:r>
    </w:p>
    <w:p>
      <w:pPr>
        <w:pStyle w:val="Heading2"/>
        <w:spacing w:before="320" w:after="120"/>
      </w:pPr>
      <w:r>
        <w:rPr>
          <w:rFonts w:ascii="Arial" w:cs="Arial" w:eastAsia="Arial" w:hAnsi="Arial"/>
          <w:b/>
          <w:bCs/>
          <w:color w:val="1E3A5F"/>
          <w:sz w:val="26"/>
          <w:szCs w:val="26"/>
        </w:rPr>
        <w:t xml:space="preserve">Success Criteria</w:t>
      </w:r>
    </w:p>
    <w:p>
      <w:pPr>
        <w:spacing w:before="60" w:after="80"/>
      </w:pPr>
      <w:r>
        <w:rPr>
          <w:rFonts w:ascii="Arial" w:cs="Arial" w:eastAsia="Arial" w:hAnsi="Arial"/>
          <w:b w:val="false"/>
          <w:bCs w:val="false"/>
          <w:i w:val="false"/>
          <w:iCs w:val="false"/>
          <w:color w:val="333333"/>
          <w:sz w:val="22"/>
          <w:szCs w:val="22"/>
        </w:rPr>
        <w:t xml:space="preserve">The tool is successful if, at the end of the Indonesia trip, the team can:</w:t>
      </w:r>
    </w:p>
    <w:p>
      <w:pPr>
        <w:spacing w:before="60" w:after="0"/>
      </w:pPr>
      <w:r>
        <w:t xml:space="preserve"/>
      </w:r>
    </w:p>
    <w:p>
      <w:pPr>
        <w:pStyle w:val="ListParagraph"/>
        <w:numPr>
          <w:ilvl w:val="0"/>
          <w:numId w:val="2"/>
        </w:numPr>
        <w:spacing w:before="40" w:after="40"/>
      </w:pPr>
      <w:r>
        <w:rPr>
          <w:rFonts w:ascii="Arial" w:cs="Arial" w:eastAsia="Arial" w:hAnsi="Arial"/>
          <w:color w:val="333333"/>
          <w:sz w:val="21"/>
          <w:szCs w:val="21"/>
        </w:rPr>
        <w:t xml:space="preserve">Open the stakeholder network and show every interviewed stakeholder as a completed node with real quotes and scores</w:t>
      </w:r>
    </w:p>
    <w:p>
      <w:pPr>
        <w:pStyle w:val="ListParagraph"/>
        <w:numPr>
          <w:ilvl w:val="0"/>
          <w:numId w:val="2"/>
        </w:numPr>
        <w:spacing w:before="40" w:after="40"/>
      </w:pPr>
      <w:r>
        <w:rPr>
          <w:rFonts w:ascii="Arial" w:cs="Arial" w:eastAsia="Arial" w:hAnsi="Arial"/>
          <w:color w:val="333333"/>
          <w:sz w:val="21"/>
          <w:szCs w:val="21"/>
        </w:rPr>
        <w:t xml:space="preserve">Point to the specific bottleneck that dominates based on interview data — not a theoretical list, a ranked finding</w:t>
      </w:r>
    </w:p>
    <w:p>
      <w:pPr>
        <w:pStyle w:val="ListParagraph"/>
        <w:numPr>
          <w:ilvl w:val="0"/>
          <w:numId w:val="2"/>
        </w:numPr>
        <w:spacing w:before="40" w:after="40"/>
      </w:pPr>
      <w:r>
        <w:rPr>
          <w:rFonts w:ascii="Arial" w:cs="Arial" w:eastAsia="Arial" w:hAnsi="Arial"/>
          <w:color w:val="333333"/>
          <w:sz w:val="21"/>
          <w:szCs w:val="21"/>
        </w:rPr>
        <w:t xml:space="preserve">Articulate one or two institutional mechanisms that field evidence suggests are most feasible, with the stakeholder logic that supports them</w:t>
      </w:r>
    </w:p>
    <w:p>
      <w:pPr>
        <w:pStyle w:val="ListParagraph"/>
        <w:numPr>
          <w:ilvl w:val="0"/>
          <w:numId w:val="2"/>
        </w:numPr>
        <w:spacing w:before="40" w:after="40"/>
      </w:pPr>
      <w:r>
        <w:rPr>
          <w:rFonts w:ascii="Arial" w:cs="Arial" w:eastAsia="Arial" w:hAnsi="Arial"/>
          <w:color w:val="333333"/>
          <w:sz w:val="21"/>
          <w:szCs w:val="21"/>
        </w:rPr>
        <w:t xml:space="preserve">Produce a first draft of the financing gap diagnostic framework using the analytical structure from this PRD</w:t>
      </w:r>
    </w:p>
    <w:p>
      <w:pPr>
        <w:spacing w:before="200" w:after="0"/>
      </w:pPr>
      <w:r>
        <w:t xml:space="preserve"/>
      </w:r>
    </w:p>
    <w:p>
      <w:pPr>
        <w:pBdr>
          <w:bottom w:val="single" w:color="007B6E" w:sz="4" w:space="1"/>
        </w:pBdr>
        <w:spacing w:before="80" w:after="80"/>
      </w:pPr>
      <w:r>
        <w:t xml:space="preserve"/>
      </w:r>
    </w:p>
    <w:p>
      <w:pPr>
        <w:spacing w:before="80" w:after="0"/>
      </w:pPr>
      <w:r>
        <w:t xml:space="preserve"/>
      </w:r>
    </w:p>
    <w:p>
      <w:pPr>
        <w:jc w:val="center"/>
      </w:pPr>
      <w:r>
        <w:rPr>
          <w:rFonts w:ascii="Arial" w:cs="Arial" w:eastAsia="Arial" w:hAnsi="Arial"/>
          <w:color w:val="4A7A95"/>
          <w:sz w:val="18"/>
          <w:szCs w:val="18"/>
        </w:rPr>
        <w:t xml:space="preserve">Indonesia Coral Research — Internal Research Tool PRD  |  Version 1.0  |  March 2026</w:t>
      </w:r>
    </w:p>
    <w:p>
      <w:pPr>
        <w:spacing w:before="40"/>
        <w:jc w:val="center"/>
      </w:pPr>
      <w:r>
        <w:rPr>
          <w:rFonts w:ascii="Arial" w:cs="Arial" w:eastAsia="Arial" w:hAnsi="Arial"/>
          <w:i/>
          <w:iCs/>
          <w:color w:val="4A7A95"/>
          <w:sz w:val="18"/>
          <w:szCs w:val="18"/>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E3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2026-03-11T19:59:09.618Z</dcterms:created>
  <dcterms:modified xsi:type="dcterms:W3CDTF">2026-03-11T19:59:09.619Z</dcterms:modified>
</cp:coreProperties>
</file>

<file path=docProps/custom.xml><?xml version="1.0" encoding="utf-8"?>
<Properties xmlns="http://schemas.openxmlformats.org/officeDocument/2006/custom-properties" xmlns:vt="http://schemas.openxmlformats.org/officeDocument/2006/docPropsVTypes"/>
</file>