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05185">
      <w:pPr>
        <w:pStyle w:val="2"/>
        <w:snapToGrid w:val="0"/>
        <w:spacing w:line="360" w:lineRule="auto"/>
        <w:ind w:firstLine="360" w:firstLineChars="100"/>
        <w:jc w:val="center"/>
        <w:rPr>
          <w:rFonts w:ascii="黑体" w:hAnsi="黑体" w:eastAsia="黑体"/>
          <w:kern w:val="2"/>
          <w:sz w:val="36"/>
          <w:szCs w:val="36"/>
          <w:lang w:eastAsia="zh-CN"/>
        </w:rPr>
      </w:pPr>
      <w:r>
        <w:rPr>
          <w:rFonts w:hint="eastAsia" w:ascii="黑体" w:hAnsi="黑体" w:eastAsia="黑体"/>
          <w:kern w:val="2"/>
          <w:sz w:val="36"/>
          <w:szCs w:val="36"/>
        </w:rPr>
        <w:t>任务书</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4"/>
        <w:gridCol w:w="2621"/>
        <w:gridCol w:w="1320"/>
        <w:gridCol w:w="3897"/>
      </w:tblGrid>
      <w:tr w14:paraId="1ECF7C21">
        <w:trPr>
          <w:trHeight w:val="495" w:hRule="atLeast"/>
          <w:jc w:val="center"/>
        </w:trPr>
        <w:tc>
          <w:tcPr>
            <w:tcW w:w="0" w:type="auto"/>
            <w:vAlign w:val="center"/>
          </w:tcPr>
          <w:p w14:paraId="28754E8A">
            <w:pPr>
              <w:rPr>
                <w:rFonts w:ascii="宋体" w:hAnsi="宋体"/>
                <w:sz w:val="22"/>
                <w:szCs w:val="24"/>
              </w:rPr>
            </w:pPr>
            <w:r>
              <w:rPr>
                <w:rFonts w:hint="eastAsia" w:ascii="宋体" w:hAnsi="宋体"/>
                <w:sz w:val="22"/>
                <w:szCs w:val="24"/>
              </w:rPr>
              <w:t>题目</w:t>
            </w:r>
          </w:p>
        </w:tc>
        <w:tc>
          <w:tcPr>
            <w:tcW w:w="0" w:type="auto"/>
            <w:gridSpan w:val="3"/>
            <w:vAlign w:val="center"/>
          </w:tcPr>
          <w:p w14:paraId="4A4261C9">
            <w:pPr>
              <w:rPr>
                <w:rFonts w:hint="default" w:ascii="宋体" w:hAnsi="宋体" w:eastAsia="宋体"/>
                <w:sz w:val="22"/>
                <w:szCs w:val="24"/>
                <w:lang w:val="en-US" w:eastAsia="zh-CN"/>
              </w:rPr>
            </w:pPr>
            <w:r>
              <w:rPr>
                <w:rFonts w:hint="eastAsia" w:ascii="宋体" w:hAnsi="宋体"/>
                <w:sz w:val="22"/>
                <w:szCs w:val="24"/>
                <w:lang w:val="en-US" w:eastAsia="zh-CN"/>
              </w:rPr>
              <w:t>面向分子生成与药物发现的多模态分子数据库平台</w:t>
            </w:r>
          </w:p>
        </w:tc>
      </w:tr>
      <w:tr w14:paraId="34185F69">
        <w:trPr>
          <w:trHeight w:val="432" w:hRule="atLeast"/>
          <w:jc w:val="center"/>
        </w:trPr>
        <w:tc>
          <w:tcPr>
            <w:tcW w:w="0" w:type="auto"/>
            <w:vAlign w:val="center"/>
          </w:tcPr>
          <w:p w14:paraId="08059687">
            <w:pPr>
              <w:rPr>
                <w:rFonts w:ascii="宋体" w:hAnsi="宋体"/>
                <w:sz w:val="22"/>
                <w:szCs w:val="24"/>
              </w:rPr>
            </w:pPr>
            <w:r>
              <w:rPr>
                <w:rFonts w:hint="eastAsia" w:ascii="宋体" w:hAnsi="宋体"/>
                <w:sz w:val="22"/>
                <w:szCs w:val="24"/>
              </w:rPr>
              <w:t>姓名</w:t>
            </w:r>
          </w:p>
        </w:tc>
        <w:tc>
          <w:tcPr>
            <w:tcW w:w="0" w:type="auto"/>
            <w:vAlign w:val="center"/>
          </w:tcPr>
          <w:p w14:paraId="429C4557">
            <w:pPr>
              <w:rPr>
                <w:rFonts w:hint="default" w:ascii="宋体" w:hAnsi="宋体" w:eastAsia="宋体"/>
                <w:sz w:val="22"/>
                <w:szCs w:val="24"/>
                <w:lang w:val="en-US" w:eastAsia="zh-CN"/>
              </w:rPr>
            </w:pPr>
            <w:r>
              <w:rPr>
                <w:rFonts w:hint="eastAsia" w:ascii="宋体" w:hAnsi="宋体"/>
                <w:sz w:val="22"/>
                <w:szCs w:val="24"/>
                <w:lang w:val="en-US" w:eastAsia="zh-CN"/>
              </w:rPr>
              <w:t>马嘉昱</w:t>
            </w:r>
          </w:p>
        </w:tc>
        <w:tc>
          <w:tcPr>
            <w:tcW w:w="0" w:type="auto"/>
            <w:vAlign w:val="center"/>
          </w:tcPr>
          <w:p w14:paraId="32BD713E">
            <w:pPr>
              <w:rPr>
                <w:rFonts w:ascii="宋体" w:hAnsi="宋体"/>
                <w:sz w:val="22"/>
                <w:szCs w:val="24"/>
              </w:rPr>
            </w:pPr>
            <w:r>
              <w:rPr>
                <w:rFonts w:hint="eastAsia" w:ascii="宋体" w:hAnsi="宋体"/>
                <w:sz w:val="22"/>
                <w:szCs w:val="24"/>
              </w:rPr>
              <w:t>学号</w:t>
            </w:r>
          </w:p>
        </w:tc>
        <w:tc>
          <w:tcPr>
            <w:tcW w:w="0" w:type="auto"/>
            <w:vAlign w:val="center"/>
          </w:tcPr>
          <w:p w14:paraId="0418305B">
            <w:pPr>
              <w:rPr>
                <w:rFonts w:hint="default" w:ascii="宋体" w:hAnsi="宋体" w:eastAsia="宋体"/>
                <w:sz w:val="22"/>
                <w:szCs w:val="24"/>
                <w:lang w:val="en-US" w:eastAsia="zh-CN"/>
              </w:rPr>
            </w:pPr>
            <w:r>
              <w:rPr>
                <w:rFonts w:hint="eastAsia" w:ascii="宋体" w:hAnsi="宋体"/>
                <w:sz w:val="22"/>
                <w:szCs w:val="24"/>
                <w:lang w:val="en-US" w:eastAsia="zh-CN"/>
              </w:rPr>
              <w:t>37220222203719</w:t>
            </w:r>
          </w:p>
        </w:tc>
      </w:tr>
      <w:tr w14:paraId="19B4B94E">
        <w:trPr>
          <w:trHeight w:val="395" w:hRule="atLeast"/>
          <w:jc w:val="center"/>
        </w:trPr>
        <w:tc>
          <w:tcPr>
            <w:tcW w:w="0" w:type="auto"/>
            <w:vAlign w:val="center"/>
          </w:tcPr>
          <w:p w14:paraId="7EFC393B">
            <w:pPr>
              <w:rPr>
                <w:rFonts w:ascii="宋体" w:hAnsi="宋体"/>
                <w:sz w:val="22"/>
                <w:szCs w:val="24"/>
              </w:rPr>
            </w:pPr>
            <w:r>
              <w:rPr>
                <w:rFonts w:hint="eastAsia" w:ascii="宋体" w:hAnsi="宋体"/>
                <w:sz w:val="22"/>
                <w:szCs w:val="24"/>
              </w:rPr>
              <w:t>指导</w:t>
            </w:r>
          </w:p>
          <w:p w14:paraId="36F0E7BE">
            <w:pPr>
              <w:rPr>
                <w:rFonts w:ascii="宋体" w:hAnsi="宋体"/>
                <w:sz w:val="22"/>
                <w:szCs w:val="24"/>
              </w:rPr>
            </w:pPr>
            <w:r>
              <w:rPr>
                <w:rFonts w:ascii="宋体" w:hAnsi="宋体"/>
                <w:sz w:val="22"/>
                <w:szCs w:val="24"/>
              </w:rPr>
              <w:t>教师</w:t>
            </w:r>
          </w:p>
        </w:tc>
        <w:tc>
          <w:tcPr>
            <w:tcW w:w="0" w:type="auto"/>
            <w:vAlign w:val="center"/>
          </w:tcPr>
          <w:p w14:paraId="3A0FA765">
            <w:pPr>
              <w:rPr>
                <w:rFonts w:hint="default" w:ascii="宋体" w:hAnsi="宋体" w:eastAsia="宋体"/>
                <w:sz w:val="22"/>
                <w:szCs w:val="24"/>
                <w:lang w:val="en-US" w:eastAsia="zh-CN"/>
              </w:rPr>
            </w:pPr>
            <w:r>
              <w:rPr>
                <w:rFonts w:hint="eastAsia" w:ascii="宋体" w:hAnsi="宋体"/>
                <w:sz w:val="22"/>
                <w:szCs w:val="24"/>
                <w:lang w:val="en-US" w:eastAsia="zh-CN"/>
              </w:rPr>
              <w:t>张仲楠</w:t>
            </w:r>
          </w:p>
        </w:tc>
        <w:tc>
          <w:tcPr>
            <w:tcW w:w="0" w:type="auto"/>
            <w:vAlign w:val="center"/>
          </w:tcPr>
          <w:p w14:paraId="4961C8FA">
            <w:pPr>
              <w:rPr>
                <w:rFonts w:ascii="宋体" w:hAnsi="宋体"/>
                <w:sz w:val="22"/>
                <w:szCs w:val="24"/>
              </w:rPr>
            </w:pPr>
            <w:r>
              <w:rPr>
                <w:rFonts w:hint="eastAsia" w:ascii="宋体" w:hAnsi="宋体"/>
                <w:sz w:val="22"/>
                <w:szCs w:val="24"/>
              </w:rPr>
              <w:t>职称</w:t>
            </w:r>
          </w:p>
        </w:tc>
        <w:tc>
          <w:tcPr>
            <w:tcW w:w="0" w:type="auto"/>
            <w:vAlign w:val="center"/>
          </w:tcPr>
          <w:p w14:paraId="42913CB9">
            <w:pPr>
              <w:rPr>
                <w:rFonts w:hint="eastAsia" w:ascii="宋体" w:hAnsi="宋体" w:eastAsia="宋体"/>
                <w:sz w:val="22"/>
                <w:szCs w:val="24"/>
                <w:lang w:val="en-US" w:eastAsia="zh-CN"/>
              </w:rPr>
            </w:pPr>
            <w:r>
              <w:rPr>
                <w:rFonts w:hint="eastAsia" w:ascii="宋体" w:hAnsi="宋体"/>
                <w:sz w:val="22"/>
                <w:szCs w:val="24"/>
                <w:lang w:val="en-US" w:eastAsia="zh-CN"/>
              </w:rPr>
              <w:t>教授</w:t>
            </w:r>
          </w:p>
        </w:tc>
      </w:tr>
      <w:tr w14:paraId="70B22B1B">
        <w:trPr>
          <w:trHeight w:val="432" w:hRule="atLeast"/>
          <w:jc w:val="center"/>
        </w:trPr>
        <w:tc>
          <w:tcPr>
            <w:tcW w:w="0" w:type="auto"/>
            <w:vAlign w:val="center"/>
          </w:tcPr>
          <w:p w14:paraId="2D5A3795">
            <w:pPr>
              <w:rPr>
                <w:rFonts w:ascii="宋体" w:hAnsi="宋体"/>
                <w:sz w:val="22"/>
                <w:szCs w:val="24"/>
              </w:rPr>
            </w:pPr>
            <w:r>
              <w:rPr>
                <w:rFonts w:hint="eastAsia" w:ascii="宋体" w:hAnsi="宋体"/>
                <w:sz w:val="22"/>
                <w:szCs w:val="24"/>
              </w:rPr>
              <w:t xml:space="preserve">类型  </w:t>
            </w:r>
          </w:p>
        </w:tc>
        <w:tc>
          <w:tcPr>
            <w:tcW w:w="0" w:type="auto"/>
            <w:vAlign w:val="center"/>
          </w:tcPr>
          <w:p w14:paraId="25B315B0">
            <w:pPr>
              <w:rPr>
                <w:rFonts w:ascii="宋体" w:hAnsi="宋体"/>
                <w:sz w:val="22"/>
                <w:szCs w:val="24"/>
              </w:rPr>
            </w:pPr>
            <w:r>
              <w:rPr>
                <w:rFonts w:hint="eastAsia" w:ascii="宋体" w:hAnsi="宋体"/>
                <w:sz w:val="22"/>
                <w:szCs w:val="24"/>
                <w:lang w:eastAsia="zh-CN"/>
              </w:rPr>
              <w:t>☑</w:t>
            </w:r>
            <w:r>
              <w:rPr>
                <w:rFonts w:hint="eastAsia" w:ascii="宋体" w:hAnsi="宋体"/>
                <w:sz w:val="22"/>
                <w:szCs w:val="24"/>
              </w:rPr>
              <w:t xml:space="preserve">论文 </w:t>
            </w:r>
            <w:r>
              <w:rPr>
                <w:rFonts w:ascii="宋体" w:hAnsi="宋体"/>
                <w:sz w:val="22"/>
                <w:szCs w:val="24"/>
              </w:rPr>
              <w:t xml:space="preserve">    </w:t>
            </w:r>
            <w:r>
              <w:rPr>
                <w:rFonts w:hint="eastAsia" w:ascii="宋体" w:hAnsi="宋体"/>
                <w:sz w:val="22"/>
                <w:szCs w:val="24"/>
              </w:rPr>
              <w:t xml:space="preserve"> □设计</w:t>
            </w:r>
          </w:p>
        </w:tc>
        <w:tc>
          <w:tcPr>
            <w:tcW w:w="0" w:type="auto"/>
            <w:vAlign w:val="center"/>
          </w:tcPr>
          <w:p w14:paraId="59A1C44D">
            <w:pPr>
              <w:rPr>
                <w:rFonts w:ascii="宋体" w:hAnsi="宋体"/>
                <w:sz w:val="22"/>
                <w:szCs w:val="24"/>
              </w:rPr>
            </w:pPr>
            <w:r>
              <w:rPr>
                <w:rFonts w:hint="eastAsia" w:ascii="宋体" w:hAnsi="宋体"/>
                <w:sz w:val="22"/>
                <w:szCs w:val="24"/>
              </w:rPr>
              <w:t>写作</w:t>
            </w:r>
            <w:r>
              <w:rPr>
                <w:rFonts w:ascii="宋体" w:hAnsi="宋体"/>
                <w:sz w:val="22"/>
                <w:szCs w:val="24"/>
              </w:rPr>
              <w:t>语言</w:t>
            </w:r>
          </w:p>
        </w:tc>
        <w:tc>
          <w:tcPr>
            <w:tcW w:w="0" w:type="auto"/>
            <w:vAlign w:val="center"/>
          </w:tcPr>
          <w:p w14:paraId="4C3EEB70">
            <w:pPr>
              <w:rPr>
                <w:rFonts w:ascii="宋体" w:hAnsi="宋体"/>
                <w:sz w:val="22"/>
                <w:szCs w:val="24"/>
              </w:rPr>
            </w:pPr>
            <w:r>
              <w:rPr>
                <w:rFonts w:hint="eastAsia" w:ascii="宋体" w:hAnsi="宋体"/>
                <w:sz w:val="22"/>
                <w:szCs w:val="24"/>
                <w:lang w:eastAsia="zh-CN"/>
              </w:rPr>
              <w:t>☑</w:t>
            </w:r>
            <w:r>
              <w:rPr>
                <w:rFonts w:hint="eastAsia" w:ascii="宋体" w:hAnsi="宋体"/>
                <w:sz w:val="22"/>
                <w:szCs w:val="24"/>
              </w:rPr>
              <w:t xml:space="preserve">中文 </w:t>
            </w:r>
            <w:r>
              <w:rPr>
                <w:rFonts w:ascii="宋体" w:hAnsi="宋体"/>
                <w:sz w:val="22"/>
                <w:szCs w:val="24"/>
              </w:rPr>
              <w:t xml:space="preserve">     </w:t>
            </w:r>
            <w:r>
              <w:rPr>
                <w:rFonts w:hint="eastAsia" w:ascii="宋体" w:hAnsi="宋体"/>
                <w:sz w:val="22"/>
                <w:szCs w:val="24"/>
              </w:rPr>
              <w:t>□其他______</w:t>
            </w:r>
          </w:p>
        </w:tc>
      </w:tr>
      <w:tr w14:paraId="4F87C0EC">
        <w:trPr>
          <w:trHeight w:val="465" w:hRule="atLeast"/>
          <w:jc w:val="center"/>
        </w:trPr>
        <w:tc>
          <w:tcPr>
            <w:tcW w:w="0" w:type="auto"/>
            <w:vAlign w:val="center"/>
          </w:tcPr>
          <w:p w14:paraId="68C66F4D">
            <w:pPr>
              <w:rPr>
                <w:rFonts w:ascii="宋体" w:hAnsi="宋体"/>
                <w:sz w:val="22"/>
                <w:szCs w:val="24"/>
              </w:rPr>
            </w:pPr>
            <w:r>
              <w:rPr>
                <w:rFonts w:hint="eastAsia" w:ascii="宋体" w:hAnsi="宋体"/>
                <w:sz w:val="22"/>
                <w:szCs w:val="24"/>
              </w:rPr>
              <w:t>来源</w:t>
            </w:r>
          </w:p>
        </w:tc>
        <w:tc>
          <w:tcPr>
            <w:tcW w:w="0" w:type="auto"/>
            <w:vAlign w:val="center"/>
          </w:tcPr>
          <w:p w14:paraId="170C776E">
            <w:pPr>
              <w:jc w:val="center"/>
              <w:rPr>
                <w:rFonts w:ascii="宋体" w:hAnsi="宋体"/>
                <w:sz w:val="22"/>
                <w:szCs w:val="24"/>
              </w:rPr>
            </w:pPr>
            <w:r>
              <w:rPr>
                <w:rFonts w:hint="eastAsia" w:ascii="宋体" w:hAnsi="宋体"/>
                <w:sz w:val="22"/>
                <w:szCs w:val="24"/>
                <w:lang w:eastAsia="zh-CN"/>
              </w:rPr>
              <w:t>☑</w:t>
            </w:r>
            <w:r>
              <w:rPr>
                <w:rFonts w:hint="eastAsia" w:ascii="宋体" w:hAnsi="宋体"/>
                <w:sz w:val="22"/>
                <w:szCs w:val="24"/>
              </w:rPr>
              <w:t>纵向项目  □横向项目</w:t>
            </w:r>
          </w:p>
          <w:p w14:paraId="3C379479">
            <w:pPr>
              <w:jc w:val="center"/>
              <w:rPr>
                <w:rFonts w:ascii="宋体" w:hAnsi="宋体"/>
                <w:sz w:val="22"/>
                <w:szCs w:val="24"/>
              </w:rPr>
            </w:pPr>
            <w:r>
              <w:rPr>
                <w:rFonts w:hint="eastAsia" w:ascii="宋体" w:hAnsi="宋体"/>
                <w:sz w:val="22"/>
                <w:szCs w:val="24"/>
              </w:rPr>
              <w:t>□其它</w:t>
            </w:r>
          </w:p>
        </w:tc>
        <w:tc>
          <w:tcPr>
            <w:tcW w:w="0" w:type="auto"/>
            <w:vAlign w:val="center"/>
          </w:tcPr>
          <w:p w14:paraId="7383B312">
            <w:pPr>
              <w:rPr>
                <w:rFonts w:ascii="宋体" w:hAnsi="宋体"/>
                <w:sz w:val="22"/>
                <w:szCs w:val="24"/>
              </w:rPr>
            </w:pPr>
            <w:r>
              <w:rPr>
                <w:rFonts w:hint="eastAsia" w:ascii="宋体" w:hAnsi="宋体"/>
                <w:sz w:val="22"/>
                <w:szCs w:val="24"/>
              </w:rPr>
              <w:t>选题方式</w:t>
            </w:r>
          </w:p>
        </w:tc>
        <w:tc>
          <w:tcPr>
            <w:tcW w:w="0" w:type="auto"/>
            <w:vAlign w:val="center"/>
          </w:tcPr>
          <w:p w14:paraId="78C59FD2">
            <w:pPr>
              <w:rPr>
                <w:rFonts w:ascii="宋体" w:hAnsi="宋体"/>
                <w:sz w:val="22"/>
                <w:szCs w:val="24"/>
              </w:rPr>
            </w:pPr>
            <w:r>
              <w:rPr>
                <w:rFonts w:hint="eastAsia" w:ascii="宋体" w:hAnsi="宋体"/>
                <w:sz w:val="22"/>
                <w:szCs w:val="24"/>
                <w:lang w:eastAsia="zh-CN"/>
              </w:rPr>
              <w:t>☑</w:t>
            </w:r>
            <w:r>
              <w:rPr>
                <w:rFonts w:hint="eastAsia" w:ascii="宋体" w:hAnsi="宋体"/>
                <w:sz w:val="22"/>
                <w:szCs w:val="24"/>
              </w:rPr>
              <w:t>导师指定  □自选</w:t>
            </w:r>
          </w:p>
        </w:tc>
      </w:tr>
      <w:tr w14:paraId="224C70B1">
        <w:trPr>
          <w:cantSplit/>
          <w:trHeight w:val="12850" w:hRule="atLeast"/>
          <w:jc w:val="center"/>
        </w:trPr>
        <w:tc>
          <w:tcPr>
            <w:tcW w:w="0" w:type="auto"/>
            <w:textDirection w:val="tbRlV"/>
            <w:vAlign w:val="center"/>
          </w:tcPr>
          <w:p w14:paraId="4612833B">
            <w:pPr>
              <w:spacing w:line="360" w:lineRule="auto"/>
              <w:ind w:left="113" w:right="113"/>
              <w:jc w:val="center"/>
              <w:rPr>
                <w:rFonts w:ascii="宋体" w:hAnsi="宋体"/>
                <w:sz w:val="22"/>
                <w:szCs w:val="24"/>
              </w:rPr>
            </w:pPr>
            <w:r>
              <w:rPr>
                <w:rFonts w:hint="eastAsia" w:ascii="宋体" w:hAnsi="宋体"/>
                <w:sz w:val="22"/>
                <w:szCs w:val="24"/>
              </w:rPr>
              <w:t>论文写作</w:t>
            </w:r>
            <w:r>
              <w:rPr>
                <w:rFonts w:ascii="宋体" w:hAnsi="宋体"/>
                <w:sz w:val="22"/>
                <w:szCs w:val="24"/>
              </w:rPr>
              <w:t>要求</w:t>
            </w:r>
          </w:p>
        </w:tc>
        <w:tc>
          <w:tcPr>
            <w:tcW w:w="0" w:type="auto"/>
            <w:gridSpan w:val="3"/>
          </w:tcPr>
          <w:p w14:paraId="28430335">
            <w:pPr>
              <w:spacing w:line="360" w:lineRule="auto"/>
              <w:rPr>
                <w:rFonts w:ascii="宋体" w:hAnsi="宋体" w:cs="宋体"/>
                <w:w w:val="95"/>
                <w:sz w:val="24"/>
                <w:szCs w:val="24"/>
              </w:rPr>
            </w:pPr>
            <w:r>
              <w:rPr>
                <w:rFonts w:hint="eastAsia" w:ascii="宋体" w:hAnsi="宋体" w:cs="宋体"/>
                <w:w w:val="95"/>
                <w:sz w:val="24"/>
                <w:szCs w:val="24"/>
              </w:rPr>
              <w:t>本论文的写作要求如下：</w:t>
            </w:r>
          </w:p>
          <w:p w14:paraId="4C966E50">
            <w:pPr>
              <w:spacing w:line="360" w:lineRule="auto"/>
              <w:rPr>
                <w:rFonts w:hint="eastAsia" w:ascii="宋体" w:hAnsi="宋体" w:cs="宋体"/>
                <w:w w:val="95"/>
                <w:sz w:val="24"/>
                <w:szCs w:val="24"/>
              </w:rPr>
            </w:pPr>
            <w:r>
              <w:rPr>
                <w:rFonts w:hint="eastAsia" w:ascii="宋体" w:hAnsi="宋体" w:cs="宋体"/>
                <w:w w:val="95"/>
                <w:sz w:val="24"/>
                <w:szCs w:val="24"/>
              </w:rPr>
              <w:t>第一章：绪论。</w:t>
            </w:r>
          </w:p>
          <w:p w14:paraId="5937EF11">
            <w:pPr>
              <w:spacing w:line="360" w:lineRule="auto"/>
              <w:ind w:firstLine="456" w:firstLineChars="200"/>
              <w:rPr>
                <w:rFonts w:hint="eastAsia" w:ascii="宋体" w:hAnsi="宋体" w:cs="宋体"/>
                <w:w w:val="95"/>
                <w:sz w:val="24"/>
                <w:szCs w:val="24"/>
                <w:lang w:val="en-US" w:eastAsia="zh-CN"/>
              </w:rPr>
            </w:pPr>
            <w:r>
              <w:rPr>
                <w:rFonts w:hint="eastAsia" w:ascii="宋体" w:hAnsi="宋体" w:cs="宋体"/>
                <w:w w:val="95"/>
                <w:sz w:val="24"/>
                <w:szCs w:val="24"/>
                <w:lang w:val="en-US" w:eastAsia="zh-CN"/>
              </w:rPr>
              <w:t>随着人工智能技术在药物研发（AIDD）领域的深度渗透，高质量的多模态分子数据已成为决定深度学习模型性能的核心瓶颈。当前分子数据面临来源分散、格式冗余、模态不对齐等挑战，不同数据库间的“数据孤岛”现象导致研究者难以同时获取分子的序列、三维构象及高置信度的生物活性标签。</w:t>
            </w:r>
          </w:p>
          <w:p w14:paraId="215969B1">
            <w:pPr>
              <w:spacing w:line="360" w:lineRule="auto"/>
              <w:ind w:firstLine="456" w:firstLineChars="200"/>
              <w:rPr>
                <w:rFonts w:hint="eastAsia" w:ascii="宋体" w:hAnsi="宋体" w:cs="宋体"/>
                <w:w w:val="95"/>
                <w:sz w:val="24"/>
                <w:szCs w:val="24"/>
                <w:lang w:val="en-US" w:eastAsia="zh-CN"/>
              </w:rPr>
            </w:pPr>
            <w:r>
              <w:rPr>
                <w:rFonts w:hint="eastAsia" w:ascii="宋体" w:hAnsi="宋体" w:cs="宋体"/>
                <w:w w:val="95"/>
                <w:sz w:val="24"/>
                <w:szCs w:val="24"/>
                <w:lang w:val="en-US" w:eastAsia="zh-CN"/>
              </w:rPr>
              <w:t>本论文旨在构建一个面向分子生成与药物发现的多模态分子数据库平台，通过设计并实现一套高度自动化的“MolNexus”分子数据精炼流水线，利用软件工程手段解决多源异构数据的获取、清洗与对齐难题。</w:t>
            </w:r>
          </w:p>
          <w:p w14:paraId="0BB42D87">
            <w:pPr>
              <w:spacing w:line="360" w:lineRule="auto"/>
              <w:ind w:firstLine="456" w:firstLineChars="200"/>
              <w:rPr>
                <w:rFonts w:hint="eastAsia" w:ascii="宋体" w:hAnsi="宋体" w:cs="宋体"/>
                <w:w w:val="95"/>
                <w:sz w:val="24"/>
                <w:szCs w:val="24"/>
                <w:lang w:val="en-US" w:eastAsia="zh-CN"/>
              </w:rPr>
            </w:pPr>
            <w:r>
              <w:rPr>
                <w:rFonts w:hint="eastAsia" w:ascii="宋体" w:hAnsi="宋体" w:cs="宋体"/>
                <w:w w:val="95"/>
                <w:sz w:val="24"/>
                <w:szCs w:val="24"/>
                <w:lang w:val="en-US" w:eastAsia="zh-CN"/>
              </w:rPr>
              <w:t>本项目不仅实现了分子的原子级标准化，还构建了具备“结构—性质—靶点”三位一体映射关系的金标数据集，为后续分子生成模型、性质预测模型提供可靠的数据基础设施。</w:t>
            </w:r>
          </w:p>
          <w:p w14:paraId="6065061C">
            <w:pPr>
              <w:spacing w:line="360" w:lineRule="auto"/>
              <w:ind w:firstLine="456" w:firstLineChars="200"/>
              <w:rPr>
                <w:rFonts w:hint="eastAsia" w:ascii="宋体" w:hAnsi="宋体" w:cs="宋体"/>
                <w:w w:val="95"/>
                <w:sz w:val="24"/>
                <w:szCs w:val="24"/>
              </w:rPr>
            </w:pPr>
            <w:r>
              <w:rPr>
                <w:rFonts w:hint="eastAsia" w:ascii="宋体" w:hAnsi="宋体" w:cs="宋体"/>
                <w:w w:val="95"/>
                <w:sz w:val="24"/>
                <w:szCs w:val="24"/>
                <w:lang w:val="en-US" w:eastAsia="zh-CN"/>
              </w:rPr>
              <w:t>全文将从项目研究背景出发，详细介绍系统的总体架构设计、数据预处理算法及多维质量评估体系，展现从底层数据工程到高层科研支撑的完整流程。</w:t>
            </w:r>
          </w:p>
          <w:p w14:paraId="6D66554B">
            <w:pPr>
              <w:spacing w:line="360" w:lineRule="auto"/>
              <w:rPr>
                <w:rFonts w:hint="eastAsia" w:ascii="宋体" w:hAnsi="宋体" w:cs="宋体"/>
                <w:w w:val="95"/>
                <w:sz w:val="24"/>
                <w:szCs w:val="24"/>
              </w:rPr>
            </w:pPr>
          </w:p>
          <w:p w14:paraId="0FBA8F80">
            <w:pPr>
              <w:spacing w:line="360" w:lineRule="auto"/>
              <w:rPr>
                <w:rFonts w:hint="eastAsia" w:ascii="宋体" w:hAnsi="宋体" w:cs="宋体"/>
                <w:w w:val="95"/>
                <w:sz w:val="24"/>
                <w:szCs w:val="24"/>
              </w:rPr>
            </w:pPr>
            <w:r>
              <w:rPr>
                <w:rFonts w:hint="eastAsia" w:ascii="宋体" w:hAnsi="宋体" w:cs="宋体"/>
                <w:w w:val="95"/>
                <w:sz w:val="24"/>
                <w:szCs w:val="24"/>
              </w:rPr>
              <w:t>第二章：数据集和相关技术介绍。</w:t>
            </w:r>
          </w:p>
          <w:p w14:paraId="5018C69F">
            <w:pPr>
              <w:spacing w:line="360" w:lineRule="auto"/>
              <w:ind w:firstLine="456" w:firstLineChars="200"/>
              <w:rPr>
                <w:rFonts w:hint="eastAsia" w:ascii="宋体" w:hAnsi="宋体" w:cs="宋体"/>
                <w:w w:val="95"/>
                <w:sz w:val="24"/>
                <w:szCs w:val="24"/>
                <w:lang w:val="en-US" w:eastAsia="zh-CN"/>
              </w:rPr>
            </w:pPr>
            <w:r>
              <w:rPr>
                <w:rFonts w:hint="eastAsia" w:ascii="宋体" w:hAnsi="宋体" w:cs="宋体"/>
                <w:w w:val="95"/>
                <w:sz w:val="24"/>
                <w:szCs w:val="24"/>
                <w:lang w:val="en-US" w:eastAsia="zh-CN"/>
              </w:rPr>
              <w:t>本研究的数据资源主要依托于PubChem结构数据库、ChEMBL生物活性数据库及RCSB PDB三维构象数据库，通过多库交叉引用机制实现了分子实体与生物靶标的深度对齐。</w:t>
            </w:r>
          </w:p>
          <w:p w14:paraId="260B3F0B">
            <w:pPr>
              <w:spacing w:line="360" w:lineRule="auto"/>
              <w:ind w:firstLine="456" w:firstLineChars="200"/>
              <w:rPr>
                <w:rFonts w:hint="eastAsia" w:ascii="宋体" w:hAnsi="宋体" w:cs="宋体"/>
                <w:w w:val="95"/>
                <w:sz w:val="24"/>
                <w:szCs w:val="24"/>
                <w:lang w:val="en-US" w:eastAsia="zh-CN"/>
              </w:rPr>
            </w:pPr>
            <w:r>
              <w:rPr>
                <w:rFonts w:hint="eastAsia" w:ascii="宋体" w:hAnsi="宋体" w:cs="宋体"/>
                <w:w w:val="95"/>
                <w:sz w:val="24"/>
                <w:szCs w:val="24"/>
                <w:lang w:val="en-US" w:eastAsia="zh-CN"/>
              </w:rPr>
              <w:t>在数据预处理阶段，系统执行了严格的原子级标准化流程，利用Canonical SMILES消除化学表达歧义，并引入InChIKey作为全局唯一哈希标识符以实现跨库精准去重。针对原始活性数据单位跨度大、难以训练的痛点，系统采用了负对数转换法生成标准化的pChEMBL活性数值。</w:t>
            </w:r>
          </w:p>
          <w:p w14:paraId="270E88A0">
            <w:pPr>
              <w:spacing w:line="360" w:lineRule="auto"/>
              <w:ind w:firstLine="456" w:firstLineChars="200"/>
              <w:rPr>
                <w:rFonts w:hint="eastAsia" w:ascii="宋体" w:hAnsi="宋体" w:cs="宋体"/>
                <w:w w:val="95"/>
                <w:sz w:val="24"/>
                <w:szCs w:val="24"/>
                <w:lang w:val="en-US" w:eastAsia="zh-CN"/>
              </w:rPr>
            </w:pPr>
            <w:r>
              <w:rPr>
                <w:rFonts w:hint="eastAsia" w:ascii="宋体" w:hAnsi="宋体" w:cs="宋体"/>
                <w:w w:val="95"/>
                <w:sz w:val="24"/>
                <w:szCs w:val="24"/>
                <w:lang w:val="en-US" w:eastAsia="zh-CN"/>
              </w:rPr>
              <w:t>在技术栈选型上，本项目采用Docker容器化技术确保了开发环境的一致性与可移植性，利用MongoDB非关系型数据库的Schemaless特性承载复杂的半结构化分子JSON数据，并深度集成RDKit化学信息学工具包完成分子QED类药性、SAscore可合成性计算以及阶梯式三维构象生成，为平台运行提供了稳健的技术支撑。</w:t>
            </w:r>
          </w:p>
          <w:p w14:paraId="0157FFF8">
            <w:pPr>
              <w:spacing w:line="360" w:lineRule="auto"/>
              <w:rPr>
                <w:rFonts w:ascii="宋体" w:hAnsi="宋体"/>
                <w:sz w:val="24"/>
                <w:szCs w:val="24"/>
              </w:rPr>
            </w:pPr>
          </w:p>
        </w:tc>
      </w:tr>
      <w:tr w14:paraId="1034B9A6">
        <w:trPr>
          <w:cantSplit/>
          <w:trHeight w:val="12850" w:hRule="atLeast"/>
          <w:jc w:val="center"/>
        </w:trPr>
        <w:tc>
          <w:tcPr>
            <w:tcW w:w="0" w:type="auto"/>
            <w:textDirection w:val="tbRlV"/>
            <w:vAlign w:val="center"/>
          </w:tcPr>
          <w:p w14:paraId="573A1300">
            <w:pPr>
              <w:spacing w:line="360" w:lineRule="auto"/>
              <w:ind w:left="113" w:right="113"/>
              <w:jc w:val="center"/>
              <w:rPr>
                <w:rFonts w:hint="eastAsia" w:ascii="宋体" w:hAnsi="宋体"/>
                <w:sz w:val="22"/>
                <w:szCs w:val="24"/>
              </w:rPr>
            </w:pPr>
          </w:p>
        </w:tc>
        <w:tc>
          <w:tcPr>
            <w:tcW w:w="0" w:type="auto"/>
            <w:gridSpan w:val="3"/>
          </w:tcPr>
          <w:p w14:paraId="7B44E842">
            <w:pPr>
              <w:spacing w:line="360" w:lineRule="auto"/>
              <w:rPr>
                <w:rFonts w:hint="eastAsia" w:ascii="宋体" w:hAnsi="宋体" w:cs="宋体"/>
                <w:w w:val="95"/>
                <w:sz w:val="24"/>
                <w:szCs w:val="24"/>
                <w:lang w:val="en-US" w:eastAsia="zh-CN"/>
              </w:rPr>
            </w:pPr>
            <w:r>
              <w:rPr>
                <w:rFonts w:hint="eastAsia" w:ascii="宋体" w:hAnsi="宋体" w:cs="宋体"/>
                <w:w w:val="95"/>
                <w:sz w:val="24"/>
                <w:szCs w:val="24"/>
                <w:lang w:val="en-US" w:eastAsia="zh-CN"/>
              </w:rPr>
              <w:t>第三章：模型整体</w:t>
            </w:r>
            <w:r>
              <w:rPr>
                <w:rFonts w:hint="eastAsia" w:ascii="宋体" w:hAnsi="宋体" w:cs="宋体"/>
                <w:w w:val="95"/>
                <w:sz w:val="24"/>
                <w:szCs w:val="24"/>
                <w:lang w:val="en-US" w:eastAsia="zh-CN"/>
              </w:rPr>
              <w:t>和任务介绍。</w:t>
            </w:r>
          </w:p>
          <w:p w14:paraId="3837A7AF">
            <w:pPr>
              <w:spacing w:line="360" w:lineRule="auto"/>
              <w:ind w:firstLine="456" w:firstLineChars="200"/>
              <w:rPr>
                <w:rFonts w:hint="eastAsia" w:ascii="宋体" w:hAnsi="宋体" w:cs="宋体"/>
                <w:w w:val="95"/>
                <w:sz w:val="24"/>
                <w:szCs w:val="24"/>
                <w:lang w:val="en-US" w:eastAsia="zh-CN"/>
              </w:rPr>
            </w:pPr>
            <w:r>
              <w:rPr>
                <w:rFonts w:hint="default" w:ascii="宋体" w:hAnsi="宋体" w:cs="宋体"/>
                <w:w w:val="95"/>
                <w:sz w:val="24"/>
                <w:szCs w:val="24"/>
                <w:lang w:val="en-US" w:eastAsia="zh-CN"/>
              </w:rPr>
              <w:t>本平台的设计理念深植于现代数据工程体系，整体逻辑遵循数据仓库领域经典的“奖牌架构”思想。系统构建了从 Bronze 原始数据层、Silver 精炼特征层到 Gold 金标对齐层的分层存储与流转模型。这一分层架构不仅确保了多源异构数据的全量留存，也为后续复杂的数据清洗与对齐逻辑提供了清晰的操作边界，使得数据从最初的杂乱状态到最终的高质量产出具备了极强的可追溯性。</w:t>
            </w:r>
          </w:p>
          <w:p w14:paraId="7F8C808C">
            <w:pPr>
              <w:spacing w:line="360" w:lineRule="auto"/>
              <w:ind w:firstLine="456" w:firstLineChars="200"/>
              <w:rPr>
                <w:rFonts w:hint="default" w:ascii="宋体" w:hAnsi="宋体" w:cs="宋体"/>
                <w:w w:val="95"/>
                <w:sz w:val="24"/>
                <w:szCs w:val="24"/>
                <w:lang w:val="en-US" w:eastAsia="zh-CN"/>
              </w:rPr>
            </w:pPr>
            <w:r>
              <w:rPr>
                <w:rFonts w:hint="default" w:ascii="宋体" w:hAnsi="宋体" w:cs="宋体"/>
                <w:w w:val="95"/>
                <w:sz w:val="24"/>
                <w:szCs w:val="24"/>
                <w:lang w:val="en-US" w:eastAsia="zh-CN"/>
              </w:rPr>
              <w:t>在功能实现层面，系统核心由五个高度自动化的功能模块协同驱动，形成了完整的数据处理闭环。其中，Loader 模块负责种子任务的读取、解析与状态初始化，为流水线提供输入源；Worker 模块作为外部数据采集引擎，执行多路径深度抓取任务以获取全量原始 JSON 数据；Refiner 模块则扮演“质检员”角色，根据 Lipinski 五规则等药学准则实施质量精炼与初步筛选；Merger 模块通过 InChIKey 全局唯一关联逻辑，实现了跨库文档的物理组装与语义对齐；最后由 Vectorizer 模块承担特征向量化的核心任务，将业务数据转化为高维数学表示。</w:t>
            </w:r>
          </w:p>
          <w:p w14:paraId="0738F220">
            <w:pPr>
              <w:spacing w:line="360" w:lineRule="auto"/>
              <w:ind w:firstLine="456" w:firstLineChars="200"/>
              <w:rPr>
                <w:rFonts w:hint="default" w:ascii="宋体" w:hAnsi="宋体" w:cs="宋体"/>
                <w:w w:val="95"/>
                <w:sz w:val="24"/>
                <w:szCs w:val="24"/>
                <w:lang w:val="en-US" w:eastAsia="zh-CN"/>
              </w:rPr>
            </w:pPr>
            <w:r>
              <w:rPr>
                <w:rFonts w:hint="default" w:ascii="宋体" w:hAnsi="宋体" w:cs="宋体"/>
                <w:w w:val="95"/>
                <w:sz w:val="24"/>
                <w:szCs w:val="24"/>
                <w:lang w:val="en-US" w:eastAsia="zh-CN"/>
              </w:rPr>
              <w:t>系统的核心产出是将零散的化学记录精炼为下游 AI 模型可直接调用的张量数据。这一过程涵盖了对分子多维度特征的深度挖掘与对齐，具体包括：面向 Transformer 架构设计的 1D 序列特征（标准 SMILES 序列）、面向图神经网络（GNN）构建的 2D 拓扑特征（如 Morgan 指纹与原子邻接矩阵），以及面向几何深度学习计算的 3D 空间特征（如原子距离矩阵）。这种多模态输出机制有效解决了 AI 模型训练中的数据准备难题，赋予了平台极广的科研适用性。</w:t>
            </w:r>
          </w:p>
          <w:p w14:paraId="16F36ADC">
            <w:pPr>
              <w:spacing w:line="360" w:lineRule="auto"/>
              <w:ind w:firstLine="456" w:firstLineChars="200"/>
              <w:rPr>
                <w:rFonts w:hint="default" w:ascii="宋体" w:hAnsi="宋体" w:cs="宋体"/>
                <w:w w:val="95"/>
                <w:sz w:val="24"/>
                <w:szCs w:val="24"/>
                <w:lang w:val="en-US" w:eastAsia="zh-CN"/>
              </w:rPr>
            </w:pPr>
            <w:r>
              <w:rPr>
                <w:rFonts w:hint="default" w:ascii="宋体" w:hAnsi="宋体" w:cs="宋体"/>
                <w:w w:val="95"/>
                <w:sz w:val="24"/>
                <w:szCs w:val="24"/>
                <w:lang w:val="en-US" w:eastAsia="zh-CN"/>
              </w:rPr>
              <w:t>此外，为保障大规模、长周期处理过程中的数据一致性，系统在物理架构层面引入了严格的唯一索引机制。通过在数据库底层建立基于 InChIKey 的约束，系统保证了 ETL 全流程的幂等性，即无论流水线重复执行多少次，最终入库状态始终保持唯一与确定。该架构设计不仅能够有效处理增量数据的持续集成，还支持对现有金标数据的动态演进与版本回溯，确保了平台在面临海量分子数据挑战时仍具备卓越的健壮性与运行效能。</w:t>
            </w:r>
          </w:p>
          <w:p w14:paraId="1481952C">
            <w:pPr>
              <w:spacing w:line="360" w:lineRule="auto"/>
              <w:ind w:firstLine="456" w:firstLineChars="200"/>
              <w:rPr>
                <w:rFonts w:hint="eastAsia" w:ascii="宋体" w:hAnsi="宋体" w:cs="宋体"/>
                <w:w w:val="95"/>
                <w:sz w:val="24"/>
                <w:szCs w:val="24"/>
                <w:lang w:val="en-US" w:eastAsia="zh-CN"/>
              </w:rPr>
            </w:pPr>
          </w:p>
        </w:tc>
      </w:tr>
      <w:tr w14:paraId="368812F7">
        <w:trPr>
          <w:cantSplit/>
          <w:trHeight w:val="12850" w:hRule="atLeast"/>
          <w:jc w:val="center"/>
        </w:trPr>
        <w:tc>
          <w:tcPr>
            <w:tcW w:w="0" w:type="auto"/>
            <w:textDirection w:val="tbRlV"/>
            <w:vAlign w:val="center"/>
          </w:tcPr>
          <w:p w14:paraId="4AC55073">
            <w:pPr>
              <w:spacing w:line="360" w:lineRule="auto"/>
              <w:ind w:left="113" w:right="113"/>
              <w:jc w:val="center"/>
              <w:rPr>
                <w:rFonts w:hint="eastAsia" w:ascii="宋体" w:hAnsi="宋体"/>
                <w:sz w:val="22"/>
                <w:szCs w:val="24"/>
              </w:rPr>
            </w:pPr>
          </w:p>
        </w:tc>
        <w:tc>
          <w:tcPr>
            <w:tcW w:w="0" w:type="auto"/>
            <w:gridSpan w:val="3"/>
          </w:tcPr>
          <w:p w14:paraId="3AFBBBCB">
            <w:pPr>
              <w:spacing w:line="360" w:lineRule="auto"/>
              <w:rPr>
                <w:rFonts w:hint="eastAsia" w:ascii="宋体" w:hAnsi="宋体" w:cs="宋体"/>
                <w:w w:val="95"/>
                <w:sz w:val="24"/>
                <w:szCs w:val="24"/>
                <w:lang w:val="en-US" w:eastAsia="zh-CN"/>
              </w:rPr>
            </w:pPr>
            <w:r>
              <w:rPr>
                <w:rFonts w:hint="eastAsia" w:ascii="宋体" w:hAnsi="宋体" w:cs="宋体"/>
                <w:w w:val="95"/>
                <w:sz w:val="24"/>
                <w:szCs w:val="24"/>
                <w:lang w:val="en-US" w:eastAsia="zh-CN"/>
              </w:rPr>
              <w:t>第四章：实验和分析。</w:t>
            </w:r>
          </w:p>
          <w:p w14:paraId="4F636589">
            <w:pPr>
              <w:spacing w:line="360" w:lineRule="auto"/>
              <w:ind w:firstLine="456" w:firstLineChars="200"/>
              <w:rPr>
                <w:rFonts w:hint="eastAsia" w:ascii="宋体" w:hAnsi="宋体" w:cs="宋体"/>
                <w:w w:val="95"/>
                <w:sz w:val="24"/>
                <w:szCs w:val="24"/>
                <w:lang w:val="en-US" w:eastAsia="zh-CN"/>
              </w:rPr>
            </w:pPr>
            <w:r>
              <w:rPr>
                <w:rFonts w:hint="eastAsia" w:ascii="宋体" w:hAnsi="宋体" w:cs="宋体"/>
                <w:w w:val="95"/>
                <w:sz w:val="24"/>
                <w:szCs w:val="24"/>
                <w:lang w:val="en-US" w:eastAsia="zh-CN"/>
              </w:rPr>
              <w:t>在实验验证阶段，本项目通过对典型种子分子集的处理测试，验证了流水线在多源数据对齐及复杂构象生成任务中的稳定性能。利用Jupyter Notebook进行的探索性数据分析（EDA）结果显示，经过精炼后的金标数据集在理化性质与生物活性之间展现出明确的科学相关性，例如分子的亲油性指标（LogP）与生物活性标签（pIC50）呈现显著的正相关趋势，其回归分析结果符合药物化学中经典的规律，有力证明了本系统提取特征的科学有效性。此外，本研究引入了国际权威的MOSES分子基准评价体系，对合并后的数据集进行了系统性质检。量化评估结果表明，本平台产出的数据集在有效性（Validity）、内部多样性（Internal Diversity）及药用结构通过率等指标上均表现优异，充分验证了构建多模态对齐金标数据集在支持后续AI模型训练方面的可行性。</w:t>
            </w:r>
          </w:p>
          <w:p w14:paraId="03480B17">
            <w:pPr>
              <w:spacing w:line="360" w:lineRule="auto"/>
              <w:rPr>
                <w:rFonts w:hint="eastAsia" w:ascii="宋体" w:hAnsi="宋体" w:cs="宋体"/>
                <w:w w:val="95"/>
                <w:sz w:val="24"/>
                <w:szCs w:val="24"/>
                <w:lang w:val="en-US" w:eastAsia="zh-CN"/>
              </w:rPr>
            </w:pPr>
          </w:p>
          <w:p w14:paraId="0DE74D1F">
            <w:pPr>
              <w:spacing w:line="360" w:lineRule="auto"/>
              <w:rPr>
                <w:rFonts w:hint="eastAsia" w:ascii="宋体" w:hAnsi="宋体" w:cs="宋体"/>
                <w:w w:val="95"/>
                <w:sz w:val="24"/>
                <w:szCs w:val="24"/>
                <w:lang w:val="en-US" w:eastAsia="zh-CN"/>
              </w:rPr>
            </w:pPr>
            <w:r>
              <w:rPr>
                <w:rFonts w:hint="eastAsia" w:ascii="宋体" w:hAnsi="宋体" w:cs="宋体"/>
                <w:w w:val="95"/>
                <w:sz w:val="24"/>
                <w:szCs w:val="24"/>
                <w:lang w:val="en-US" w:eastAsia="zh-CN"/>
              </w:rPr>
              <w:t>第五章：总结和展望。</w:t>
            </w:r>
          </w:p>
          <w:p w14:paraId="1F62D152">
            <w:pPr>
              <w:spacing w:line="360" w:lineRule="auto"/>
              <w:ind w:firstLine="456" w:firstLineChars="200"/>
              <w:rPr>
                <w:rFonts w:hint="eastAsia" w:ascii="宋体" w:hAnsi="宋体" w:cs="宋体"/>
                <w:w w:val="95"/>
                <w:sz w:val="24"/>
                <w:szCs w:val="24"/>
                <w:lang w:val="en-US" w:eastAsia="zh-CN"/>
              </w:rPr>
            </w:pPr>
            <w:r>
              <w:rPr>
                <w:rFonts w:hint="eastAsia" w:ascii="宋体" w:hAnsi="宋体" w:cs="宋体"/>
                <w:w w:val="95"/>
                <w:sz w:val="24"/>
                <w:szCs w:val="24"/>
                <w:lang w:val="en-US" w:eastAsia="zh-CN"/>
              </w:rPr>
              <w:t>综上所述，本项目设计了一套面向药物人工智能研究的自动化分子数据处理系统，有效解决了多源分子数据在标准化与模态对齐方面的实际痛点。通过对结构、性质与活性信息的深度集成，本平台为分子生成与性质预测任务提供了“开箱即用”的高质量数据底座，体现了软件工程技术在赋能交叉学科研究中的重要价值。</w:t>
            </w:r>
          </w:p>
          <w:p w14:paraId="06E038A4">
            <w:pPr>
              <w:spacing w:line="360" w:lineRule="auto"/>
              <w:ind w:firstLine="456" w:firstLineChars="200"/>
              <w:rPr>
                <w:rFonts w:hint="eastAsia" w:ascii="宋体" w:hAnsi="宋体" w:cs="宋体"/>
                <w:w w:val="95"/>
                <w:sz w:val="24"/>
                <w:szCs w:val="24"/>
                <w:lang w:val="en-US" w:eastAsia="zh-CN"/>
              </w:rPr>
            </w:pPr>
            <w:r>
              <w:rPr>
                <w:rFonts w:hint="eastAsia" w:ascii="宋体" w:hAnsi="宋体" w:cs="宋体"/>
                <w:w w:val="95"/>
                <w:sz w:val="24"/>
                <w:szCs w:val="24"/>
                <w:lang w:val="en-US" w:eastAsia="zh-CN"/>
              </w:rPr>
              <w:t>然而，实事求是地看，系统目前仍存在一定的局限性，如受限于第三方公共API的访问频率导致在大规模数据追溯时效率受限，以及对部分复杂金属配合物的三维构象建模精度仍有提升空间。在未来的研究方向上，本课题计划进一步扩展对BindingDB等垂直领域数据库的动态接入，并探索在当前金标数据集基础上部署深度生成模型进行端到端的药物设计实验，以持续提升平台的智能化水平与应用边界。</w:t>
            </w:r>
          </w:p>
          <w:p w14:paraId="5B62D84E">
            <w:pPr>
              <w:spacing w:line="360" w:lineRule="auto"/>
              <w:ind w:firstLine="456" w:firstLineChars="200"/>
              <w:rPr>
                <w:rFonts w:hint="default" w:ascii="宋体" w:hAnsi="宋体" w:cs="宋体"/>
                <w:w w:val="95"/>
                <w:sz w:val="24"/>
                <w:szCs w:val="24"/>
                <w:lang w:val="en-US" w:eastAsia="zh-CN"/>
              </w:rPr>
            </w:pPr>
          </w:p>
          <w:p w14:paraId="72497CDA">
            <w:pPr>
              <w:spacing w:line="360" w:lineRule="auto"/>
              <w:rPr>
                <w:rFonts w:hint="eastAsia" w:ascii="宋体" w:hAnsi="宋体" w:cs="宋体"/>
                <w:w w:val="95"/>
                <w:sz w:val="24"/>
                <w:szCs w:val="24"/>
                <w:lang w:val="en-US" w:eastAsia="zh-CN"/>
              </w:rPr>
            </w:pPr>
            <w:r>
              <w:rPr>
                <w:rFonts w:hint="eastAsia" w:ascii="宋体" w:hAnsi="宋体" w:cs="宋体"/>
                <w:w w:val="95"/>
                <w:sz w:val="24"/>
                <w:szCs w:val="24"/>
                <w:lang w:val="en-US" w:eastAsia="zh-CN"/>
              </w:rPr>
              <w:t>论文总体上要结构合理，思路清晰，内容翔实，应满足《厦门大学本科毕业论文（设计）工作管理方法》，并在时限内完成撰写。</w:t>
            </w:r>
          </w:p>
        </w:tc>
      </w:tr>
      <w:tr w14:paraId="657E2776">
        <w:trPr>
          <w:cantSplit/>
          <w:trHeight w:val="3102" w:hRule="atLeast"/>
          <w:jc w:val="center"/>
        </w:trPr>
        <w:tc>
          <w:tcPr>
            <w:tcW w:w="0" w:type="auto"/>
            <w:textDirection w:val="tbRlV"/>
            <w:vAlign w:val="center"/>
          </w:tcPr>
          <w:p w14:paraId="18B9A759">
            <w:pPr>
              <w:spacing w:line="360" w:lineRule="auto"/>
              <w:ind w:left="113" w:right="113"/>
              <w:jc w:val="center"/>
              <w:rPr>
                <w:rFonts w:ascii="宋体" w:hAnsi="宋体"/>
                <w:sz w:val="22"/>
                <w:szCs w:val="24"/>
              </w:rPr>
            </w:pPr>
            <w:r>
              <w:rPr>
                <w:rFonts w:hint="eastAsia" w:ascii="宋体" w:hAnsi="宋体"/>
                <w:sz w:val="22"/>
                <w:szCs w:val="24"/>
              </w:rPr>
              <w:t>支持</w:t>
            </w:r>
            <w:r>
              <w:rPr>
                <w:rFonts w:ascii="宋体" w:hAnsi="宋体"/>
                <w:sz w:val="22"/>
                <w:szCs w:val="24"/>
              </w:rPr>
              <w:t>条件</w:t>
            </w:r>
          </w:p>
        </w:tc>
        <w:tc>
          <w:tcPr>
            <w:tcW w:w="0" w:type="auto"/>
            <w:gridSpan w:val="3"/>
          </w:tcPr>
          <w:p w14:paraId="72E8DF6B">
            <w:pPr>
              <w:numPr>
                <w:ilvl w:val="0"/>
                <w:numId w:val="1"/>
              </w:numPr>
              <w:spacing w:line="360" w:lineRule="auto"/>
              <w:rPr>
                <w:rFonts w:hint="eastAsia" w:ascii="宋体" w:hAnsi="宋体" w:cs="宋体"/>
                <w:w w:val="95"/>
                <w:sz w:val="24"/>
                <w:szCs w:val="24"/>
              </w:rPr>
            </w:pPr>
            <w:r>
              <w:rPr>
                <w:rFonts w:hint="eastAsia" w:ascii="宋体" w:hAnsi="宋体" w:cs="宋体"/>
                <w:w w:val="95"/>
                <w:sz w:val="24"/>
                <w:szCs w:val="24"/>
              </w:rPr>
              <w:t>资料支持：</w:t>
            </w:r>
          </w:p>
          <w:p w14:paraId="550CC030">
            <w:pPr>
              <w:numPr>
                <w:numId w:val="0"/>
              </w:numPr>
              <w:spacing w:line="360" w:lineRule="auto"/>
              <w:ind w:firstLine="456" w:firstLineChars="200"/>
              <w:rPr>
                <w:rFonts w:hint="eastAsia" w:ascii="宋体" w:hAnsi="宋体" w:cs="宋体"/>
                <w:w w:val="95"/>
                <w:sz w:val="24"/>
                <w:szCs w:val="24"/>
              </w:rPr>
            </w:pPr>
            <w:r>
              <w:rPr>
                <w:rFonts w:hint="eastAsia" w:ascii="宋体" w:hAnsi="宋体" w:cs="宋体"/>
                <w:w w:val="95"/>
                <w:sz w:val="24"/>
                <w:szCs w:val="24"/>
              </w:rPr>
              <w:t>通过实验室的校园网，利用学校购买的国内外的文献数据库，可以进行深度学习相关资料的下载以及学习。实验室本身已经拥有一批相关的数据资源和研究成果，可供学生使用和参考。</w:t>
            </w:r>
          </w:p>
          <w:p w14:paraId="58DD40B0">
            <w:pPr>
              <w:numPr>
                <w:ilvl w:val="0"/>
                <w:numId w:val="0"/>
              </w:numPr>
              <w:spacing w:line="360" w:lineRule="auto"/>
              <w:ind w:firstLine="456" w:firstLineChars="200"/>
              <w:rPr>
                <w:rFonts w:hint="eastAsia" w:ascii="宋体" w:hAnsi="宋体" w:cs="宋体"/>
                <w:w w:val="95"/>
                <w:sz w:val="24"/>
                <w:szCs w:val="24"/>
              </w:rPr>
            </w:pPr>
            <w:r>
              <w:rPr>
                <w:rFonts w:hint="eastAsia" w:ascii="宋体" w:hAnsi="宋体" w:cs="宋体"/>
                <w:w w:val="95"/>
                <w:sz w:val="24"/>
                <w:szCs w:val="24"/>
                <w:lang w:val="en-US" w:eastAsia="zh-CN"/>
              </w:rPr>
              <w:t>国际公认的公开化学信息学数据库，包括 PubChem、ChEMBL 以及 RCSB PDB，通过其提供的 REST API 接口获取海量原位实验数据。</w:t>
            </w:r>
          </w:p>
          <w:p w14:paraId="50F9B8AD">
            <w:pPr>
              <w:numPr>
                <w:numId w:val="0"/>
              </w:numPr>
              <w:spacing w:line="360" w:lineRule="auto"/>
              <w:ind w:firstLine="456" w:firstLineChars="200"/>
              <w:rPr>
                <w:rFonts w:hint="eastAsia" w:ascii="宋体" w:hAnsi="宋体" w:cs="宋体"/>
                <w:w w:val="95"/>
                <w:sz w:val="24"/>
                <w:szCs w:val="24"/>
              </w:rPr>
            </w:pPr>
          </w:p>
          <w:p w14:paraId="5B2C954B">
            <w:pPr>
              <w:spacing w:line="360" w:lineRule="auto"/>
              <w:rPr>
                <w:rFonts w:ascii="宋体" w:hAnsi="宋体" w:cs="宋体"/>
                <w:w w:val="95"/>
                <w:sz w:val="24"/>
                <w:szCs w:val="24"/>
              </w:rPr>
            </w:pPr>
            <w:r>
              <w:rPr>
                <w:rFonts w:hint="eastAsia" w:ascii="宋体" w:hAnsi="宋体" w:cs="宋体"/>
                <w:w w:val="95"/>
                <w:sz w:val="24"/>
                <w:szCs w:val="24"/>
              </w:rPr>
              <w:t>2、环境支持：</w:t>
            </w:r>
          </w:p>
          <w:p w14:paraId="6C00EA8F">
            <w:pPr>
              <w:spacing w:line="360" w:lineRule="auto"/>
              <w:rPr>
                <w:rFonts w:hint="default" w:ascii="宋体" w:hAnsi="宋体" w:eastAsia="宋体" w:cs="宋体"/>
                <w:w w:val="95"/>
                <w:sz w:val="24"/>
                <w:szCs w:val="24"/>
                <w:lang w:val="en-US" w:eastAsia="zh-CN"/>
              </w:rPr>
            </w:pPr>
            <w:r>
              <w:rPr>
                <w:rFonts w:hint="eastAsia" w:ascii="宋体" w:hAnsi="宋体" w:cs="宋体"/>
                <w:w w:val="95"/>
                <w:sz w:val="24"/>
                <w:szCs w:val="24"/>
              </w:rPr>
              <w:t xml:space="preserve">显卡：NVIDIA </w:t>
            </w:r>
            <w:r>
              <w:rPr>
                <w:rFonts w:hint="eastAsia" w:ascii="宋体" w:hAnsi="宋体" w:cs="宋体"/>
                <w:w w:val="95"/>
                <w:sz w:val="24"/>
                <w:szCs w:val="24"/>
                <w:lang w:val="en-US" w:eastAsia="zh-CN"/>
              </w:rPr>
              <w:t>GeForce RTX 3060</w:t>
            </w:r>
          </w:p>
          <w:p w14:paraId="056D7D74">
            <w:pPr>
              <w:spacing w:line="360" w:lineRule="auto"/>
              <w:rPr>
                <w:rFonts w:ascii="仿宋" w:hAnsi="仿宋" w:eastAsia="仿宋"/>
                <w:w w:val="95"/>
                <w:sz w:val="22"/>
                <w:szCs w:val="24"/>
              </w:rPr>
            </w:pPr>
            <w:r>
              <w:rPr>
                <w:rFonts w:hint="eastAsia" w:ascii="宋体" w:hAnsi="宋体" w:cs="宋体"/>
                <w:w w:val="95"/>
                <w:sz w:val="24"/>
                <w:szCs w:val="24"/>
              </w:rPr>
              <w:t>操作系统：Ubuntu 22.04</w:t>
            </w:r>
          </w:p>
        </w:tc>
      </w:tr>
      <w:tr w14:paraId="683B8C15">
        <w:trPr>
          <w:cantSplit/>
          <w:trHeight w:val="3104" w:hRule="atLeast"/>
          <w:jc w:val="center"/>
        </w:trPr>
        <w:tc>
          <w:tcPr>
            <w:tcW w:w="0" w:type="auto"/>
            <w:textDirection w:val="tbRlV"/>
            <w:vAlign w:val="center"/>
          </w:tcPr>
          <w:p w14:paraId="20C10994">
            <w:pPr>
              <w:spacing w:line="360" w:lineRule="auto"/>
              <w:ind w:left="113" w:right="113"/>
              <w:jc w:val="center"/>
              <w:rPr>
                <w:rFonts w:ascii="宋体" w:hAnsi="宋体"/>
                <w:sz w:val="22"/>
                <w:szCs w:val="24"/>
              </w:rPr>
            </w:pPr>
            <w:r>
              <w:rPr>
                <w:rFonts w:ascii="宋体" w:hAnsi="宋体"/>
                <w:sz w:val="22"/>
                <w:szCs w:val="24"/>
              </w:rPr>
              <w:t>文献</w:t>
            </w:r>
            <w:r>
              <w:rPr>
                <w:rFonts w:hint="eastAsia" w:ascii="宋体" w:hAnsi="宋体"/>
                <w:sz w:val="22"/>
                <w:szCs w:val="24"/>
              </w:rPr>
              <w:t>阅读</w:t>
            </w:r>
            <w:r>
              <w:rPr>
                <w:rFonts w:ascii="宋体" w:hAnsi="宋体"/>
                <w:sz w:val="22"/>
                <w:szCs w:val="24"/>
              </w:rPr>
              <w:t>要求</w:t>
            </w:r>
          </w:p>
        </w:tc>
        <w:tc>
          <w:tcPr>
            <w:tcW w:w="0" w:type="auto"/>
            <w:gridSpan w:val="3"/>
          </w:tcPr>
          <w:p w14:paraId="7F0D23CA">
            <w:pPr>
              <w:spacing w:line="360" w:lineRule="auto"/>
              <w:rPr>
                <w:rFonts w:hint="eastAsia" w:ascii="Times New Roman" w:hAnsi="Times New Roman"/>
                <w:bCs/>
                <w:sz w:val="22"/>
              </w:rPr>
            </w:pPr>
            <w:r>
              <w:rPr>
                <w:rFonts w:hint="eastAsia" w:ascii="Times New Roman" w:hAnsi="Times New Roman"/>
                <w:bCs/>
                <w:sz w:val="22"/>
                <w:lang w:val="en-US" w:eastAsia="zh-CN"/>
              </w:rPr>
              <w:t>[1] XIA J, ZHU Y, DU Y, et al. A Systematic Survey of Chemical Pre-trained Models[C]//Proceedings of the 32nd International Joint Conference on Artificial Intelligence (IJCAI). 2023: 6813-6821.</w:t>
            </w:r>
          </w:p>
          <w:p w14:paraId="2421B08A">
            <w:pPr>
              <w:spacing w:line="360" w:lineRule="auto"/>
              <w:rPr>
                <w:rFonts w:hint="eastAsia" w:ascii="Times New Roman" w:hAnsi="Times New Roman"/>
                <w:bCs/>
                <w:sz w:val="22"/>
                <w:lang w:val="en-US" w:eastAsia="zh-CN"/>
              </w:rPr>
            </w:pPr>
            <w:r>
              <w:rPr>
                <w:rFonts w:ascii="Times New Roman" w:hAnsi="Times New Roman"/>
                <w:bCs/>
                <w:sz w:val="22"/>
              </w:rPr>
              <w:t>[</w:t>
            </w:r>
            <w:r>
              <w:rPr>
                <w:rFonts w:hint="eastAsia" w:ascii="Times New Roman" w:hAnsi="Times New Roman"/>
                <w:bCs/>
                <w:sz w:val="22"/>
                <w:lang w:val="en-US" w:eastAsia="zh-CN"/>
              </w:rPr>
              <w:t>2] YANG M, SUN H, LIU X, et al. CMGN: a conditional molecular generation net to design target-specific molecules with desired properties [J]. Briefings in Bioinformatics, 2023, 24 (4): 1-12.</w:t>
            </w:r>
          </w:p>
          <w:p w14:paraId="7EED36A5">
            <w:pPr>
              <w:spacing w:line="360" w:lineRule="auto"/>
              <w:rPr>
                <w:rFonts w:hint="eastAsia" w:ascii="Times New Roman" w:hAnsi="Times New Roman"/>
                <w:bCs/>
                <w:sz w:val="22"/>
                <w:lang w:val="en-US" w:eastAsia="zh-CN"/>
              </w:rPr>
            </w:pPr>
            <w:r>
              <w:rPr>
                <w:rFonts w:hint="eastAsia" w:ascii="Times New Roman" w:hAnsi="Times New Roman"/>
                <w:bCs/>
                <w:sz w:val="22"/>
                <w:lang w:val="en-US" w:eastAsia="zh-CN"/>
              </w:rPr>
              <w:t>[3] LIU P, REN Y, TAO J, et al. GIT-Mol: A multi-modal large language model for molecular science with graph, image, and text [J]. Computers in Biology and Medicine, 2024, 171: 108073.</w:t>
            </w:r>
          </w:p>
          <w:p w14:paraId="3602228A">
            <w:pPr>
              <w:spacing w:line="360" w:lineRule="auto"/>
              <w:rPr>
                <w:rFonts w:hint="eastAsia" w:ascii="Times New Roman" w:hAnsi="Times New Roman"/>
                <w:bCs/>
                <w:sz w:val="22"/>
                <w:lang w:val="en-US" w:eastAsia="zh-CN"/>
              </w:rPr>
            </w:pPr>
            <w:r>
              <w:rPr>
                <w:rFonts w:hint="eastAsia" w:ascii="Times New Roman" w:hAnsi="Times New Roman"/>
                <w:bCs/>
                <w:sz w:val="22"/>
                <w:lang w:val="en-US" w:eastAsia="zh-CN"/>
              </w:rPr>
              <w:t>[4] Dobberstein N, Maass A, Hamaekers J. Llamol: a dynamic multi-conditional generative transformer for de novo molecular design[J]. Journal of Cheminformatics, 2024, 16(1): 73.</w:t>
            </w:r>
          </w:p>
          <w:p w14:paraId="4114ACF3">
            <w:pPr>
              <w:spacing w:line="360" w:lineRule="auto"/>
              <w:rPr>
                <w:rFonts w:hint="eastAsia" w:ascii="Times New Roman" w:hAnsi="Times New Roman"/>
                <w:bCs/>
                <w:sz w:val="22"/>
                <w:lang w:val="en-US" w:eastAsia="zh-CN"/>
              </w:rPr>
            </w:pPr>
            <w:r>
              <w:rPr>
                <w:rFonts w:hint="eastAsia" w:ascii="Times New Roman" w:hAnsi="Times New Roman"/>
                <w:bCs/>
                <w:sz w:val="22"/>
                <w:lang w:val="en-US" w:eastAsia="zh-CN"/>
              </w:rPr>
              <w:t>[5] Iwata H, Nakai T, Koyama T, et al. VGAE-MCTS: A New Molecular Generative Model Combining the Variational Graph Auto-Encoder and Monte Carlo Tree Search[J]. Journal of Chemical Information and Modeling, 2023, 63(23): 7392-7400.</w:t>
            </w:r>
          </w:p>
          <w:p w14:paraId="67DE5756">
            <w:pPr>
              <w:spacing w:line="360" w:lineRule="auto"/>
              <w:rPr>
                <w:rFonts w:hint="eastAsia" w:ascii="Times New Roman" w:hAnsi="Times New Roman"/>
                <w:bCs/>
                <w:sz w:val="22"/>
                <w:lang w:val="en-US" w:eastAsia="zh-CN"/>
              </w:rPr>
            </w:pPr>
            <w:r>
              <w:rPr>
                <w:rFonts w:hint="eastAsia" w:ascii="Times New Roman" w:hAnsi="Times New Roman"/>
                <w:bCs/>
                <w:sz w:val="22"/>
                <w:lang w:val="en-US" w:eastAsia="zh-CN"/>
              </w:rPr>
              <w:t>[6] Uludoğan G, Ozkirimli E, Ulgen K O, et al. Exploiting pretrained biochemical language models for targeted drug design[J]. Bioinformatics, 2022, 38(Supplement_2): ii155-ii161.</w:t>
            </w:r>
          </w:p>
          <w:p w14:paraId="4954A3BB">
            <w:pPr>
              <w:spacing w:line="360" w:lineRule="auto"/>
              <w:rPr>
                <w:rFonts w:hint="eastAsia" w:ascii="Times New Roman" w:hAnsi="Times New Roman"/>
                <w:bCs/>
                <w:sz w:val="22"/>
                <w:lang w:val="en-US" w:eastAsia="zh-CN"/>
              </w:rPr>
            </w:pPr>
            <w:r>
              <w:rPr>
                <w:rFonts w:hint="eastAsia" w:ascii="Times New Roman" w:hAnsi="Times New Roman"/>
                <w:bCs/>
                <w:sz w:val="22"/>
                <w:lang w:val="en-US" w:eastAsia="zh-CN"/>
              </w:rPr>
              <w:t>[7] Matsukiyo Y, Tengeiji A, Li C, et al. Transcriptionally Conditional Recurrent Neural Network for De Novo Drug Design[J]. Journal of Chemical Information and Modeling, 2024, 64(14): 5844-5852.</w:t>
            </w:r>
          </w:p>
          <w:p w14:paraId="551A410F">
            <w:pPr>
              <w:spacing w:line="360" w:lineRule="auto"/>
              <w:rPr>
                <w:rFonts w:hint="eastAsia" w:ascii="Times New Roman" w:hAnsi="Times New Roman"/>
                <w:bCs/>
                <w:sz w:val="22"/>
                <w:lang w:val="en-US" w:eastAsia="zh-CN"/>
              </w:rPr>
            </w:pPr>
            <w:r>
              <w:rPr>
                <w:rFonts w:hint="eastAsia" w:ascii="Times New Roman" w:hAnsi="Times New Roman"/>
                <w:bCs/>
                <w:sz w:val="22"/>
                <w:lang w:val="en-US" w:eastAsia="zh-CN"/>
              </w:rPr>
              <w:t>[8] Wei L, Fu N, Song Y, et al. Probabilistic generative transformer language models for generative design of molecules[J]. Journal of Cheminformatics, 2023, 15(1): 88.</w:t>
            </w:r>
          </w:p>
          <w:p w14:paraId="6FD54E53">
            <w:pPr>
              <w:spacing w:line="360" w:lineRule="auto"/>
              <w:rPr>
                <w:rFonts w:hint="eastAsia" w:ascii="Times New Roman" w:hAnsi="Times New Roman"/>
                <w:bCs/>
                <w:sz w:val="22"/>
                <w:lang w:val="en-US" w:eastAsia="zh-CN"/>
              </w:rPr>
            </w:pPr>
            <w:r>
              <w:rPr>
                <w:rFonts w:hint="eastAsia" w:ascii="Times New Roman" w:hAnsi="Times New Roman"/>
                <w:bCs/>
                <w:sz w:val="22"/>
                <w:lang w:val="en-US" w:eastAsia="zh-CN"/>
              </w:rPr>
              <w:t>[9] Edwards C, Lai T, Ros K, et al. Translation between Molecules and Natural Language[C]//Proceedings of the 2022 Conference on Empirical Methods in Natural Language Processing (EMNLP). 2022: 375-413.</w:t>
            </w:r>
          </w:p>
          <w:p w14:paraId="0DF66B3D">
            <w:pPr>
              <w:spacing w:line="360" w:lineRule="auto"/>
              <w:rPr>
                <w:rFonts w:hint="default" w:ascii="Times New Roman" w:hAnsi="Times New Roman"/>
                <w:bCs/>
                <w:sz w:val="22"/>
                <w:lang w:val="en-US" w:eastAsia="zh-CN"/>
              </w:rPr>
            </w:pPr>
            <w:r>
              <w:rPr>
                <w:rFonts w:hint="default" w:ascii="Times New Roman" w:hAnsi="Times New Roman"/>
                <w:bCs/>
                <w:sz w:val="22"/>
                <w:lang w:val="en-US" w:eastAsia="zh-CN"/>
              </w:rPr>
              <w:t xml:space="preserve">[10] </w:t>
            </w:r>
            <w:r>
              <w:rPr>
                <w:rFonts w:hint="eastAsia" w:ascii="Times New Roman" w:hAnsi="Times New Roman"/>
                <w:bCs/>
                <w:sz w:val="22"/>
                <w:lang w:val="en-US" w:eastAsia="zh-CN"/>
              </w:rPr>
              <w:t>Zhang J, Bian Y, Chen Y, et al. UniMoT: Unified Molecule-Text Language Model with Discrete Token Representation[J]. arXiv preprint arXiv:2408.00863, 2024.</w:t>
            </w:r>
            <w:bookmarkStart w:id="0" w:name="_GoBack"/>
            <w:bookmarkEnd w:id="0"/>
          </w:p>
          <w:p w14:paraId="5A4916A8">
            <w:pPr>
              <w:spacing w:line="360" w:lineRule="auto"/>
              <w:rPr>
                <w:rFonts w:ascii="宋体" w:hAnsi="宋体"/>
                <w:bCs/>
                <w:sz w:val="22"/>
              </w:rPr>
            </w:pPr>
          </w:p>
          <w:p w14:paraId="275F7048">
            <w:pPr>
              <w:spacing w:line="360" w:lineRule="auto"/>
              <w:jc w:val="right"/>
              <w:rPr>
                <w:rFonts w:ascii="宋体" w:hAnsi="宋体"/>
                <w:sz w:val="24"/>
                <w:szCs w:val="24"/>
              </w:rPr>
            </w:pPr>
          </w:p>
        </w:tc>
      </w:tr>
      <w:tr w14:paraId="6ACE34C6">
        <w:trPr>
          <w:cantSplit/>
          <w:trHeight w:val="837" w:hRule="atLeast"/>
          <w:jc w:val="center"/>
        </w:trPr>
        <w:tc>
          <w:tcPr>
            <w:tcW w:w="0" w:type="auto"/>
            <w:textDirection w:val="tbRlV"/>
            <w:vAlign w:val="center"/>
          </w:tcPr>
          <w:p w14:paraId="31808C80">
            <w:pPr>
              <w:spacing w:line="360" w:lineRule="auto"/>
              <w:ind w:left="113" w:right="113"/>
              <w:jc w:val="center"/>
              <w:rPr>
                <w:rFonts w:ascii="宋体" w:hAnsi="宋体"/>
                <w:sz w:val="22"/>
                <w:szCs w:val="24"/>
              </w:rPr>
            </w:pPr>
            <w:r>
              <w:rPr>
                <w:rFonts w:hint="eastAsia" w:ascii="宋体" w:hAnsi="宋体"/>
                <w:sz w:val="22"/>
                <w:szCs w:val="24"/>
              </w:rPr>
              <w:t>签名</w:t>
            </w:r>
          </w:p>
        </w:tc>
        <w:tc>
          <w:tcPr>
            <w:tcW w:w="0" w:type="auto"/>
            <w:gridSpan w:val="3"/>
            <w:vAlign w:val="bottom"/>
          </w:tcPr>
          <w:p w14:paraId="04A4C2D4">
            <w:pPr>
              <w:spacing w:line="360" w:lineRule="auto"/>
              <w:jc w:val="right"/>
              <w:rPr>
                <w:rFonts w:ascii="仿宋" w:hAnsi="仿宋" w:eastAsia="仿宋"/>
                <w:w w:val="95"/>
                <w:sz w:val="22"/>
                <w:szCs w:val="24"/>
              </w:rPr>
            </w:pPr>
            <w:r>
              <w:rPr>
                <w:rFonts w:hint="eastAsia" w:ascii="宋体" w:hAnsi="宋体"/>
                <w:bCs/>
                <w:sz w:val="22"/>
              </w:rPr>
              <w:t xml:space="preserve">指导教师签名：                   </w:t>
            </w:r>
            <w:r>
              <w:rPr>
                <w:rFonts w:hint="default" w:ascii="宋体" w:hAnsi="宋体"/>
                <w:bCs/>
                <w:sz w:val="22"/>
                <w:lang w:val="en-US"/>
              </w:rPr>
              <w:t>2024</w:t>
            </w:r>
            <w:r>
              <w:rPr>
                <w:rFonts w:hint="eastAsia" w:ascii="宋体" w:hAnsi="宋体"/>
                <w:bCs/>
                <w:sz w:val="22"/>
              </w:rPr>
              <w:t xml:space="preserve">年   </w:t>
            </w:r>
            <w:r>
              <w:rPr>
                <w:rFonts w:hint="default" w:ascii="宋体" w:hAnsi="宋体"/>
                <w:bCs/>
                <w:sz w:val="22"/>
                <w:lang w:val="en-US"/>
              </w:rPr>
              <w:t>12</w:t>
            </w:r>
            <w:r>
              <w:rPr>
                <w:rFonts w:hint="eastAsia" w:ascii="宋体" w:hAnsi="宋体"/>
                <w:bCs/>
                <w:sz w:val="22"/>
              </w:rPr>
              <w:t xml:space="preserve">月   </w:t>
            </w:r>
            <w:r>
              <w:rPr>
                <w:rFonts w:hint="default" w:ascii="宋体" w:hAnsi="宋体"/>
                <w:bCs/>
                <w:sz w:val="22"/>
                <w:lang w:val="en-US"/>
              </w:rPr>
              <w:t>12</w:t>
            </w:r>
            <w:r>
              <w:rPr>
                <w:rFonts w:hint="eastAsia" w:ascii="宋体" w:hAnsi="宋体"/>
                <w:bCs/>
                <w:sz w:val="22"/>
              </w:rPr>
              <w:t>日</w:t>
            </w:r>
          </w:p>
        </w:tc>
      </w:tr>
    </w:tbl>
    <w:p w14:paraId="0B0325F0">
      <w:pPr>
        <w:jc w:val="left"/>
        <w:rPr>
          <w:rFonts w:ascii="仿宋" w:hAnsi="仿宋" w:eastAsia="仿宋"/>
          <w:szCs w:val="24"/>
        </w:rPr>
      </w:pPr>
      <w:r>
        <w:rPr>
          <w:rFonts w:hint="eastAsia" w:ascii="仿宋" w:hAnsi="仿宋" w:eastAsia="仿宋"/>
          <w:szCs w:val="24"/>
        </w:rPr>
        <w:t>注：不足部分可加页。</w:t>
      </w:r>
    </w:p>
    <w:p w14:paraId="53944072">
      <w:pPr>
        <w:adjustRightInd w:val="0"/>
        <w:snapToGrid w:val="0"/>
        <w:spacing w:line="440" w:lineRule="exact"/>
        <w:jc w:val="left"/>
        <w:rPr>
          <w:rFonts w:hint="eastAsia" w:ascii="仿宋" w:hAnsi="仿宋" w:eastAsia="仿宋"/>
          <w:szCs w:val="21"/>
        </w:rPr>
      </w:pPr>
    </w:p>
    <w:sectPr>
      <w:headerReference r:id="rId3" w:type="default"/>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2BE8B">
    <w:pPr>
      <w:pStyle w:val="4"/>
      <w:jc w:val="center"/>
    </w:pPr>
  </w:p>
  <w:p w14:paraId="53ED7E76">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354C4">
    <w:pPr>
      <w:pStyle w:val="5"/>
      <w:tabs>
        <w:tab w:val="left" w:pos="6237"/>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7CB830"/>
    <w:multiLevelType w:val="singleLevel"/>
    <w:tmpl w:val="FD7CB830"/>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73F4"/>
    <w:rsid w:val="000273F4"/>
    <w:rsid w:val="0005004C"/>
    <w:rsid w:val="00075170"/>
    <w:rsid w:val="002371B6"/>
    <w:rsid w:val="00284D3D"/>
    <w:rsid w:val="003107CB"/>
    <w:rsid w:val="005208AE"/>
    <w:rsid w:val="005312EC"/>
    <w:rsid w:val="00544CD6"/>
    <w:rsid w:val="005B5BCB"/>
    <w:rsid w:val="006A7451"/>
    <w:rsid w:val="006E12B8"/>
    <w:rsid w:val="0071129A"/>
    <w:rsid w:val="00823975"/>
    <w:rsid w:val="008D4F7F"/>
    <w:rsid w:val="009A79F4"/>
    <w:rsid w:val="009D0C0E"/>
    <w:rsid w:val="00A2487E"/>
    <w:rsid w:val="00A27BD5"/>
    <w:rsid w:val="00A771E0"/>
    <w:rsid w:val="00AE72F5"/>
    <w:rsid w:val="00B3453F"/>
    <w:rsid w:val="00B87CC9"/>
    <w:rsid w:val="00BD5547"/>
    <w:rsid w:val="00C3783F"/>
    <w:rsid w:val="00C936AF"/>
    <w:rsid w:val="00CB5304"/>
    <w:rsid w:val="00D83437"/>
    <w:rsid w:val="00EE622C"/>
    <w:rsid w:val="02DE5ECF"/>
    <w:rsid w:val="0B7E7169"/>
    <w:rsid w:val="17F610B2"/>
    <w:rsid w:val="2650413E"/>
    <w:rsid w:val="4CF3FF9B"/>
    <w:rsid w:val="61584097"/>
    <w:rsid w:val="6FE75AF3"/>
    <w:rsid w:val="731E44A8"/>
    <w:rsid w:val="78FB7FE0"/>
    <w:rsid w:val="7AF57327"/>
    <w:rsid w:val="C47EC4C6"/>
    <w:rsid w:val="CDF6BEF5"/>
    <w:rsid w:val="D6F61827"/>
    <w:rsid w:val="E43F1574"/>
    <w:rsid w:val="E7AFA8FA"/>
    <w:rsid w:val="EEDD97F9"/>
    <w:rsid w:val="EFFE29B4"/>
    <w:rsid w:val="FDDE4FD8"/>
    <w:rsid w:val="FFD27BC5"/>
    <w:rsid w:val="FFF5641A"/>
    <w:rsid w:val="FFFF415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unhideWhenUsed/>
    <w:qFormat/>
    <w:uiPriority w:val="0"/>
    <w:rPr>
      <w:rFonts w:ascii="宋体" w:hAnsi="Courier New"/>
      <w:kern w:val="0"/>
      <w:sz w:val="20"/>
      <w:szCs w:val="21"/>
      <w:lang w:val="zh-CN" w:eastAsia="zh-CN"/>
    </w:rPr>
  </w:style>
  <w:style w:type="paragraph" w:styleId="3">
    <w:name w:val="Balloon Text"/>
    <w:basedOn w:val="1"/>
    <w:link w:val="12"/>
    <w:semiHidden/>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lang w:val="zh-CN" w:eastAsia="zh-CN"/>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lang w:val="zh-CN" w:eastAsia="zh-CN"/>
    </w:rPr>
  </w:style>
  <w:style w:type="paragraph" w:styleId="6">
    <w:name w:val="Normal (Web)"/>
    <w:basedOn w:val="1"/>
    <w:semiHidden/>
    <w:unhideWhenUsed/>
    <w:uiPriority w:val="99"/>
    <w:rPr>
      <w:sz w:val="24"/>
    </w:rPr>
  </w:style>
  <w:style w:type="character" w:customStyle="1" w:styleId="9">
    <w:name w:val="页眉 字符"/>
    <w:basedOn w:val="8"/>
    <w:link w:val="5"/>
    <w:qFormat/>
    <w:uiPriority w:val="99"/>
    <w:rPr>
      <w:rFonts w:ascii="Calibri" w:hAnsi="Calibri" w:eastAsia="宋体" w:cs="Times New Roman"/>
      <w:sz w:val="18"/>
      <w:szCs w:val="18"/>
      <w:lang w:val="zh-CN" w:eastAsia="zh-CN"/>
    </w:rPr>
  </w:style>
  <w:style w:type="character" w:customStyle="1" w:styleId="10">
    <w:name w:val="页脚 字符"/>
    <w:basedOn w:val="8"/>
    <w:link w:val="4"/>
    <w:qFormat/>
    <w:uiPriority w:val="99"/>
    <w:rPr>
      <w:rFonts w:ascii="Calibri" w:hAnsi="Calibri" w:eastAsia="宋体" w:cs="Times New Roman"/>
      <w:sz w:val="18"/>
      <w:szCs w:val="18"/>
      <w:lang w:val="zh-CN" w:eastAsia="zh-CN"/>
    </w:rPr>
  </w:style>
  <w:style w:type="character" w:customStyle="1" w:styleId="11">
    <w:name w:val="纯文本 字符"/>
    <w:basedOn w:val="8"/>
    <w:link w:val="2"/>
    <w:qFormat/>
    <w:uiPriority w:val="0"/>
    <w:rPr>
      <w:rFonts w:ascii="宋体" w:hAnsi="Courier New" w:eastAsia="宋体" w:cs="Times New Roman"/>
      <w:kern w:val="0"/>
      <w:sz w:val="20"/>
      <w:szCs w:val="21"/>
      <w:lang w:val="zh-CN" w:eastAsia="zh-CN"/>
    </w:rPr>
  </w:style>
  <w:style w:type="character" w:customStyle="1" w:styleId="12">
    <w:name w:val="批注框文本 字符"/>
    <w:basedOn w:val="8"/>
    <w:link w:val="3"/>
    <w:semiHidden/>
    <w:qFormat/>
    <w:uiPriority w:val="99"/>
    <w:rPr>
      <w:rFonts w:ascii="Calibri" w:hAnsi="Calibri" w:eastAsia="宋体" w:cs="Times New Roman"/>
      <w:sz w:val="18"/>
      <w:szCs w:val="18"/>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mycomputer</Company>
  <Pages>7</Pages>
  <Words>756</Words>
  <Characters>1857</Characters>
  <Lines>6</Lines>
  <Paragraphs>1</Paragraphs>
  <TotalTime>28</TotalTime>
  <ScaleCrop>false</ScaleCrop>
  <LinksUpToDate>false</LinksUpToDate>
  <CharactersWithSpaces>2114</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2016-05-11T15:18:00Z</dcterms:created>
  <dc:creator>Administrator</dc:creator>
  <cp:lastModifiedBy>你猜</cp:lastModifiedBy>
  <dcterms:modified xsi:type="dcterms:W3CDTF">2025-12-31T16:26:19Z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F71B08EFD93045459375529C7031C7F3_12</vt:lpwstr>
  </property>
</Properties>
</file>