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57FC3" w14:textId="65CAD1AD" w:rsidR="0050792C" w:rsidRDefault="00F60FFD" w:rsidP="00CC08D0">
      <w:pPr>
        <w:spacing w:line="240" w:lineRule="auto"/>
      </w:pPr>
      <w:r>
        <w:t>Justin Vernieri</w:t>
      </w:r>
    </w:p>
    <w:p w14:paraId="51A61E05" w14:textId="50F2F498" w:rsidR="00F60FFD" w:rsidRDefault="006A5905" w:rsidP="00CC08D0">
      <w:pPr>
        <w:spacing w:line="240" w:lineRule="auto"/>
      </w:pPr>
      <w:r>
        <w:t>Final Project</w:t>
      </w:r>
      <w:r w:rsidR="00CF6089">
        <w:t xml:space="preserve"> – Forecasting Solar Energy Consumption</w:t>
      </w:r>
    </w:p>
    <w:p w14:paraId="5BD7954A" w14:textId="77777777" w:rsidR="00CC08D0" w:rsidRDefault="00CC08D0" w:rsidP="00CC08D0">
      <w:pPr>
        <w:spacing w:line="240" w:lineRule="auto"/>
      </w:pPr>
    </w:p>
    <w:p w14:paraId="33DCA117" w14:textId="7CF1FE10" w:rsidR="00A14EDF" w:rsidRPr="00A14EDF" w:rsidRDefault="00A14EDF" w:rsidP="00CC08D0">
      <w:pPr>
        <w:spacing w:line="240" w:lineRule="auto"/>
        <w:rPr>
          <w:b/>
          <w:bCs/>
        </w:rPr>
      </w:pPr>
      <w:r w:rsidRPr="00A14EDF">
        <w:rPr>
          <w:b/>
          <w:bCs/>
        </w:rPr>
        <w:t>Forecast and Conclusion</w:t>
      </w:r>
    </w:p>
    <w:p w14:paraId="4DABE60F" w14:textId="7948C4D9" w:rsidR="00D50A36" w:rsidRDefault="00D50A36" w:rsidP="00E038FC">
      <w:pPr>
        <w:spacing w:line="240" w:lineRule="auto"/>
      </w:pPr>
      <w:r>
        <w:t>Th</w:t>
      </w:r>
      <w:r w:rsidR="002259AF">
        <w:t xml:space="preserve">is project </w:t>
      </w:r>
      <w:r>
        <w:t>forecast</w:t>
      </w:r>
      <w:r w:rsidR="002259AF">
        <w:t>s</w:t>
      </w:r>
      <w:r>
        <w:t xml:space="preserve"> solar energy consumption in the United States using monthly data from 1984 to 2024. </w:t>
      </w:r>
      <w:r w:rsidR="00B832DC">
        <w:t xml:space="preserve">The </w:t>
      </w:r>
      <w:r w:rsidR="00412873">
        <w:t xml:space="preserve">original </w:t>
      </w:r>
      <w:r w:rsidR="00B832DC">
        <w:t xml:space="preserve">time </w:t>
      </w:r>
      <w:r w:rsidR="001672EF">
        <w:t>series</w:t>
      </w:r>
      <w:r w:rsidR="00B832DC">
        <w:t xml:space="preserve"> shows</w:t>
      </w:r>
      <w:r w:rsidR="00FD4684">
        <w:t xml:space="preserve"> a</w:t>
      </w:r>
      <w:r w:rsidR="00A91540">
        <w:t xml:space="preserve"> strong upward trend in solar energy use, with seasonal peaks </w:t>
      </w:r>
      <w:r w:rsidR="00E96844">
        <w:t xml:space="preserve">in </w:t>
      </w:r>
      <w:r w:rsidR="00A91540">
        <w:t>May, June, and July.</w:t>
      </w:r>
      <w:r w:rsidR="000E4934">
        <w:t xml:space="preserve"> </w:t>
      </w:r>
      <w:r w:rsidR="00E61F4A">
        <w:t>Based on t</w:t>
      </w:r>
      <w:r w:rsidR="00647636">
        <w:t>he two best models</w:t>
      </w:r>
      <w:r w:rsidR="00EB248D">
        <w:t>—ETS</w:t>
      </w:r>
      <w:r w:rsidR="00647636">
        <w:t xml:space="preserve"> and ARIMA</w:t>
      </w:r>
      <w:r w:rsidR="00E61F4A">
        <w:t>(2,1,2)(0,1,1)[12]</w:t>
      </w:r>
      <w:r w:rsidR="00EB248D">
        <w:t xml:space="preserve">—solar </w:t>
      </w:r>
      <w:r w:rsidR="00FD4684">
        <w:t xml:space="preserve">energy </w:t>
      </w:r>
      <w:r w:rsidR="00EB248D">
        <w:t>use</w:t>
      </w:r>
      <w:r w:rsidR="00B832DC">
        <w:t xml:space="preserve"> is expected to continue rising over the next two years</w:t>
      </w:r>
      <w:r w:rsidR="00517E58">
        <w:t xml:space="preserve"> while following its seasonal pattern</w:t>
      </w:r>
      <w:r w:rsidR="00EB248D">
        <w:t xml:space="preserve">. ETS forecasts a peak of ~0.1385 quadrillion BTUs </w:t>
      </w:r>
      <w:r w:rsidR="007E429E">
        <w:t xml:space="preserve">of solar use </w:t>
      </w:r>
      <w:r w:rsidR="00EB248D">
        <w:t>in June 2025, while ARIMA forecasts ~0.1291 for the same month. These projections</w:t>
      </w:r>
      <w:r w:rsidR="0080575C">
        <w:t xml:space="preserve"> </w:t>
      </w:r>
      <w:r w:rsidR="00EB248D">
        <w:t>reflect solar energy’s growing role in meeting climate goals and enhancing national energy security, underscoring the need for continued investment</w:t>
      </w:r>
      <w:r w:rsidR="00707186">
        <w:t xml:space="preserve">, </w:t>
      </w:r>
      <w:r w:rsidR="00EB248D">
        <w:t>policy support</w:t>
      </w:r>
      <w:r w:rsidR="00707186">
        <w:t xml:space="preserve">, and energy grid modernization. </w:t>
      </w:r>
    </w:p>
    <w:p w14:paraId="1D7DE45D" w14:textId="7D7A8156" w:rsidR="00A14EDF" w:rsidRPr="00A14EDF" w:rsidRDefault="00A14EDF" w:rsidP="00B6345A">
      <w:pPr>
        <w:spacing w:line="240" w:lineRule="auto"/>
        <w:rPr>
          <w:b/>
          <w:bCs/>
        </w:rPr>
      </w:pPr>
      <w:r>
        <w:rPr>
          <w:b/>
          <w:bCs/>
        </w:rPr>
        <w:t>Methodology</w:t>
      </w:r>
    </w:p>
    <w:p w14:paraId="2442FBFA" w14:textId="00401D28" w:rsidR="00B84242" w:rsidRDefault="00707186" w:rsidP="00B6345A">
      <w:pPr>
        <w:spacing w:line="240" w:lineRule="auto"/>
      </w:pPr>
      <w:r>
        <w:t xml:space="preserve">Several models were evaluated, including </w:t>
      </w:r>
      <w:r w:rsidR="00B84242">
        <w:t xml:space="preserve">Mean, Naïve, Random Walk, Seasonal Naïve, Holt-Winters, </w:t>
      </w:r>
      <w:r>
        <w:t xml:space="preserve">ETS, </w:t>
      </w:r>
      <w:r w:rsidR="00B84242">
        <w:t xml:space="preserve">and ARIMA. Model </w:t>
      </w:r>
      <w:r w:rsidR="00EB1E31">
        <w:t>performance</w:t>
      </w:r>
      <w:r w:rsidR="00B84242">
        <w:t xml:space="preserve"> was assessed using</w:t>
      </w:r>
      <w:r w:rsidR="00C30BEE">
        <w:t xml:space="preserve"> MAPE</w:t>
      </w:r>
      <w:r w:rsidR="00B84242">
        <w:t xml:space="preserve"> </w:t>
      </w:r>
      <w:r w:rsidR="00C30BEE">
        <w:t>(M</w:t>
      </w:r>
      <w:r w:rsidR="00CA0F10">
        <w:t xml:space="preserve">ean </w:t>
      </w:r>
      <w:r w:rsidR="00C30BEE">
        <w:t>A</w:t>
      </w:r>
      <w:r w:rsidR="00CA0F10">
        <w:t xml:space="preserve">bsolute </w:t>
      </w:r>
      <w:r w:rsidR="00C30BEE">
        <w:t>P</w:t>
      </w:r>
      <w:r w:rsidR="00CA0F10">
        <w:t xml:space="preserve">ercent </w:t>
      </w:r>
      <w:r w:rsidR="00C30BEE">
        <w:t>E</w:t>
      </w:r>
      <w:r w:rsidR="00CA0F10">
        <w:t xml:space="preserve">rror), </w:t>
      </w:r>
      <w:r w:rsidR="00C30BEE">
        <w:t>which provides easy-to-interpret, scale-independent percentage accuracy.</w:t>
      </w:r>
      <w:r w:rsidR="00CF0C50">
        <w:t xml:space="preserve"> </w:t>
      </w:r>
      <w:r w:rsidR="006B1162">
        <w:t xml:space="preserve">Given that the </w:t>
      </w:r>
      <w:r w:rsidR="007C1278">
        <w:t xml:space="preserve">original </w:t>
      </w:r>
      <w:r w:rsidR="006B1162">
        <w:t xml:space="preserve">data ranges from 0 to ~0.12, MAPE </w:t>
      </w:r>
      <w:r w:rsidR="003045BE">
        <w:t xml:space="preserve">avoids </w:t>
      </w:r>
      <w:r w:rsidR="006B1162">
        <w:t xml:space="preserve">the misinterpretation that can happen with </w:t>
      </w:r>
      <w:r w:rsidR="003045BE">
        <w:t xml:space="preserve">RMSE </w:t>
      </w:r>
      <w:r w:rsidR="006B1162">
        <w:t xml:space="preserve">(e.g., </w:t>
      </w:r>
      <w:r w:rsidR="00230390">
        <w:t xml:space="preserve">RMSE of 0.02 </w:t>
      </w:r>
      <w:r w:rsidR="006B1162">
        <w:t>appears</w:t>
      </w:r>
      <w:r w:rsidR="00230390">
        <w:t xml:space="preserve"> small</w:t>
      </w:r>
      <w:r w:rsidR="00246668">
        <w:t xml:space="preserve"> </w:t>
      </w:r>
      <w:r w:rsidR="00230390">
        <w:t xml:space="preserve">but is </w:t>
      </w:r>
      <w:r w:rsidR="00246668">
        <w:t xml:space="preserve">actually </w:t>
      </w:r>
      <w:r w:rsidR="00230390">
        <w:t>large relative to the data</w:t>
      </w:r>
      <w:r w:rsidR="006B1162">
        <w:t xml:space="preserve"> scale)</w:t>
      </w:r>
      <w:r w:rsidR="00230390">
        <w:t xml:space="preserve">. </w:t>
      </w:r>
      <w:r w:rsidR="00BF5CDA">
        <w:t xml:space="preserve">In addition to MAPE, </w:t>
      </w:r>
      <w:r w:rsidR="006B1162">
        <w:t>residual diagnostics—particularly ACF plots—were also used to assess model fit and randomness in forecast errors.</w:t>
      </w:r>
      <w:r w:rsidR="00BF5CDA">
        <w:t xml:space="preserve"> </w:t>
      </w:r>
    </w:p>
    <w:p w14:paraId="7F3C5766" w14:textId="14F744D7" w:rsidR="00A14EDF" w:rsidRPr="00A14EDF" w:rsidRDefault="00A14EDF" w:rsidP="00B6345A">
      <w:pPr>
        <w:spacing w:line="240" w:lineRule="auto"/>
        <w:rPr>
          <w:b/>
          <w:bCs/>
        </w:rPr>
      </w:pPr>
      <w:r>
        <w:rPr>
          <w:b/>
          <w:bCs/>
        </w:rPr>
        <w:t>Exploration and Insights</w:t>
      </w:r>
    </w:p>
    <w:p w14:paraId="68499F49" w14:textId="421FF0F8" w:rsidR="00A14EDF" w:rsidRDefault="00A14EDF" w:rsidP="00B6345A">
      <w:pPr>
        <w:spacing w:line="240" w:lineRule="auto"/>
      </w:pPr>
      <w:r>
        <w:t>T</w:t>
      </w:r>
      <w:r w:rsidR="00CF0C50">
        <w:t>he data, sourced from the U.S. Energy Information Administration (EIA</w:t>
      </w:r>
      <w:r w:rsidR="000B502A">
        <w:t xml:space="preserve">), </w:t>
      </w:r>
      <w:r w:rsidR="00364608">
        <w:t>records</w:t>
      </w:r>
      <w:r w:rsidR="000B502A">
        <w:t xml:space="preserve"> </w:t>
      </w:r>
      <w:r w:rsidR="00364608">
        <w:t xml:space="preserve">and updates </w:t>
      </w:r>
      <w:r w:rsidR="000B502A">
        <w:t xml:space="preserve">monthly solar energy </w:t>
      </w:r>
      <w:r>
        <w:t>use</w:t>
      </w:r>
      <w:r w:rsidR="000B502A">
        <w:t xml:space="preserve"> in Quadrillion British Thermal Units (BTUs) from January 1984 to December 2024. I created a focused window from 2010</w:t>
      </w:r>
      <w:r w:rsidR="00BF0A29">
        <w:t xml:space="preserve"> to </w:t>
      </w:r>
      <w:r w:rsidR="000B502A">
        <w:t xml:space="preserve">2024 </w:t>
      </w:r>
      <w:r w:rsidR="00190CA2">
        <w:t xml:space="preserve">to isolate and </w:t>
      </w:r>
      <w:r w:rsidR="000B502A">
        <w:t xml:space="preserve">capture </w:t>
      </w:r>
      <w:r w:rsidR="00BF0A29">
        <w:t>recent</w:t>
      </w:r>
      <w:r w:rsidR="000B502A">
        <w:t xml:space="preserve"> trends and seasonal dynamics</w:t>
      </w:r>
      <w:r w:rsidR="00190CA2">
        <w:t xml:space="preserve">. </w:t>
      </w:r>
      <w:r w:rsidR="008B70FA">
        <w:t>The</w:t>
      </w:r>
      <w:r w:rsidR="00924744">
        <w:t xml:space="preserve"> </w:t>
      </w:r>
      <w:r w:rsidR="008B70FA">
        <w:t>a</w:t>
      </w:r>
      <w:r w:rsidR="000B502A">
        <w:t xml:space="preserve">utocorrelation plot (ACF) </w:t>
      </w:r>
      <w:r w:rsidR="00924744">
        <w:t xml:space="preserve">of the original data </w:t>
      </w:r>
      <w:r w:rsidR="000B502A">
        <w:t xml:space="preserve">confirmed strong temporal relationships, validating the need for time series modeling. </w:t>
      </w:r>
      <w:r w:rsidR="00351A7C">
        <w:t>It also</w:t>
      </w:r>
      <w:r w:rsidR="003218C2">
        <w:t xml:space="preserve"> show</w:t>
      </w:r>
      <w:r w:rsidR="00351A7C">
        <w:t xml:space="preserve">ed </w:t>
      </w:r>
      <w:r w:rsidR="003218C2">
        <w:t xml:space="preserve">upticks </w:t>
      </w:r>
      <w:r w:rsidR="00F27F20">
        <w:t>in</w:t>
      </w:r>
      <w:r w:rsidR="003218C2">
        <w:t xml:space="preserve"> lags 12 and 24, </w:t>
      </w:r>
      <w:r w:rsidR="00351A7C">
        <w:t>supporting</w:t>
      </w:r>
      <w:r w:rsidR="00C03F1D">
        <w:t xml:space="preserve"> the </w:t>
      </w:r>
      <w:r w:rsidR="003218C2">
        <w:t>presence of seasonality</w:t>
      </w:r>
      <w:r w:rsidR="0051398D">
        <w:t xml:space="preserve">. Decomposition </w:t>
      </w:r>
      <w:r w:rsidR="00070B52">
        <w:t xml:space="preserve">further </w:t>
      </w:r>
      <w:r w:rsidR="0051398D">
        <w:t>showed a dominant trend component (0-0.10), modest but meaningful seasonality (</w:t>
      </w:r>
      <w:r w:rsidR="0051398D" w:rsidRPr="009B3CD8">
        <w:t>±</w:t>
      </w:r>
      <w:r w:rsidR="0051398D">
        <w:t>0.01</w:t>
      </w:r>
      <w:r w:rsidR="0051398D">
        <w:t>), and residuals (</w:t>
      </w:r>
      <w:r w:rsidR="0051398D" w:rsidRPr="0040058E">
        <w:t>±</w:t>
      </w:r>
      <w:r w:rsidR="0051398D">
        <w:t>0.02</w:t>
      </w:r>
      <w:r w:rsidR="0051398D">
        <w:t xml:space="preserve">) that increased after 2020, likely due to structural changes, external shocks, and </w:t>
      </w:r>
      <w:r w:rsidR="008B471F">
        <w:t xml:space="preserve">increasing solar installation after COVID. </w:t>
      </w:r>
      <w:r w:rsidR="00561AE5">
        <w:t xml:space="preserve">In exploring the </w:t>
      </w:r>
      <w:r w:rsidR="00C64355">
        <w:t xml:space="preserve">different </w:t>
      </w:r>
      <w:r w:rsidR="00561AE5">
        <w:t xml:space="preserve">models, </w:t>
      </w:r>
      <w:r w:rsidR="006D25DC">
        <w:t xml:space="preserve">ETS and ARIMA emerged as the best. </w:t>
      </w:r>
      <w:r w:rsidR="00C03F1D">
        <w:t xml:space="preserve">ETS had the best </w:t>
      </w:r>
      <w:r w:rsidR="004A7382">
        <w:t>MAPE</w:t>
      </w:r>
      <w:r w:rsidR="00865FC3">
        <w:t xml:space="preserve"> of ~3.53%, </w:t>
      </w:r>
      <w:r w:rsidR="00C64355">
        <w:t xml:space="preserve">while </w:t>
      </w:r>
      <w:r w:rsidR="00865FC3">
        <w:t xml:space="preserve">ARIMA </w:t>
      </w:r>
      <w:r w:rsidR="00FC65CE">
        <w:t xml:space="preserve">had slightly higher MAPE of </w:t>
      </w:r>
      <w:r w:rsidR="00153630">
        <w:t>~3.70%</w:t>
      </w:r>
      <w:r w:rsidR="00FC65CE">
        <w:t xml:space="preserve"> but cleaner residuals and less autocorrelation.</w:t>
      </w:r>
      <w:r w:rsidR="00153630">
        <w:t xml:space="preserve"> </w:t>
      </w:r>
    </w:p>
    <w:p w14:paraId="4E29FA65" w14:textId="0B560EDD" w:rsidR="00A14EDF" w:rsidRPr="00A14EDF" w:rsidRDefault="00A14EDF" w:rsidP="00B6345A">
      <w:pPr>
        <w:spacing w:line="240" w:lineRule="auto"/>
        <w:rPr>
          <w:b/>
          <w:bCs/>
        </w:rPr>
      </w:pPr>
      <w:r>
        <w:rPr>
          <w:b/>
          <w:bCs/>
        </w:rPr>
        <w:t>Limitations and Recommendations</w:t>
      </w:r>
    </w:p>
    <w:p w14:paraId="3A35F803" w14:textId="7453299B" w:rsidR="004829BB" w:rsidRDefault="00FC65CE" w:rsidP="00B6345A">
      <w:pPr>
        <w:spacing w:line="240" w:lineRule="auto"/>
      </w:pPr>
      <w:r>
        <w:t>While both ETS and ARIMA</w:t>
      </w:r>
      <w:r w:rsidR="00855D10">
        <w:t xml:space="preserve"> performed well, they have limitations.</w:t>
      </w:r>
      <w:r w:rsidR="006E7908">
        <w:t xml:space="preserve"> ETS assumes </w:t>
      </w:r>
      <w:r w:rsidR="00855D10">
        <w:t>stable</w:t>
      </w:r>
      <w:r w:rsidR="006E7908">
        <w:t xml:space="preserve"> patterns </w:t>
      </w:r>
      <w:r w:rsidR="00B31381">
        <w:t>over time,</w:t>
      </w:r>
      <w:r w:rsidR="00D42ABF" w:rsidRPr="00D42ABF">
        <w:t xml:space="preserve"> which may not hold true </w:t>
      </w:r>
      <w:r w:rsidR="00B31381">
        <w:t>under rapid changes in energy tech or policy</w:t>
      </w:r>
      <w:r w:rsidR="00D42ABF" w:rsidRPr="00D42ABF">
        <w:t>.</w:t>
      </w:r>
      <w:r w:rsidR="00D42ABF">
        <w:t xml:space="preserve"> ARIMA, while powerful, assumes linear</w:t>
      </w:r>
      <w:r w:rsidR="00B31381">
        <w:t>ity and is univariate, mi</w:t>
      </w:r>
      <w:r w:rsidR="00EA0E17">
        <w:t>ssing outside factors like</w:t>
      </w:r>
      <w:r w:rsidR="00A460A9">
        <w:t xml:space="preserve"> solar panel</w:t>
      </w:r>
      <w:r w:rsidR="00EA0E17">
        <w:t xml:space="preserve"> adoption rates or energy incentives. Both </w:t>
      </w:r>
      <w:r w:rsidR="008A6A4C">
        <w:t xml:space="preserve">models </w:t>
      </w:r>
      <w:r w:rsidR="00EA0E17">
        <w:t>could be improved by incorporating external variable</w:t>
      </w:r>
      <w:r w:rsidR="00A460A9">
        <w:t>s</w:t>
      </w:r>
      <w:r w:rsidR="00EA0E17">
        <w:t xml:space="preserve"> or re</w:t>
      </w:r>
      <w:r w:rsidR="00A460A9">
        <w:t>-</w:t>
      </w:r>
      <w:r w:rsidR="00EA0E17">
        <w:t>tuning parameters.</w:t>
      </w:r>
      <w:r w:rsidR="00B63C91">
        <w:t xml:space="preserve"> </w:t>
      </w:r>
      <w:r w:rsidR="00BF5455">
        <w:t>Future</w:t>
      </w:r>
      <w:r w:rsidR="00EA0E17">
        <w:t xml:space="preserve"> analysis could involve more rigorous residual check</w:t>
      </w:r>
      <w:r w:rsidR="00944F20">
        <w:t>s</w:t>
      </w:r>
      <w:r w:rsidR="009C517E">
        <w:t xml:space="preserve"> to detect lingering autocorrelation or model </w:t>
      </w:r>
      <w:r w:rsidR="00CB27D2">
        <w:t>misspecification</w:t>
      </w:r>
      <w:r w:rsidR="00AD45CD">
        <w:t xml:space="preserve">, as well as </w:t>
      </w:r>
      <w:r w:rsidR="006A5905">
        <w:t>an in-depth exploration of the</w:t>
      </w:r>
      <w:r w:rsidR="00E21456">
        <w:t xml:space="preserve"> </w:t>
      </w:r>
      <w:r w:rsidR="00723845">
        <w:t xml:space="preserve">confidence intervals </w:t>
      </w:r>
      <w:r w:rsidR="006A5905">
        <w:t>for each forecast. Testing hybrid models such as ARIMAX or dynamic regression would also improve robustness and adaptability.</w:t>
      </w:r>
      <w:r w:rsidR="00AD45CD">
        <w:t xml:space="preserve"> </w:t>
      </w:r>
    </w:p>
    <w:sectPr w:rsidR="00482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AB2"/>
    <w:rsid w:val="00022749"/>
    <w:rsid w:val="00043FB7"/>
    <w:rsid w:val="000614E4"/>
    <w:rsid w:val="00070116"/>
    <w:rsid w:val="00070B52"/>
    <w:rsid w:val="000B502A"/>
    <w:rsid w:val="000E4934"/>
    <w:rsid w:val="000F5B2D"/>
    <w:rsid w:val="00137038"/>
    <w:rsid w:val="00153630"/>
    <w:rsid w:val="001672EF"/>
    <w:rsid w:val="00190CA2"/>
    <w:rsid w:val="00205D05"/>
    <w:rsid w:val="002259AF"/>
    <w:rsid w:val="00230390"/>
    <w:rsid w:val="00246668"/>
    <w:rsid w:val="002611D4"/>
    <w:rsid w:val="0028513A"/>
    <w:rsid w:val="00290120"/>
    <w:rsid w:val="003045BE"/>
    <w:rsid w:val="003218C2"/>
    <w:rsid w:val="00351A7C"/>
    <w:rsid w:val="00364608"/>
    <w:rsid w:val="0037039D"/>
    <w:rsid w:val="00372197"/>
    <w:rsid w:val="00396B5C"/>
    <w:rsid w:val="003D0530"/>
    <w:rsid w:val="003D61A2"/>
    <w:rsid w:val="0040058E"/>
    <w:rsid w:val="00401FDF"/>
    <w:rsid w:val="00412873"/>
    <w:rsid w:val="00454026"/>
    <w:rsid w:val="004829BB"/>
    <w:rsid w:val="00484231"/>
    <w:rsid w:val="00486B29"/>
    <w:rsid w:val="004A7382"/>
    <w:rsid w:val="0050792C"/>
    <w:rsid w:val="0051398D"/>
    <w:rsid w:val="00516B2A"/>
    <w:rsid w:val="00517E58"/>
    <w:rsid w:val="005329BF"/>
    <w:rsid w:val="00561AE5"/>
    <w:rsid w:val="0062138E"/>
    <w:rsid w:val="00641295"/>
    <w:rsid w:val="00647636"/>
    <w:rsid w:val="0068603B"/>
    <w:rsid w:val="006A5905"/>
    <w:rsid w:val="006B1162"/>
    <w:rsid w:val="006D25DC"/>
    <w:rsid w:val="006D31A6"/>
    <w:rsid w:val="006E7908"/>
    <w:rsid w:val="0070280E"/>
    <w:rsid w:val="00707186"/>
    <w:rsid w:val="00723845"/>
    <w:rsid w:val="007B05AB"/>
    <w:rsid w:val="007B4AB2"/>
    <w:rsid w:val="007C1278"/>
    <w:rsid w:val="007D5B94"/>
    <w:rsid w:val="007E429E"/>
    <w:rsid w:val="0080575C"/>
    <w:rsid w:val="00813F50"/>
    <w:rsid w:val="00821BE3"/>
    <w:rsid w:val="00832860"/>
    <w:rsid w:val="00855D10"/>
    <w:rsid w:val="00865FC3"/>
    <w:rsid w:val="00882757"/>
    <w:rsid w:val="008A6A4C"/>
    <w:rsid w:val="008B471F"/>
    <w:rsid w:val="008B70FA"/>
    <w:rsid w:val="008E4358"/>
    <w:rsid w:val="008E7E07"/>
    <w:rsid w:val="008F49E2"/>
    <w:rsid w:val="00924744"/>
    <w:rsid w:val="0094035A"/>
    <w:rsid w:val="00944F20"/>
    <w:rsid w:val="00946FC3"/>
    <w:rsid w:val="00996AD4"/>
    <w:rsid w:val="009B3CD8"/>
    <w:rsid w:val="009C4990"/>
    <w:rsid w:val="009C517E"/>
    <w:rsid w:val="009C5FD7"/>
    <w:rsid w:val="009D2A29"/>
    <w:rsid w:val="009F5773"/>
    <w:rsid w:val="00A14EDF"/>
    <w:rsid w:val="00A35CB0"/>
    <w:rsid w:val="00A460A9"/>
    <w:rsid w:val="00A617BF"/>
    <w:rsid w:val="00A91540"/>
    <w:rsid w:val="00AD45CD"/>
    <w:rsid w:val="00AE67DE"/>
    <w:rsid w:val="00B31381"/>
    <w:rsid w:val="00B40766"/>
    <w:rsid w:val="00B56DE9"/>
    <w:rsid w:val="00B6345A"/>
    <w:rsid w:val="00B63C91"/>
    <w:rsid w:val="00B832DC"/>
    <w:rsid w:val="00B84242"/>
    <w:rsid w:val="00BF0A29"/>
    <w:rsid w:val="00BF5455"/>
    <w:rsid w:val="00BF5CDA"/>
    <w:rsid w:val="00C00C3B"/>
    <w:rsid w:val="00C03F1D"/>
    <w:rsid w:val="00C30BEE"/>
    <w:rsid w:val="00C64355"/>
    <w:rsid w:val="00CA0F10"/>
    <w:rsid w:val="00CB27D2"/>
    <w:rsid w:val="00CC08D0"/>
    <w:rsid w:val="00CF0C50"/>
    <w:rsid w:val="00CF6089"/>
    <w:rsid w:val="00D23880"/>
    <w:rsid w:val="00D42ABF"/>
    <w:rsid w:val="00D454EA"/>
    <w:rsid w:val="00D50A36"/>
    <w:rsid w:val="00D60BB8"/>
    <w:rsid w:val="00DA5CD6"/>
    <w:rsid w:val="00DB6562"/>
    <w:rsid w:val="00DC5D93"/>
    <w:rsid w:val="00DD7970"/>
    <w:rsid w:val="00E038FC"/>
    <w:rsid w:val="00E21456"/>
    <w:rsid w:val="00E3201B"/>
    <w:rsid w:val="00E561A5"/>
    <w:rsid w:val="00E61F4A"/>
    <w:rsid w:val="00E65FDC"/>
    <w:rsid w:val="00E96844"/>
    <w:rsid w:val="00EA0E17"/>
    <w:rsid w:val="00EB06B2"/>
    <w:rsid w:val="00EB1E31"/>
    <w:rsid w:val="00EB248D"/>
    <w:rsid w:val="00EE69CB"/>
    <w:rsid w:val="00F27F20"/>
    <w:rsid w:val="00F60FFD"/>
    <w:rsid w:val="00FA4D07"/>
    <w:rsid w:val="00FC65CE"/>
    <w:rsid w:val="00FD4684"/>
    <w:rsid w:val="00FE01A4"/>
    <w:rsid w:val="00FE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9BE8C"/>
  <w15:chartTrackingRefBased/>
  <w15:docId w15:val="{1865D730-4718-4F90-8719-C4B006B45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A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A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A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A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A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A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A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A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A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A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A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A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A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A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A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A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A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A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A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A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A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A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A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A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A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A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A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A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475</Words>
  <Characters>2712</Characters>
  <Application>Microsoft Office Word</Application>
  <DocSecurity>0</DocSecurity>
  <Lines>22</Lines>
  <Paragraphs>6</Paragraphs>
  <ScaleCrop>false</ScaleCrop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Vernieri</dc:creator>
  <cp:keywords/>
  <dc:description/>
  <cp:lastModifiedBy>Justin Vernieri</cp:lastModifiedBy>
  <cp:revision>128</cp:revision>
  <dcterms:created xsi:type="dcterms:W3CDTF">2025-04-06T20:09:00Z</dcterms:created>
  <dcterms:modified xsi:type="dcterms:W3CDTF">2025-04-22T22:19:00Z</dcterms:modified>
</cp:coreProperties>
</file>