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56.png" ContentType="image/png"/>
  <Override PartName="/word/media/rId59.png" ContentType="image/png"/>
  <Override PartName="/word/media/rId22.png" ContentType="image/png"/>
  <Override PartName="/word/media/rId25.png" ContentType="image/png"/>
  <Override PartName="/word/media/rId30.png" ContentType="image/png"/>
  <Override PartName="/word/media/rId34.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2024-06-26</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w:t>
      </w:r>
    </w:p>
    <w:p>
      <w:pPr>
        <w:pStyle w:val="BodyText"/>
      </w:pPr>
      <w:r>
        <w:t xml:space="preserve">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w:t>
      </w:r>
      <w:r>
        <w:t xml:space="preserve">typical</w:t>
      </w:r>
      <w:r>
        <w:t xml:space="preserve">”</w:t>
      </w:r>
      <w:r>
        <w:t xml:space="preserve"> </w:t>
      </w:r>
      <w:r>
        <w:t xml:space="preserve">observation. This report will mainly observe the open rate and click-to-open rate of these various email campaigns, where click-to-open rate is the number of clicks divided by the number of opens. It is a measure of engagement, the proportion of people who open the email who interact with it.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 sizes within these data vary wildly. Some have list sizes of just 50, while others have list sizes of almost 30,000. The average list size is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584"/>
        <w:gridCol w:w="1584"/>
        <w:gridCol w:w="1584"/>
        <w:gridCol w:w="1584"/>
        <w:gridCol w:w="1584"/>
      </w:tblGrid>
      <w:tr>
        <w:trPr>
          <w:tblHeader w:val="true"/>
        </w:trPr>
        <w:tc>
          <w:tcPr/>
          <w:p>
            <w:pPr>
              <w:pStyle w:val="Compact"/>
              <w:jc w:val="center"/>
            </w:pPr>
            <w:r>
              <w:t xml:space="preserve">Size</w:t>
            </w:r>
          </w:p>
        </w:tc>
        <w:tc>
          <w:tcPr/>
          <w:p>
            <w:pPr>
              <w:pStyle w:val="Compact"/>
              <w:jc w:val="center"/>
            </w:pPr>
            <w:r>
              <w:t xml:space="preserve">Count</w:t>
            </w:r>
          </w:p>
        </w:tc>
        <w:tc>
          <w:tcPr/>
          <w:p>
            <w:pPr>
              <w:pStyle w:val="Compact"/>
              <w:jc w:val="center"/>
            </w:pPr>
            <w:r>
              <w:t xml:space="preserve">Median List Size</w:t>
            </w:r>
          </w:p>
        </w:tc>
        <w:tc>
          <w:tcPr/>
          <w:p>
            <w:pPr>
              <w:pStyle w:val="Compact"/>
              <w:jc w:val="center"/>
            </w:pPr>
            <w:r>
              <w:t xml:space="preserve">Median Open Rate</w:t>
            </w:r>
          </w:p>
        </w:tc>
        <w:tc>
          <w:tcPr/>
          <w:p>
            <w:pPr>
              <w:pStyle w:val="Compact"/>
              <w:jc w:val="center"/>
            </w:pPr>
            <w:r>
              <w:t xml:space="preserve">Median Click-to-Open Rate</w:t>
            </w:r>
          </w:p>
        </w:tc>
      </w:tr>
      <w:tr>
        <w:tc>
          <w:tcPr/>
          <w:p>
            <w:pPr>
              <w:pStyle w:val="Compact"/>
              <w:jc w:val="center"/>
            </w:pPr>
            <w:r>
              <w:t xml:space="preserve">All</w:t>
            </w:r>
          </w:p>
        </w:tc>
        <w:tc>
          <w:tcPr/>
          <w:p>
            <w:pPr>
              <w:pStyle w:val="Compact"/>
              <w:jc w:val="center"/>
            </w:pPr>
            <w:r>
              <w:t xml:space="preserve">59</w:t>
            </w:r>
          </w:p>
        </w:tc>
        <w:tc>
          <w:tcPr/>
          <w:p>
            <w:pPr>
              <w:pStyle w:val="Compact"/>
              <w:jc w:val="center"/>
            </w:pPr>
            <w:r>
              <w:t xml:space="preserve">1403</w:t>
            </w:r>
          </w:p>
        </w:tc>
        <w:tc>
          <w:tcPr/>
          <w:p>
            <w:pPr>
              <w:pStyle w:val="Compact"/>
              <w:jc w:val="center"/>
            </w:pPr>
            <w:r>
              <w:t xml:space="preserve">33.27%</w:t>
            </w:r>
          </w:p>
        </w:tc>
        <w:tc>
          <w:tcPr/>
          <w:p>
            <w:pPr>
              <w:pStyle w:val="Compact"/>
              <w:jc w:val="center"/>
            </w:pPr>
            <w:r>
              <w:t xml:space="preserve">3.09%</w:t>
            </w:r>
          </w:p>
        </w:tc>
      </w:tr>
      <w:tr>
        <w:tc>
          <w:tcPr/>
          <w:p>
            <w:pPr>
              <w:pStyle w:val="Compact"/>
              <w:jc w:val="center"/>
            </w:pPr>
            <w:r>
              <w:t xml:space="preserve">Large</w:t>
            </w:r>
          </w:p>
        </w:tc>
        <w:tc>
          <w:tcPr/>
          <w:p>
            <w:pPr>
              <w:pStyle w:val="Compact"/>
              <w:jc w:val="center"/>
            </w:pPr>
            <w:r>
              <w:t xml:space="preserve">27</w:t>
            </w:r>
          </w:p>
        </w:tc>
        <w:tc>
          <w:tcPr/>
          <w:p>
            <w:pPr>
              <w:pStyle w:val="Compact"/>
              <w:jc w:val="center"/>
            </w:pPr>
            <w:r>
              <w:t xml:space="preserve">4219</w:t>
            </w:r>
          </w:p>
        </w:tc>
        <w:tc>
          <w:tcPr/>
          <w:p>
            <w:pPr>
              <w:pStyle w:val="Compact"/>
              <w:jc w:val="center"/>
            </w:pPr>
            <w:r>
              <w:t xml:space="preserve">33.28%</w:t>
            </w:r>
          </w:p>
        </w:tc>
        <w:tc>
          <w:tcPr/>
          <w:p>
            <w:pPr>
              <w:pStyle w:val="Compact"/>
              <w:jc w:val="center"/>
            </w:pPr>
            <w:r>
              <w:t xml:space="preserve">2.56%</w:t>
            </w:r>
          </w:p>
        </w:tc>
      </w:tr>
      <w:tr>
        <w:tc>
          <w:tcPr/>
          <w:p>
            <w:pPr>
              <w:pStyle w:val="Compact"/>
              <w:jc w:val="center"/>
            </w:pPr>
            <w:r>
              <w:t xml:space="preserve">Small</w:t>
            </w:r>
          </w:p>
        </w:tc>
        <w:tc>
          <w:tcPr/>
          <w:p>
            <w:pPr>
              <w:pStyle w:val="Compact"/>
              <w:jc w:val="center"/>
            </w:pPr>
            <w:r>
              <w:t xml:space="preserve">32</w:t>
            </w:r>
          </w:p>
        </w:tc>
        <w:tc>
          <w:tcPr/>
          <w:p>
            <w:pPr>
              <w:pStyle w:val="Compact"/>
              <w:jc w:val="center"/>
            </w:pPr>
            <w:r>
              <w:t xml:space="preserve">838</w:t>
            </w:r>
          </w:p>
        </w:tc>
        <w:tc>
          <w:tcPr/>
          <w:p>
            <w:pPr>
              <w:pStyle w:val="Compact"/>
              <w:jc w:val="center"/>
            </w:pPr>
            <w:r>
              <w:t xml:space="preserve">32.99%</w:t>
            </w:r>
          </w:p>
        </w:tc>
        <w:tc>
          <w:tcPr/>
          <w:p>
            <w:pPr>
              <w:pStyle w:val="Compact"/>
              <w:jc w:val="center"/>
            </w:pPr>
            <w:r>
              <w:t xml:space="preserve">3.98%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or click-to-open rate.</w:t>
      </w:r>
    </w:p>
    <w:bookmarkEnd w:id="21"/>
    <w:bookmarkStart w:id="29" w:name="day-of-the-week"/>
    <w:p>
      <w:pPr>
        <w:pStyle w:val="Heading1"/>
      </w:pPr>
      <w:r>
        <w:t xml:space="preserve">Day of the Week</w:t>
      </w:r>
    </w:p>
    <w:p>
      <w:pPr>
        <w:pStyle w:val="FirstParagraph"/>
      </w:pPr>
      <w:r>
        <w:t xml:space="preserve">Once work on an email campaign is finished, perhaps the biggest question faced is when to send it out. Below is a side-by-side box-and-whisker plot of the open rate plotted by day of the week. The lime colored line represents the median open rate for each day. The white text is that median.</w:t>
      </w:r>
    </w:p>
    <w:p>
      <w:pPr>
        <w:pStyle w:val="BodyText"/>
      </w:pPr>
      <w:r>
        <w:drawing>
          <wp:inline>
            <wp:extent cx="5334000" cy="4267200"/>
            <wp:effectExtent b="0" l="0" r="0" t="0"/>
            <wp:docPr descr="" title="" id="23" name="Picture"/>
            <a:graphic>
              <a:graphicData uri="http://schemas.openxmlformats.org/drawingml/2006/picture">
                <pic:pic>
                  <pic:nvPicPr>
                    <pic:cNvPr descr="emailProject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reveals that not all days are equal. Unfortunately, there was not enough data on Saturday or Sunday, so they were excluded. Friday and Tuesday seem to be the best days to send campaigns, and Wednesday and Thursday are the worst days. This relationship is statistically significant. Despite being that,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click-to-open rate are Thursday and Wednesday, respectively. The two lowest days are Friday and Sunday. Friday being the second worst day for engagement is very surprising, especially considering that it is the best day for opens. This disparity makes a</w:t>
      </w:r>
      <w:r>
        <w:t xml:space="preserve"> </w:t>
      </w:r>
      <w:r>
        <w:t xml:space="preserve">“</w:t>
      </w:r>
      <w:r>
        <w:t xml:space="preserve">best day</w:t>
      </w:r>
      <w:r>
        <w:t xml:space="preserve">”</w:t>
      </w:r>
      <w:r>
        <w:t xml:space="preserve"> </w:t>
      </w:r>
      <w:r>
        <w:t xml:space="preserve">very hard to determine. Some days have high open rates, while other days have high click-to-open rates. Ultimately, it will be up to the individual to decide which is more valuable to him: opens or engagement The only thing that can definitively be said is that Mondays have low open and click-to-open rates; do not send email campaigns on Mondays.</w:t>
      </w:r>
    </w:p>
    <w:bookmarkStart w:id="28"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click-to-open rates for every single day increased after COVID, as seen in the visualization below.</w:t>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and it represents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still Tuesday and Friday. However, Monday is now much better than it was.</w:t>
      </w:r>
    </w:p>
    <w:p>
      <w:pPr>
        <w:pStyle w:val="BodyText"/>
      </w:pPr>
      <w:r>
        <w:t xml:space="preserve">COVID made click-to-open rates decrease. The median click-to-open rate before the pandemic was 5.39%, but it is 2.40% after the pandemic. The days with the best click-to-open rates post-pandemic are Wednesday and Thursday, and the worst days are Monday and Friday. Once again, because the best days for open and click-to-open rate differ, it is up to the individual which is more important.</w:t>
      </w:r>
    </w:p>
    <w:bookmarkEnd w:id="28"/>
    <w:bookmarkEnd w:id="29"/>
    <w:bookmarkStart w:id="48" w:name="subject-line"/>
    <w:p>
      <w:pPr>
        <w:pStyle w:val="Heading1"/>
      </w:pPr>
      <w:r>
        <w:t xml:space="preserve">Subject Line</w:t>
      </w:r>
    </w:p>
    <w:p>
      <w:pPr>
        <w:pStyle w:val="FirstParagraph"/>
      </w:pPr>
      <w:r>
        <w:t xml:space="preserve">The subject line is one of if not the most important part of an email when it comes to engaging a potential donor. It is the first thing he will see. It is imperative, therefore, to maximize the effectiveness of the subject line.</w:t>
      </w:r>
    </w:p>
    <w:bookmarkStart w:id="33"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4267200"/>
            <wp:effectExtent b="0" l="0" r="0" t="0"/>
            <wp:docPr descr="" title="" id="31" name="Picture"/>
            <a:graphic>
              <a:graphicData uri="http://schemas.openxmlformats.org/drawingml/2006/picture">
                <pic:pic>
                  <pic:nvPicPr>
                    <pic:cNvPr descr="emailProject_files/figure-docx/unnamed-chunk-4-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even statistically significant.</w:t>
      </w:r>
      <w:r>
        <w:t xml:space="preserve"> </w:t>
      </w:r>
      <m:oMath>
        <m:sSup>
          <m:e>
            <m:r>
              <m:t>R</m:t>
            </m:r>
          </m:e>
          <m:sup>
            <m:r>
              <m:t>2</m:t>
            </m:r>
          </m:sup>
        </m:sSup>
      </m:oMath>
      <w:r>
        <w:t xml:space="preserve"> </w:t>
      </w:r>
      <w:r>
        <w:t xml:space="preserve">is a measure of goodness-of-fit. It essentially measures how much the variation in open rate is caused by subject length. The</w:t>
      </w:r>
      <w:r>
        <w:t xml:space="preserve"> </w:t>
      </w:r>
      <m:oMath>
        <m:sSup>
          <m:e>
            <m:r>
              <m:t>R</m:t>
            </m:r>
          </m:e>
          <m:sup>
            <m:r>
              <m:t>2</m:t>
            </m:r>
          </m:sup>
        </m:sSup>
      </m:oMath>
      <w:r>
        <w:t xml:space="preserve"> </w:t>
      </w:r>
      <w:r>
        <w:t xml:space="preserve">value for this model is 1.01%. Only 1% of the variation in open rate is caused by subject length.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33"/>
    <w:bookmarkStart w:id="42"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Punctuation</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Click-to-Open Rate</w:t>
            </w:r>
          </w:p>
        </w:tc>
      </w:tr>
      <w:tr>
        <w:tc>
          <w:tcPr/>
          <w:p>
            <w:pPr>
              <w:pStyle w:val="Compact"/>
              <w:jc w:val="center"/>
            </w:pPr>
            <w:r>
              <w:t xml:space="preserve">No</w:t>
            </w:r>
          </w:p>
        </w:tc>
        <w:tc>
          <w:tcPr/>
          <w:p>
            <w:pPr>
              <w:pStyle w:val="Compact"/>
              <w:jc w:val="center"/>
            </w:pPr>
            <w:r>
              <w:t xml:space="preserve">178</w:t>
            </w:r>
          </w:p>
        </w:tc>
        <w:tc>
          <w:tcPr/>
          <w:p>
            <w:pPr>
              <w:pStyle w:val="Compact"/>
              <w:jc w:val="center"/>
            </w:pPr>
            <w:r>
              <w:t xml:space="preserve">34.69%</w:t>
            </w:r>
          </w:p>
        </w:tc>
        <w:tc>
          <w:tcPr/>
          <w:p>
            <w:pPr>
              <w:pStyle w:val="Compact"/>
              <w:jc w:val="center"/>
            </w:pPr>
            <w:r>
              <w:t xml:space="preserve">2.03%</w:t>
            </w:r>
          </w:p>
        </w:tc>
      </w:tr>
      <w:tr>
        <w:tc>
          <w:tcPr/>
          <w:p>
            <w:pPr>
              <w:pStyle w:val="Compact"/>
              <w:jc w:val="center"/>
            </w:pPr>
            <w:r>
              <w:t xml:space="preserve">Yes</w:t>
            </w:r>
          </w:p>
        </w:tc>
        <w:tc>
          <w:tcPr/>
          <w:p>
            <w:pPr>
              <w:pStyle w:val="Compact"/>
              <w:jc w:val="center"/>
            </w:pPr>
            <w:r>
              <w:t xml:space="preserve">432</w:t>
            </w:r>
          </w:p>
        </w:tc>
        <w:tc>
          <w:tcPr/>
          <w:p>
            <w:pPr>
              <w:pStyle w:val="Compact"/>
              <w:jc w:val="center"/>
            </w:pPr>
            <w:r>
              <w:t xml:space="preserve">32.84%</w:t>
            </w:r>
          </w:p>
        </w:tc>
        <w:tc>
          <w:tcPr/>
          <w:p>
            <w:pPr>
              <w:pStyle w:val="Compact"/>
              <w:jc w:val="center"/>
            </w:pPr>
            <w:r>
              <w:t xml:space="preserve">4.17%</w:t>
            </w:r>
          </w:p>
        </w:tc>
      </w:tr>
    </w:tbl>
    <w:p>
      <w:pPr>
        <w:pStyle w:val="BodyText"/>
      </w:pPr>
      <w:r>
        <w:t xml:space="preserve">The presence of punctuation does not significantly affect open or click-to-open rate. However, just like the days of the week, one must choose whether he wants a higher open or click-to-open rate. Subject lines with no punctuation have a higher open rate, but subject lines with punctuation have a higher click-to-open rate.</w:t>
      </w:r>
    </w:p>
    <w:bookmarkStart w:id="37"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4267200"/>
            <wp:effectExtent b="0" l="0" r="0" t="0"/>
            <wp:docPr descr="" title="" id="35" name="Picture"/>
            <a:graphic>
              <a:graphicData uri="http://schemas.openxmlformats.org/drawingml/2006/picture">
                <pic:pic>
                  <pic:nvPicPr>
                    <pic:cNvPr descr="emailProject_files/figure-docx/unnamed-chunk-6-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click-to-open rates are the exact opposite. Dashes have the highest median click-to-open rate, and periods have the lowest. Subject lines, however, are designed to persuade people to open the email, not necessarily to click within it. When discussing subject lines, therefore, catering to open rates is much more important.</w:t>
      </w:r>
    </w:p>
    <w:bookmarkEnd w:id="37"/>
    <w:bookmarkStart w:id="41"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4267200"/>
            <wp:effectExtent b="0" l="0" r="0" t="0"/>
            <wp:docPr descr="" title="" id="39" name="Picture"/>
            <a:graphic>
              <a:graphicData uri="http://schemas.openxmlformats.org/drawingml/2006/picture">
                <pic:pic>
                  <pic:nvPicPr>
                    <pic:cNvPr descr="emailProject_files/figure-docx/unnamed-chunk-7-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Plots alone are not enough, though, to guarantee statistical significance. Luckily, Analysis of Variance agrees with the plots and returns a statistically significant result. Naturally, however, click-to-open rates show the opposite relationship. Like previously stated though, click-to-open rates do not really matter in this context.</w:t>
      </w:r>
    </w:p>
    <w:bookmarkEnd w:id="41"/>
    <w:bookmarkEnd w:id="42"/>
    <w:bookmarkStart w:id="43" w:name="duplicate-subjects"/>
    <w:p>
      <w:pPr>
        <w:pStyle w:val="Heading2"/>
      </w:pPr>
      <w:r>
        <w:t xml:space="preserve">Duplicate Subjects</w:t>
      </w:r>
    </w:p>
    <w:p>
      <w:pPr>
        <w:pStyle w:val="FirstParagraph"/>
      </w:pPr>
      <w:r>
        <w:t xml:space="preserve">Email campaigns sent by the same nonprofit can go one of two routes: unique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Duplicate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Click-to-Open Rate</w:t>
            </w:r>
          </w:p>
        </w:tc>
      </w:tr>
      <w:tr>
        <w:tc>
          <w:tcPr/>
          <w:p>
            <w:pPr>
              <w:pStyle w:val="Compact"/>
              <w:jc w:val="center"/>
            </w:pPr>
            <w:r>
              <w:t xml:space="preserve">No</w:t>
            </w:r>
          </w:p>
        </w:tc>
        <w:tc>
          <w:tcPr/>
          <w:p>
            <w:pPr>
              <w:pStyle w:val="Compact"/>
              <w:jc w:val="center"/>
            </w:pPr>
            <w:r>
              <w:t xml:space="preserve">475</w:t>
            </w:r>
          </w:p>
        </w:tc>
        <w:tc>
          <w:tcPr/>
          <w:p>
            <w:pPr>
              <w:pStyle w:val="Compact"/>
              <w:jc w:val="center"/>
            </w:pPr>
            <w:r>
              <w:t xml:space="preserve">33.07%</w:t>
            </w:r>
          </w:p>
        </w:tc>
        <w:tc>
          <w:tcPr/>
          <w:p>
            <w:pPr>
              <w:pStyle w:val="Compact"/>
              <w:jc w:val="center"/>
            </w:pPr>
            <w:r>
              <w:t xml:space="preserve">2.60%</w:t>
            </w:r>
          </w:p>
        </w:tc>
      </w:tr>
      <w:tr>
        <w:tc>
          <w:tcPr/>
          <w:p>
            <w:pPr>
              <w:pStyle w:val="Compact"/>
              <w:jc w:val="center"/>
            </w:pPr>
            <w:r>
              <w:t xml:space="preserve">Yes</w:t>
            </w:r>
          </w:p>
        </w:tc>
        <w:tc>
          <w:tcPr/>
          <w:p>
            <w:pPr>
              <w:pStyle w:val="Compact"/>
              <w:jc w:val="center"/>
            </w:pPr>
            <w:r>
              <w:t xml:space="preserve">135</w:t>
            </w:r>
          </w:p>
        </w:tc>
        <w:tc>
          <w:tcPr/>
          <w:p>
            <w:pPr>
              <w:pStyle w:val="Compact"/>
              <w:jc w:val="center"/>
            </w:pPr>
            <w:r>
              <w:t xml:space="preserve">34.06%</w:t>
            </w:r>
          </w:p>
        </w:tc>
        <w:tc>
          <w:tcPr/>
          <w:p>
            <w:pPr>
              <w:pStyle w:val="Compact"/>
              <w:jc w:val="center"/>
            </w:pPr>
            <w:r>
              <w:t xml:space="preserve">4.55%</w:t>
            </w:r>
          </w:p>
        </w:tc>
      </w:tr>
    </w:tbl>
    <w:p>
      <w:pPr>
        <w:pStyle w:val="BodyText"/>
      </w:pPr>
      <w:r>
        <w:t xml:space="preserve">Duplicate subject lines appear to have marginally better statistics. Both their open and click-to-open rates are higher. This relationship is weak at best, and proves to be statistically insignificant after a Chi-Squared test. However, just because a result is not statistically significant, does not mean the observed difference is nonexistent. In general, duplicate subjects perform better.</w:t>
      </w:r>
    </w:p>
    <w:bookmarkEnd w:id="43"/>
    <w:bookmarkStart w:id="47"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commonly used keywords. Such words include gift, legacy, tax, support, and several others. The boxplot is below.</w:t>
      </w:r>
    </w:p>
    <w:p>
      <w:pPr>
        <w:pStyle w:val="BodyText"/>
      </w:pPr>
      <w:r>
        <w:drawing>
          <wp:inline>
            <wp:extent cx="5334000" cy="4267200"/>
            <wp:effectExtent b="0" l="0" r="0" t="0"/>
            <wp:docPr descr="" title="" id="45" name="Picture"/>
            <a:graphic>
              <a:graphicData uri="http://schemas.openxmlformats.org/drawingml/2006/picture">
                <pic:pic>
                  <pic:nvPicPr>
                    <pic:cNvPr descr="emailProject_files/figure-docx/unnamed-chunk-9-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meaningful do much better than expected. From this plot, the objective is relatively clear: reinforce the positive effect of a donation. Words like support, help, and effect perform very well, and they all remind a possible donor of just how important his donation is. Do not ask people to give or for a gift, likely because people do not like being told what to do.</w:t>
      </w:r>
    </w:p>
    <w:p>
      <w:pPr>
        <w:pStyle w:val="BodyText"/>
      </w:pPr>
      <w:r>
        <w:t xml:space="preserve">Interestingly, when discussing click-to-open rate, some keywords perform equally well/poorly, while others completely flip sides. Give is second to last in open rate and sixth to last in click-to-open rate. However, gift has the highest click-to-open rate, and help has the second lowest. Like before, though, click-to-open rates are much less important when observing subject lines.</w:t>
      </w:r>
    </w:p>
    <w:bookmarkEnd w:id="47"/>
    <w:bookmarkEnd w:id="48"/>
    <w:bookmarkStart w:id="52" w:name="topics"/>
    <w:p>
      <w:pPr>
        <w:pStyle w:val="Heading1"/>
      </w:pPr>
      <w:r>
        <w:t xml:space="preserve">Topics</w:t>
      </w:r>
    </w:p>
    <w:p>
      <w:pPr>
        <w:pStyle w:val="FirstParagraph"/>
      </w:pPr>
      <w:r>
        <w:t xml:space="preserve">Email campaigns cover a wide range of topics. From new tax laws to cryptocurrency, almost anything a potential donor needs has been sent out. Some topics perform better than others, though. Below is a boxplot of open rate by topic. It is important to note that several topics like the aforementioned cryptocurrency, revocable gifts, bargain sales, and many others were omitted because of a lack of sufficient data. Again, the red line is the median open rate for all emails.</w:t>
      </w:r>
    </w:p>
    <w:p>
      <w:pPr>
        <w:pStyle w:val="BodyText"/>
      </w:pPr>
      <w:r>
        <w:drawing>
          <wp:inline>
            <wp:extent cx="5334000" cy="4267200"/>
            <wp:effectExtent b="0" l="0" r="0" t="0"/>
            <wp:docPr descr="" title="" id="50" name="Picture"/>
            <a:graphic>
              <a:graphicData uri="http://schemas.openxmlformats.org/drawingml/2006/picture">
                <pic:pic>
                  <pic:nvPicPr>
                    <pic:cNvPr descr="emailProject_files/figure-docx/unnamed-chunk-10-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Campaigns centered on Life Stages perform very well, while those focused on Annuities perform very poorly. Life Stages perform so exceptionally well, one might assume there must be some error. There is not, although there is also no good explanation for why they do so well. To maximize open rate, send campaigns about Life Stages, Tax Time, Retirement Assets, or other topics toward the top of the list.</w:t>
      </w:r>
    </w:p>
    <w:p>
      <w:pPr>
        <w:pStyle w:val="BodyText"/>
      </w:pPr>
      <w:r>
        <w:t xml:space="preserve">Open rate is perhaps not the best metric to gauge which topic is the best. Topics often cannot be discerned from the subject line. It is better, therefore, to look at click-to-open rate instead. TCJA leads the pack in click-to-open rate, with an astonishing 29.756098%. Life Stages falls all the way to seventh. The three best topics for open rate are TCJA, Real Estate, and Trusts. The three worst are Wills, IRA and Retirement Assets</w:t>
      </w:r>
    </w:p>
    <w:p>
      <w:pPr>
        <w:pStyle w:val="BodyText"/>
      </w:pPr>
      <w:r>
        <w:t xml:space="preserve">If a charitable giving officer needs his next email campaign to do well, he should send one about Life Stages or TCJA, depending on whether he wants opens or clicks. However, this is a one-time-use only. He cannot send every single campaign about one subject.</w:t>
      </w:r>
    </w:p>
    <w:bookmarkEnd w:id="52"/>
    <w:bookmarkStart w:id="65" w:name="product-type"/>
    <w:p>
      <w:pPr>
        <w:pStyle w:val="Heading1"/>
      </w:pPr>
      <w:r>
        <w:t xml:space="preserve">Product Type</w:t>
      </w:r>
    </w:p>
    <w:p>
      <w:pPr>
        <w:pStyle w:val="FirstParagraph"/>
      </w:pPr>
      <w:r>
        <w:t xml:space="preserve">Email campaigns are not all the same length. Some are the size of a postcard, while others are more than 13 pages long. How do the different products compare in open rate? Does the length of the email affect click-to-open rate? Below is a boxplot of the open rates of all products, sorted left to right by length of the campaign.</w:t>
      </w:r>
    </w:p>
    <w:p>
      <w:pPr>
        <w:pStyle w:val="BodyText"/>
      </w:pPr>
      <w:r>
        <w:drawing>
          <wp:inline>
            <wp:extent cx="5334000" cy="4267200"/>
            <wp:effectExtent b="0" l="0" r="0" t="0"/>
            <wp:docPr descr="" title="" id="54" name="Picture"/>
            <a:graphic>
              <a:graphicData uri="http://schemas.openxmlformats.org/drawingml/2006/picture">
                <pic:pic>
                  <pic:nvPicPr>
                    <pic:cNvPr descr="emailProject_files/figure-docx/unnamed-chunk-1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Visions product does significantly better than all other products. The length of a campaign should have no affect on the open rate, which is seen pretty clearly. The longest and shortest have a very similar open rate. A potential donor cannot see the length of the email before opening it, so this lack of a relationship is to be expected.</w:t>
      </w:r>
    </w:p>
    <w:p>
      <w:pPr>
        <w:pStyle w:val="BodyText"/>
      </w:pPr>
      <w:r>
        <w:t xml:space="preserve">Length should play a clear part in click-to-open rate, however. Most donors will not scroll through several pages to click on a link or button. Interestingly enough, however, the longest product, Professional Advisor newsletters, have the highest click-to-open rate. This is likely because the only way to read the entire email is to click a link to the full version. The shortest product, Donor-Centric postcards have the second lowest click-to-open rate. Clearly, length does not significantly affect click-to-open rate.</w:t>
      </w:r>
    </w:p>
    <w:bookmarkStart w:id="64" w:name="professional-advisor-newsletter"/>
    <w:p>
      <w:pPr>
        <w:pStyle w:val="Heading2"/>
      </w:pPr>
      <w:r>
        <w:t xml:space="preserve">Professional Advisor Newsletter</w:t>
      </w:r>
    </w:p>
    <w:p>
      <w:pPr>
        <w:pStyle w:val="FirstParagraph"/>
      </w:pPr>
      <w:r>
        <w:t xml:space="preserve">A specific product some nonprofits like to offer a Professional Advisor newsletter. These are essentially tips and tricks for charitable giving officers and people involved in the field. They do not get sent to donors. Below is a table comparing Professional Advisor newsletters versus the rest of the email campaigns.</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center"/>
            </w:pPr>
            <w:r>
              <w:t xml:space="preserve">Product Type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Click-to-Open Rate</w:t>
            </w:r>
          </w:p>
        </w:tc>
      </w:tr>
      <w:tr>
        <w:tc>
          <w:tcPr/>
          <w:p>
            <w:pPr>
              <w:pStyle w:val="Compact"/>
              <w:jc w:val="center"/>
            </w:pPr>
            <w:r>
              <w:t xml:space="preserve">Professional Advisor Newsletter</w:t>
            </w:r>
          </w:p>
        </w:tc>
        <w:tc>
          <w:tcPr/>
          <w:p>
            <w:pPr>
              <w:pStyle w:val="Compact"/>
              <w:jc w:val="center"/>
            </w:pPr>
            <w:r>
              <w:t xml:space="preserve">149</w:t>
            </w:r>
          </w:p>
        </w:tc>
        <w:tc>
          <w:tcPr/>
          <w:p>
            <w:pPr>
              <w:pStyle w:val="Compact"/>
              <w:jc w:val="center"/>
            </w:pPr>
            <w:r>
              <w:t xml:space="preserve">29.02%</w:t>
            </w:r>
          </w:p>
        </w:tc>
        <w:tc>
          <w:tcPr/>
          <w:p>
            <w:pPr>
              <w:pStyle w:val="Compact"/>
              <w:jc w:val="center"/>
            </w:pPr>
            <w:r>
              <w:t xml:space="preserve">23.08%</w:t>
            </w:r>
          </w:p>
        </w:tc>
      </w:tr>
      <w:tr>
        <w:tc>
          <w:tcPr/>
          <w:p>
            <w:pPr>
              <w:pStyle w:val="Compact"/>
              <w:jc w:val="center"/>
            </w:pPr>
            <w:r>
              <w:t xml:space="preserve">All Others</w:t>
            </w:r>
          </w:p>
        </w:tc>
        <w:tc>
          <w:tcPr/>
          <w:p>
            <w:pPr>
              <w:pStyle w:val="Compact"/>
              <w:jc w:val="center"/>
            </w:pPr>
            <w:r>
              <w:t xml:space="preserve">461</w:t>
            </w:r>
          </w:p>
        </w:tc>
        <w:tc>
          <w:tcPr/>
          <w:p>
            <w:pPr>
              <w:pStyle w:val="Compact"/>
              <w:jc w:val="center"/>
            </w:pPr>
            <w:r>
              <w:t xml:space="preserve">36.13%</w:t>
            </w:r>
          </w:p>
        </w:tc>
        <w:tc>
          <w:tcPr/>
          <w:p>
            <w:pPr>
              <w:pStyle w:val="Compact"/>
              <w:jc w:val="center"/>
            </w:pPr>
            <w:r>
              <w:t xml:space="preserve">2.15%</w:t>
            </w:r>
          </w:p>
        </w:tc>
      </w:tr>
    </w:tbl>
    <w:p>
      <w:pPr>
        <w:pStyle w:val="BodyText"/>
      </w:pPr>
      <w:r>
        <w:t xml:space="preserve">These results seem incredibly different, and a Chi-Squared test confirms it. Professional Advisor Newsletters are statistically significantly different from all other product types. They have a significantly lower open rate, but a significantly higher click-to-open rate.</w:t>
      </w:r>
    </w:p>
    <w:bookmarkStart w:id="63" w:name="day-of-the-week-1"/>
    <w:p>
      <w:pPr>
        <w:pStyle w:val="Heading3"/>
      </w:pPr>
      <w:r>
        <w:t xml:space="preserve">Day of the Week</w:t>
      </w:r>
    </w:p>
    <w:p>
      <w:pPr>
        <w:pStyle w:val="FirstParagraph"/>
      </w:pPr>
      <w:r>
        <w:t xml:space="preserve">Because the audience is centered of mostly professionals, do the best days of the week to send emails change?</w:t>
      </w:r>
    </w:p>
    <w:p>
      <w:pPr>
        <w:pStyle w:val="BodyText"/>
      </w:pPr>
      <w:r>
        <w:drawing>
          <wp:inline>
            <wp:extent cx="5334000" cy="4267200"/>
            <wp:effectExtent b="0" l="0" r="0" t="0"/>
            <wp:docPr descr="" title="" id="57" name="Picture"/>
            <a:graphic>
              <a:graphicData uri="http://schemas.openxmlformats.org/drawingml/2006/picture">
                <pic:pic>
                  <pic:nvPicPr>
                    <pic:cNvPr descr="emailProject_files/figure-docx/unnamed-chunk-13-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Friday remains the best day to send, except its lead has grown substantially. The most surprising part of this plot is how much Wednesday and Thursday rose. Monday still remains among the worst days to send emails. In general, though, the only mistake one could make is sending a campaign on a Monday. Tuesday through Friday are all very similar in open rate. The relationship between open rate and day of the week for just Professional Advisor newsletters and the relationship between open rate and day for all products is statistically significantly different. Regardless, sending on Friday no matter the product seems to be the best bet. Wednesday, however, is the best day to get clicks, and Friday is the worst day.</w:t>
      </w:r>
    </w:p>
    <w:bookmarkStart w:id="62" w:name="covid-19-1"/>
    <w:p>
      <w:pPr>
        <w:pStyle w:val="Heading4"/>
      </w:pPr>
      <w:r>
        <w:t xml:space="preserve">COVID-19</w:t>
      </w:r>
    </w:p>
    <w:p>
      <w:pPr>
        <w:pStyle w:val="FirstParagraph"/>
      </w:pPr>
      <w:r>
        <w:t xml:space="preserve">Professional Advisor newsletter email campaigns are also affected by COVID. Below is a boxplot showing the relationship between open rate and day of the week for Professional Advisor newsletters by COVID.</w:t>
      </w:r>
    </w:p>
    <w:p>
      <w:pPr>
        <w:pStyle w:val="BodyText"/>
      </w:pPr>
      <w:r>
        <w:drawing>
          <wp:inline>
            <wp:extent cx="5334000" cy="4267200"/>
            <wp:effectExtent b="0" l="0" r="0" t="0"/>
            <wp:docPr descr="" title="" id="60" name="Picture"/>
            <a:graphic>
              <a:graphicData uri="http://schemas.openxmlformats.org/drawingml/2006/picture">
                <pic:pic>
                  <pic:nvPicPr>
                    <pic:cNvPr descr="emailProject_files/figure-docx/unnamed-chunk-14-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does not necessarily present any new information, but it expands on the last one. In general, after COVID, Fridays and Tuesdays are the best days to send campaigns, and Monday is still the worst. Wednesdays have the highest click-to-open rate, with Thursday in second place. Friday has the lowest click-to-open rate.</w:t>
      </w:r>
    </w:p>
    <w:bookmarkEnd w:id="62"/>
    <w:bookmarkEnd w:id="63"/>
    <w:bookmarkEnd w:id="64"/>
    <w:bookmarkEnd w:id="65"/>
    <w:bookmarkStart w:id="66" w:name="conclusion"/>
    <w:p>
      <w:pPr>
        <w:pStyle w:val="Heading1"/>
      </w:pPr>
      <w:r>
        <w:t xml:space="preserve">Conclusion</w:t>
      </w:r>
    </w:p>
    <w:p>
      <w:pPr>
        <w:pStyle w:val="FirstParagraph"/>
      </w:pPr>
      <w:r>
        <w:t xml:space="preserve">To effectively decide how to maximize either open or click rate, one only needs to follow the steps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Maximize</w:t>
            </w:r>
          </w:p>
        </w:tc>
        <w:tc>
          <w:tcPr/>
          <w:p>
            <w:pPr>
              <w:pStyle w:val="Compact"/>
              <w:jc w:val="center"/>
            </w:pPr>
            <w:r>
              <w:t xml:space="preserve">Day of Week</w:t>
            </w:r>
          </w:p>
        </w:tc>
        <w:tc>
          <w:tcPr/>
          <w:p>
            <w:pPr>
              <w:pStyle w:val="Compact"/>
              <w:jc w:val="center"/>
            </w:pPr>
            <w:r>
              <w:t xml:space="preserve">Type of Punctuation</w:t>
            </w:r>
          </w:p>
        </w:tc>
        <w:tc>
          <w:tcPr/>
          <w:p>
            <w:pPr>
              <w:pStyle w:val="Compact"/>
              <w:jc w:val="center"/>
            </w:pPr>
            <w:r>
              <w:t xml:space="preserve">Last Character</w:t>
            </w:r>
          </w:p>
        </w:tc>
        <w:tc>
          <w:tcPr/>
          <w:p>
            <w:pPr>
              <w:pStyle w:val="Compact"/>
              <w:jc w:val="center"/>
            </w:pPr>
            <w:r>
              <w:t xml:space="preserve">Topic</w:t>
            </w:r>
          </w:p>
        </w:tc>
        <w:tc>
          <w:tcPr/>
          <w:p>
            <w:pPr>
              <w:pStyle w:val="Compact"/>
              <w:jc w:val="center"/>
            </w:pPr>
            <w:r>
              <w:t xml:space="preserve">Product Type</w:t>
            </w:r>
          </w:p>
        </w:tc>
      </w:tr>
      <w:tr>
        <w:tc>
          <w:tcPr/>
          <w:p>
            <w:pPr>
              <w:pStyle w:val="Compact"/>
              <w:jc w:val="center"/>
            </w:pPr>
            <w:r>
              <w:t xml:space="preserve">Open Rate</w:t>
            </w:r>
          </w:p>
        </w:tc>
        <w:tc>
          <w:tcPr/>
          <w:p>
            <w:pPr>
              <w:pStyle w:val="Compact"/>
              <w:jc w:val="center"/>
            </w:pPr>
            <w:r>
              <w:t xml:space="preserve">Friday</w:t>
            </w:r>
          </w:p>
        </w:tc>
        <w:tc>
          <w:tcPr/>
          <w:p>
            <w:pPr>
              <w:pStyle w:val="Compact"/>
              <w:jc w:val="center"/>
            </w:pPr>
            <w:r>
              <w:t xml:space="preserve">Period</w:t>
            </w:r>
          </w:p>
        </w:tc>
        <w:tc>
          <w:tcPr/>
          <w:p>
            <w:pPr>
              <w:pStyle w:val="Compact"/>
              <w:jc w:val="center"/>
            </w:pPr>
            <w:r>
              <w:t xml:space="preserve">Period</w:t>
            </w:r>
          </w:p>
        </w:tc>
        <w:tc>
          <w:tcPr/>
          <w:p>
            <w:pPr>
              <w:pStyle w:val="Compact"/>
              <w:jc w:val="center"/>
            </w:pPr>
            <w:r>
              <w:t xml:space="preserve">Life Stages</w:t>
            </w:r>
          </w:p>
        </w:tc>
        <w:tc>
          <w:tcPr/>
          <w:p>
            <w:pPr>
              <w:pStyle w:val="Compact"/>
              <w:jc w:val="center"/>
            </w:pPr>
            <w:r>
              <w:t xml:space="preserve">Visions</w:t>
            </w:r>
          </w:p>
        </w:tc>
      </w:tr>
      <w:tr>
        <w:tc>
          <w:tcPr/>
          <w:p>
            <w:pPr>
              <w:pStyle w:val="Compact"/>
              <w:jc w:val="center"/>
            </w:pPr>
            <w:r>
              <w:t xml:space="preserve">Click-to-Open Rate</w:t>
            </w:r>
          </w:p>
        </w:tc>
        <w:tc>
          <w:tcPr/>
          <w:p>
            <w:pPr>
              <w:pStyle w:val="Compact"/>
              <w:jc w:val="center"/>
            </w:pPr>
            <w:r>
              <w:t xml:space="preserve">Thursday</w:t>
            </w:r>
          </w:p>
        </w:tc>
        <w:tc>
          <w:tcPr/>
          <w:p>
            <w:pPr>
              <w:pStyle w:val="Compact"/>
              <w:jc w:val="center"/>
            </w:pPr>
            <w:r>
              <w:t xml:space="preserve">Dash</w:t>
            </w:r>
          </w:p>
        </w:tc>
        <w:tc>
          <w:tcPr/>
          <w:p>
            <w:pPr>
              <w:pStyle w:val="Compact"/>
              <w:jc w:val="center"/>
            </w:pPr>
            <w:r>
              <w:t xml:space="preserve">No Punctuation</w:t>
            </w:r>
          </w:p>
        </w:tc>
        <w:tc>
          <w:tcPr/>
          <w:p>
            <w:pPr>
              <w:pStyle w:val="Compact"/>
              <w:jc w:val="center"/>
            </w:pPr>
            <w:r>
              <w:t xml:space="preserve">TCJA</w:t>
            </w:r>
          </w:p>
        </w:tc>
        <w:tc>
          <w:tcPr/>
          <w:p>
            <w:pPr>
              <w:pStyle w:val="Compact"/>
              <w:jc w:val="center"/>
            </w:pPr>
            <w:r>
              <w:t xml:space="preserve">Professional Advisor</w:t>
            </w:r>
          </w:p>
        </w:tc>
      </w:tr>
    </w:tbl>
    <w:p>
      <w:pPr>
        <w:pStyle w:val="BodyText"/>
      </w:pPr>
      <w:r>
        <w:t xml:space="preserve">It is important to realize that even though these perform the best according to the data, picking them all is not a guarantee at success. In fact, none of the email campaigns had every trait listed, for either open or click rate; they all differed at at least one point. In general, though, following the table should maximize either open or click rate.</w:t>
      </w:r>
    </w:p>
    <w:p>
      <w:pPr>
        <w:pStyle w:val="BodyText"/>
      </w:pPr>
      <w:r>
        <w:t xml:space="preserve">Ultimately, however, sending email campaigns is much more of an art than a science. Data and analytics are important to keep in mind, but they absolutely do not tell the whole story. Not everything can be boiled down to numbers and statistics. This report should serve as a baseline on where to start, but not as doctrine.</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2024-06-26T20:40:51Z</dcterms:created>
  <dcterms:modified xsi:type="dcterms:W3CDTF">2024-06-26T20:40:51Z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2024-06-26</vt:lpwstr>
  </property>
  <property fmtid="{D5CDD505-2E9C-101B-9397-08002B2CF9AE}" pid="3" name="editor_options">
    <vt:lpwstr/>
  </property>
  <property fmtid="{D5CDD505-2E9C-101B-9397-08002B2CF9AE}" pid="4" name="output">
    <vt:lpwstr>word_document</vt:lpwstr>
  </property>
</Properties>
</file>