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46.png" ContentType="image/png"/>
  <Override PartName="/word/media/rId52.png" ContentType="image/png"/>
  <Override PartName="/word/media/rId55.png" ContentType="image/png"/>
  <Override PartName="/word/media/rId60.png" ContentType="image/png"/>
  <Override PartName="/word/media/rId63.png" ContentType="image/png"/>
  <Override PartName="/word/media/rId67.png" ContentType="image/png"/>
  <Override PartName="/word/media/rId70.png" ContentType="image/png"/>
  <Override PartName="/word/media/rId73.png" ContentType="image/png"/>
  <Override PartName="/word/media/rId76.png" ContentType="image/png"/>
  <Override PartName="/word/media/rId22.png" ContentType="image/png"/>
  <Override PartName="/word/media/rId26.png" ContentType="image/png"/>
  <Override PartName="/word/media/rId3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Analysis of Email Campaigns</w:t>
      </w:r>
    </w:p>
    <w:p>
      <w:pPr>
        <w:pStyle w:val="Author"/>
      </w:pPr>
      <w:r>
        <w:t xml:space="preserve">Justin Wininger</w:t>
      </w:r>
    </w:p>
    <w:p>
      <w:pPr>
        <w:pStyle w:val="Date"/>
      </w:pPr>
      <w:r>
        <w:t xml:space="preserve">2025-07-10</w:t>
      </w:r>
    </w:p>
    <w:bookmarkStart w:id="20" w:name="introduction"/>
    <w:p>
      <w:pPr>
        <w:pStyle w:val="Heading1"/>
      </w:pPr>
      <w:r>
        <w:t xml:space="preserve">Introduction</w:t>
      </w:r>
    </w:p>
    <w:p>
      <w:pPr>
        <w:pStyle w:val="FirstParagraph"/>
      </w:pPr>
      <w:r>
        <w:t xml:space="preserve">This report analyzes several statistics of 759 email campaigns including over 1.8 million emails sent out by 71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“typical”</w:t>
      </w:r>
      <w:r>
        <w:t xml:space="preserve"> </w:t>
      </w:r>
      <w:r>
        <w:t xml:space="preserve">observation. This report will mainly observe the open and click rates of these various email campaigns, where click rate is the number of clicks divided by the number of total recipients minus the number of bounces. It is a measure of engagement, the proportion of people who interact with the email.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2,415. Using 2,500 as an arbitrary benchmark between small and large, among the 71 nonprofit organizations represented, 31 of them are considered large and 40 of them are small. More statistics are in the table below.</w:t>
      </w:r>
    </w:p>
    <w:tbl>
      <w:tblPr>
        <w:tblStyle w:val="Table"/>
        <w:tblW w:type="pct" w:w="5000"/>
        <w:tblLayout w:type="fixed"/>
        <w:tblLook w:firstRow="1" w:lastRow="0" w:firstColumn="0" w:lastColumn="0" w:noHBand="0" w:noVBand="0" w:val="0020"/>
      </w:tblPr>
      <w:tblGrid>
        <w:gridCol w:w="803"/>
        <w:gridCol w:w="803"/>
        <w:gridCol w:w="2066"/>
        <w:gridCol w:w="2066"/>
        <w:gridCol w:w="2180"/>
      </w:tblGrid>
      <w:tr>
        <w:trPr>
          <w:tblHeader w:val="on"/>
        </w:trPr>
        <w:tc>
          <w:tcPr/>
          <w:p>
            <w:pPr>
              <w:pStyle w:val="Compact"/>
              <w:jc w:val="right"/>
            </w:pPr>
            <w:r>
              <w:t xml:space="preserve">Size</w:t>
            </w:r>
          </w:p>
        </w:tc>
        <w:tc>
          <w:tcPr/>
          <w:p>
            <w:pPr>
              <w:pStyle w:val="Compact"/>
              <w:jc w:val="right"/>
            </w:pPr>
            <w:r>
              <w:t xml:space="preserve">Count</w:t>
            </w:r>
          </w:p>
        </w:tc>
        <w:tc>
          <w:tcPr/>
          <w:p>
            <w:pPr>
              <w:pStyle w:val="Compact"/>
              <w:jc w:val="right"/>
            </w:pPr>
            <w:r>
              <w:t xml:space="preserve">Median List Size</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All</w:t>
            </w:r>
          </w:p>
        </w:tc>
        <w:tc>
          <w:tcPr/>
          <w:p>
            <w:pPr>
              <w:pStyle w:val="Compact"/>
              <w:jc w:val="right"/>
            </w:pPr>
            <w:r>
              <w:t xml:space="preserve">71</w:t>
            </w:r>
          </w:p>
        </w:tc>
        <w:tc>
          <w:tcPr/>
          <w:p>
            <w:pPr>
              <w:pStyle w:val="Compact"/>
              <w:jc w:val="right"/>
            </w:pPr>
            <w:r>
              <w:t xml:space="preserve">1376</w:t>
            </w:r>
          </w:p>
        </w:tc>
        <w:tc>
          <w:tcPr/>
          <w:p>
            <w:pPr>
              <w:pStyle w:val="Compact"/>
              <w:jc w:val="right"/>
            </w:pPr>
            <w:r>
              <w:t xml:space="preserve">36.45%</w:t>
            </w:r>
          </w:p>
        </w:tc>
        <w:tc>
          <w:tcPr/>
          <w:p>
            <w:pPr>
              <w:pStyle w:val="Compact"/>
              <w:jc w:val="right"/>
            </w:pPr>
            <w:r>
              <w:t xml:space="preserve">0.96%</w:t>
            </w:r>
          </w:p>
        </w:tc>
      </w:tr>
      <w:tr>
        <w:tc>
          <w:tcPr/>
          <w:p>
            <w:pPr>
              <w:pStyle w:val="Compact"/>
              <w:jc w:val="right"/>
            </w:pPr>
            <w:r>
              <w:t xml:space="preserve">Large</w:t>
            </w:r>
          </w:p>
        </w:tc>
        <w:tc>
          <w:tcPr/>
          <w:p>
            <w:pPr>
              <w:pStyle w:val="Compact"/>
              <w:jc w:val="right"/>
            </w:pPr>
            <w:r>
              <w:t xml:space="preserve">31</w:t>
            </w:r>
          </w:p>
        </w:tc>
        <w:tc>
          <w:tcPr/>
          <w:p>
            <w:pPr>
              <w:pStyle w:val="Compact"/>
              <w:jc w:val="right"/>
            </w:pPr>
            <w:r>
              <w:t xml:space="preserve">4319</w:t>
            </w:r>
          </w:p>
        </w:tc>
        <w:tc>
          <w:tcPr/>
          <w:p>
            <w:pPr>
              <w:pStyle w:val="Compact"/>
              <w:jc w:val="right"/>
            </w:pPr>
            <w:r>
              <w:t xml:space="preserve">36.11%</w:t>
            </w:r>
          </w:p>
        </w:tc>
        <w:tc>
          <w:tcPr/>
          <w:p>
            <w:pPr>
              <w:pStyle w:val="Compact"/>
              <w:jc w:val="right"/>
            </w:pPr>
            <w:r>
              <w:t xml:space="preserve">0.83%</w:t>
            </w:r>
          </w:p>
        </w:tc>
      </w:tr>
      <w:tr>
        <w:tc>
          <w:tcPr/>
          <w:p>
            <w:pPr>
              <w:pStyle w:val="Compact"/>
              <w:jc w:val="right"/>
            </w:pPr>
            <w:r>
              <w:t xml:space="preserve">Small</w:t>
            </w:r>
          </w:p>
        </w:tc>
        <w:tc>
          <w:tcPr/>
          <w:p>
            <w:pPr>
              <w:pStyle w:val="Compact"/>
              <w:jc w:val="right"/>
            </w:pPr>
            <w:r>
              <w:t xml:space="preserve">40</w:t>
            </w:r>
          </w:p>
        </w:tc>
        <w:tc>
          <w:tcPr/>
          <w:p>
            <w:pPr>
              <w:pStyle w:val="Compact"/>
              <w:jc w:val="right"/>
            </w:pPr>
            <w:r>
              <w:t xml:space="preserve">857</w:t>
            </w:r>
          </w:p>
        </w:tc>
        <w:tc>
          <w:tcPr/>
          <w:p>
            <w:pPr>
              <w:pStyle w:val="Compact"/>
              <w:jc w:val="right"/>
            </w:pPr>
            <w:r>
              <w:t xml:space="preserve">36.81%</w:t>
            </w:r>
          </w:p>
        </w:tc>
        <w:tc>
          <w:tcPr/>
          <w:p>
            <w:pPr>
              <w:pStyle w:val="Compact"/>
              <w:jc w:val="right"/>
            </w:pPr>
            <w:r>
              <w:t xml:space="preserve">1.24%</w:t>
            </w:r>
          </w:p>
        </w:tc>
      </w:tr>
    </w:tbl>
    <w:p>
      <w:pPr>
        <w:pStyle w:val="BodyText"/>
      </w:pPr>
      <w:r>
        <w:t xml:space="preserve">Looking at the table, the results do not appear to be significantly different. After running a statistical test, that is confirmed. There is not a significant difference between the open and click rates of large versus small organizations.</w:t>
      </w:r>
    </w:p>
    <w:bookmarkEnd w:id="21"/>
    <w:bookmarkStart w:id="37" w:name="day-and-time"/>
    <w:p>
      <w:pPr>
        <w:pStyle w:val="Heading1"/>
      </w:pPr>
      <w:r>
        <w:t xml:space="preserve">Day and Time</w:t>
      </w:r>
    </w:p>
    <w:p>
      <w:pPr>
        <w:pStyle w:val="FirstParagraph"/>
      </w:pPr>
      <w:r>
        <w:t xml:space="preserve">Once work on an email campaign is finished, perhaps the biggest question faced is when to send it out. It is very easy to think too hard on when to send. Below are several plots that discuss day and time.</w:t>
      </w:r>
    </w:p>
    <w:bookmarkStart w:id="25" w:name="day"/>
    <w:p>
      <w:pPr>
        <w:pStyle w:val="Heading2"/>
      </w:pPr>
      <w:r>
        <w:t xml:space="preserve">Day</w:t>
      </w:r>
    </w:p>
    <w:p>
      <w:pPr>
        <w:pStyle w:val="FirstParagraph"/>
      </w:pPr>
      <w:r>
        <w:t xml:space="preserve">Below is a side-by-side box-and-whisker plot of the open rate plotted by day of the week. The lime colored line represents the median open rate for each day. The white text is that median. Any dots represent statistical outliers.</w:t>
      </w:r>
    </w:p>
    <w:p>
      <w:pPr>
        <w:pStyle w:val="BodyText"/>
      </w:pPr>
      <w:r>
        <w:drawing>
          <wp:inline>
            <wp:extent cx="5334000" cy="3333750"/>
            <wp:effectExtent b="0" l="0" r="0" t="0"/>
            <wp:docPr descr="" title="" id="23" name="Picture"/>
            <a:graphic>
              <a:graphicData uri="http://schemas.openxmlformats.org/drawingml/2006/picture">
                <pic:pic>
                  <pic:nvPicPr>
                    <pic:cNvPr descr="emailProject2025_files/figure-docx/unnamed-chunk-6-1.png" id="24"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Sunday, so it was excluded. Saturday has the highest median open rate at 42.76%. But interestingly, all 33 of Saturday’s campaigns came from the same organization, on only three dates total. This organization has multiple locations, and sends a campaign from each one. Unfortunately, this means the data from Saturday cannot be used either. Excluding Saturday, Friday and Tuesday seem to be the best days to send campaigns, and Wednesday and Thursday are the worst days. This relationship is not statistically significant, however. Furthermore,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Wednesday and Thursday, respectively. The two lowest days are Monday and Tuesday. Tuesday being the worst day for engagement is very surprising, especially considering that it is the second best day for opens. This disparity makes a</w:t>
      </w:r>
      <w:r>
        <w:t xml:space="preserve"> </w:t>
      </w:r>
      <w:r>
        <w:t xml:space="preserve">“best day”</w:t>
      </w:r>
      <w:r>
        <w:t xml:space="preserve"> </w:t>
      </w:r>
      <w:r>
        <w:t xml:space="preserve">very hard to determine. Some days have high open rates, while other days have high click rates. Ultimately, it will be up to the individual to decide which is more valuable to them: opens or engagement. The only thing that can definitively be said is that Mondays have low open and click rates; do not send email campaigns on Mondays.</w:t>
      </w:r>
    </w:p>
    <w:bookmarkEnd w:id="25"/>
    <w:bookmarkStart w:id="29" w:name="time"/>
    <w:p>
      <w:pPr>
        <w:pStyle w:val="Heading2"/>
      </w:pPr>
      <w:r>
        <w:t xml:space="preserve">Time</w:t>
      </w:r>
    </w:p>
    <w:p>
      <w:pPr>
        <w:pStyle w:val="FirstParagraph"/>
      </w:pPr>
      <w:r>
        <w:t xml:space="preserve">Knowing what day to send a campaign is important, but knowing what time of that day is equally important. Below is a plot showing the open and click rates of email campaigns by time of day sent. These data span across several time zones, so all times are in local time relative to the client.</w:t>
      </w:r>
    </w:p>
    <w:p>
      <w:pPr>
        <w:pStyle w:val="BodyText"/>
      </w:pPr>
      <w:r>
        <w:drawing>
          <wp:inline>
            <wp:extent cx="5334000" cy="3333750"/>
            <wp:effectExtent b="0" l="0" r="0" t="0"/>
            <wp:docPr descr="" title="" id="27" name="Picture"/>
            <a:graphic>
              <a:graphicData uri="http://schemas.openxmlformats.org/drawingml/2006/picture">
                <pic:pic>
                  <pic:nvPicPr>
                    <pic:cNvPr descr="emailProject2025_files/figure-docx/unnamed-chunk-7-1.png" id="28"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One might immediately wonder why these open rates are so high. Only email campaigns sent since June of 2024 have available time data. Looking at the plot, it might appear that it is better to send email campaigns in the afternoon, because the box is higher up. It is important to remember, however, that the most important element of a box-and-whisker plot is the lime colored line which represents the median. The median open rate is slightly higher in the morning than in the afternoon. The difference, just one fifth of one percent, is very small, though. Further statistical testing confirms that it is not significant. Below is a table showing summary statistics of time.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Time</w:t>
            </w:r>
          </w:p>
        </w:tc>
        <w:tc>
          <w:tcPr/>
          <w:p>
            <w:pPr>
              <w:pStyle w:val="Compact"/>
            </w:pPr>
            <w:r>
              <w:t xml:space="preserve">Count</w:t>
            </w:r>
          </w:p>
        </w:tc>
        <w:tc>
          <w:tcPr/>
          <w:p>
            <w:pPr>
              <w:pStyle w:val="Compact"/>
            </w:pPr>
            <w:r>
              <w:t xml:space="preserve">Median Open Rate</w:t>
            </w:r>
          </w:p>
        </w:tc>
        <w:tc>
          <w:tcPr/>
          <w:p>
            <w:pPr>
              <w:pStyle w:val="Compact"/>
            </w:pPr>
            <w:r>
              <w:t xml:space="preserve">Median Click Rate</w:t>
            </w:r>
          </w:p>
        </w:tc>
      </w:tr>
      <w:tr>
        <w:tc>
          <w:tcPr/>
          <w:p>
            <w:pPr>
              <w:pStyle w:val="Compact"/>
            </w:pPr>
            <w:r>
              <w:t xml:space="preserve">Morning</w:t>
            </w:r>
          </w:p>
        </w:tc>
        <w:tc>
          <w:tcPr/>
          <w:p>
            <w:pPr>
              <w:pStyle w:val="Compact"/>
            </w:pPr>
            <w:r>
              <w:t xml:space="preserve">127</w:t>
            </w:r>
          </w:p>
        </w:tc>
        <w:tc>
          <w:tcPr/>
          <w:p>
            <w:pPr>
              <w:pStyle w:val="Compact"/>
            </w:pPr>
            <w:r>
              <w:t xml:space="preserve">46.89%</w:t>
            </w:r>
          </w:p>
        </w:tc>
        <w:tc>
          <w:tcPr/>
          <w:p>
            <w:pPr>
              <w:pStyle w:val="Compact"/>
            </w:pPr>
            <w:r>
              <w:t xml:space="preserve">0.94%</w:t>
            </w:r>
          </w:p>
        </w:tc>
      </w:tr>
      <w:tr>
        <w:tc>
          <w:tcPr/>
          <w:p>
            <w:pPr>
              <w:pStyle w:val="Compact"/>
            </w:pPr>
            <w:r>
              <w:t xml:space="preserve">Afternoon</w:t>
            </w:r>
          </w:p>
        </w:tc>
        <w:tc>
          <w:tcPr/>
          <w:p>
            <w:pPr>
              <w:pStyle w:val="Compact"/>
            </w:pPr>
            <w:r>
              <w:t xml:space="preserve">22</w:t>
            </w:r>
          </w:p>
        </w:tc>
        <w:tc>
          <w:tcPr/>
          <w:p>
            <w:pPr>
              <w:pStyle w:val="Compact"/>
            </w:pPr>
            <w:r>
              <w:t xml:space="preserve">46.74%</w:t>
            </w:r>
          </w:p>
        </w:tc>
        <w:tc>
          <w:tcPr/>
          <w:p>
            <w:pPr>
              <w:pStyle w:val="Compact"/>
            </w:pPr>
            <w:r>
              <w:t xml:space="preserve">0.71%</w:t>
            </w:r>
          </w:p>
        </w:tc>
      </w:tr>
    </w:tbl>
    <w:p>
      <w:pPr>
        <w:pStyle w:val="BodyText"/>
      </w:pPr>
      <w:r>
        <w:t xml:space="preserve">Unfortunately, further analysis with time is not possible, as over 50% of all emails with available time data were sent at the same time, 9:30am local time. Additionally, the sample size for morning is much greater than afternoon. In general, though, it appears that time of day does not seem to matter for opens or clicks, as the difference between morning and afternoon is insignificant for both. Morning does have the slight edge in both open and click rate, but it is likely that edge is simply due to random variation.</w:t>
      </w:r>
    </w:p>
    <w:bookmarkEnd w:id="29"/>
    <w:bookmarkStart w:id="36"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3333750"/>
            <wp:effectExtent b="0" l="0" r="0" t="0"/>
            <wp:docPr descr="" title="" id="31" name="Picture"/>
            <a:graphic>
              <a:graphicData uri="http://schemas.openxmlformats.org/drawingml/2006/picture">
                <pic:pic>
                  <pic:nvPicPr>
                    <pic:cNvPr descr="emailProject2025_files/figure-docx/unnamed-chunk-8-1.png" id="32"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Thursday and Friday. Monday, however, is now much better than it was. All days are very similar and there statistical testing reveals there is not a significant difference between the days.</w:t>
      </w:r>
    </w:p>
    <w:p>
      <w:pPr>
        <w:pStyle w:val="BodyText"/>
      </w:pPr>
      <w:r>
        <w:t xml:space="preserve">Examining this relationship further, below is a plot of click rates by day of the week.</w:t>
      </w:r>
    </w:p>
    <w:p>
      <w:pPr>
        <w:pStyle w:val="BodyText"/>
      </w:pPr>
      <w:r>
        <w:drawing>
          <wp:inline>
            <wp:extent cx="5334000" cy="3333750"/>
            <wp:effectExtent b="0" l="0" r="0" t="0"/>
            <wp:docPr descr="" title="" id="34" name="Picture"/>
            <a:graphic>
              <a:graphicData uri="http://schemas.openxmlformats.org/drawingml/2006/picture">
                <pic:pic>
                  <pic:nvPicPr>
                    <pic:cNvPr descr="emailProject2025_files/figure-docx/unnamed-chunk-9-1.png" id="35"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first thing one might observe from this visualization is all the outliers. Unfortunately, this is a common theme with click rate. They are important to keep in mind, but ultimately less significant than the box itself. As seen in the visualization, COVID made click rates decrease. The median click rate before the pandemic was 1.39%, but it is 0.91% after the pandemic. The days with the best click rates post-pandemic are Wednesday and Thursday, and the worst days are Monday and Tuesday. Once again, because the best days for open and click rate differ, it is up to the individual which is more important.</w:t>
      </w:r>
    </w:p>
    <w:bookmarkEnd w:id="36"/>
    <w:bookmarkEnd w:id="37"/>
    <w:bookmarkStart w:id="59"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they will see. It is imperative, therefore, to maximize the effectiveness of the subject line.</w:t>
      </w:r>
    </w:p>
    <w:bookmarkStart w:id="41"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3333750"/>
            <wp:effectExtent b="0" l="0" r="0" t="0"/>
            <wp:docPr descr="" title="" id="39" name="Picture"/>
            <a:graphic>
              <a:graphicData uri="http://schemas.openxmlformats.org/drawingml/2006/picture">
                <pic:pic>
                  <pic:nvPicPr>
                    <pic:cNvPr descr="emailProject2025_files/figure-docx/unnamed-chunk-10-1.png" id="4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statistically significant but not relevant. This model has a very poor fit.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41"/>
    <w:bookmarkStart w:id="50"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Punctuation</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No</w:t>
            </w:r>
          </w:p>
        </w:tc>
        <w:tc>
          <w:tcPr/>
          <w:p>
            <w:pPr>
              <w:pStyle w:val="Compact"/>
              <w:jc w:val="right"/>
            </w:pPr>
            <w:r>
              <w:t xml:space="preserve">178</w:t>
            </w:r>
          </w:p>
        </w:tc>
        <w:tc>
          <w:tcPr/>
          <w:p>
            <w:pPr>
              <w:pStyle w:val="Compact"/>
              <w:jc w:val="right"/>
            </w:pPr>
            <w:r>
              <w:t xml:space="preserve">37.55%</w:t>
            </w:r>
          </w:p>
        </w:tc>
        <w:tc>
          <w:tcPr/>
          <w:p>
            <w:pPr>
              <w:pStyle w:val="Compact"/>
              <w:jc w:val="right"/>
            </w:pPr>
            <w:r>
              <w:t xml:space="preserve">0.76%</w:t>
            </w:r>
          </w:p>
        </w:tc>
      </w:tr>
      <w:tr>
        <w:tc>
          <w:tcPr/>
          <w:p>
            <w:pPr>
              <w:pStyle w:val="Compact"/>
              <w:jc w:val="right"/>
            </w:pPr>
            <w:r>
              <w:t xml:space="preserve">Yes</w:t>
            </w:r>
          </w:p>
        </w:tc>
        <w:tc>
          <w:tcPr/>
          <w:p>
            <w:pPr>
              <w:pStyle w:val="Compact"/>
              <w:jc w:val="right"/>
            </w:pPr>
            <w:r>
              <w:t xml:space="preserve">432</w:t>
            </w:r>
          </w:p>
        </w:tc>
        <w:tc>
          <w:tcPr/>
          <w:p>
            <w:pPr>
              <w:pStyle w:val="Compact"/>
              <w:jc w:val="right"/>
            </w:pPr>
            <w:r>
              <w:t xml:space="preserve">36.24%</w:t>
            </w:r>
          </w:p>
        </w:tc>
        <w:tc>
          <w:tcPr/>
          <w:p>
            <w:pPr>
              <w:pStyle w:val="Compact"/>
              <w:jc w:val="right"/>
            </w:pPr>
            <w:r>
              <w:t xml:space="preserve">1.13%</w:t>
            </w:r>
          </w:p>
        </w:tc>
      </w:tr>
    </w:tbl>
    <w:p>
      <w:pPr>
        <w:pStyle w:val="BodyText"/>
      </w:pPr>
      <w:r>
        <w:t xml:space="preserve">The presence of punctuation does not significantly affect open or click rate. However, just like the days of the week, one must choose whether they want a higher open or click rate. Subject lines with no punctuation have a higher open rate, but subject lines with punctuation have a higher click rate.</w:t>
      </w:r>
    </w:p>
    <w:bookmarkStart w:id="45"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3333750"/>
            <wp:effectExtent b="0" l="0" r="0" t="0"/>
            <wp:docPr descr="" title="" id="43" name="Picture"/>
            <a:graphic>
              <a:graphicData uri="http://schemas.openxmlformats.org/drawingml/2006/picture">
                <pic:pic>
                  <pic:nvPicPr>
                    <pic:cNvPr descr="emailProject2025_files/figure-docx/unnamed-chunk-12-1.png" id="44"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45"/>
    <w:bookmarkStart w:id="49"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3333750"/>
            <wp:effectExtent b="0" l="0" r="0" t="0"/>
            <wp:docPr descr="" title="" id="47" name="Picture"/>
            <a:graphic>
              <a:graphicData uri="http://schemas.openxmlformats.org/drawingml/2006/picture">
                <pic:pic>
                  <pic:nvPicPr>
                    <pic:cNvPr descr="emailProject2025_files/figure-docx/unnamed-chunk-13-1.png" id="48"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This relationship is statistically significant, as well. Naturally, however, click rates show the opposite relationship. Like previously stated though, click rates do not really matter in this context.</w:t>
      </w:r>
    </w:p>
    <w:bookmarkEnd w:id="49"/>
    <w:bookmarkEnd w:id="50"/>
    <w:bookmarkStart w:id="51"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Duplicate</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No</w:t>
            </w:r>
          </w:p>
        </w:tc>
        <w:tc>
          <w:tcPr/>
          <w:p>
            <w:pPr>
              <w:pStyle w:val="Compact"/>
              <w:jc w:val="right"/>
            </w:pPr>
            <w:r>
              <w:t xml:space="preserve">581</w:t>
            </w:r>
          </w:p>
        </w:tc>
        <w:tc>
          <w:tcPr/>
          <w:p>
            <w:pPr>
              <w:pStyle w:val="Compact"/>
              <w:jc w:val="right"/>
            </w:pPr>
            <w:r>
              <w:t xml:space="preserve">36.28%</w:t>
            </w:r>
          </w:p>
        </w:tc>
        <w:tc>
          <w:tcPr/>
          <w:p>
            <w:pPr>
              <w:pStyle w:val="Compact"/>
              <w:jc w:val="right"/>
            </w:pPr>
            <w:r>
              <w:t xml:space="preserve">0.880%</w:t>
            </w:r>
          </w:p>
        </w:tc>
      </w:tr>
      <w:tr>
        <w:tc>
          <w:tcPr/>
          <w:p>
            <w:pPr>
              <w:pStyle w:val="Compact"/>
              <w:jc w:val="right"/>
            </w:pPr>
            <w:r>
              <w:t xml:space="preserve">Yes</w:t>
            </w:r>
          </w:p>
        </w:tc>
        <w:tc>
          <w:tcPr/>
          <w:p>
            <w:pPr>
              <w:pStyle w:val="Compact"/>
              <w:jc w:val="right"/>
            </w:pPr>
            <w:r>
              <w:t xml:space="preserve">178</w:t>
            </w:r>
          </w:p>
        </w:tc>
        <w:tc>
          <w:tcPr/>
          <w:p>
            <w:pPr>
              <w:pStyle w:val="Compact"/>
              <w:jc w:val="right"/>
            </w:pPr>
            <w:r>
              <w:t xml:space="preserve">37.50%</w:t>
            </w:r>
          </w:p>
        </w:tc>
        <w:tc>
          <w:tcPr/>
          <w:p>
            <w:pPr>
              <w:pStyle w:val="Compact"/>
              <w:jc w:val="right"/>
            </w:pPr>
            <w:r>
              <w:t xml:space="preserve">1.665%</w:t>
            </w:r>
          </w:p>
        </w:tc>
      </w:tr>
    </w:tbl>
    <w:p>
      <w:pPr>
        <w:pStyle w:val="BodyText"/>
      </w:pPr>
      <w:r>
        <w:t xml:space="preserve">Duplicate subject lines appear to have marginally better statistics. Both their open and click rates are higher. This relationship is relatively strong. Open rates are not significantly higher, but click rates are almost double. Click rates are statistically significantly higher from duplicate subject lines. It would appear that the best bet is to reuse the same subject line.</w:t>
      </w:r>
    </w:p>
    <w:bookmarkEnd w:id="51"/>
    <w:bookmarkStart w:id="58"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3333750"/>
            <wp:effectExtent b="0" l="0" r="0" t="0"/>
            <wp:docPr descr="" title="" id="53" name="Picture"/>
            <a:graphic>
              <a:graphicData uri="http://schemas.openxmlformats.org/drawingml/2006/picture">
                <pic:pic>
                  <pic:nvPicPr>
                    <pic:cNvPr descr="emailProject2025_files/figure-docx/unnamed-chunk-15-1.png" id="54"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will do much better than expected. From this plot, the objective is relatively clear: reinforce the positive effect of a donation. Words like support, help, and effect perform very well, and they all remind a possible donor of just how important their donation is. Do not ask people to give or for a gift, likely because people do not like being told what to do.</w:t>
      </w:r>
    </w:p>
    <w:p>
      <w:pPr>
        <w:pStyle w:val="BodyText"/>
      </w:pPr>
      <w:r>
        <w:t xml:space="preserve">Interestingly, when discussing click rate, some keywords perform equally well/poorly, while others completely flip sides. Below is the same visualization, but with click rate instead.</w:t>
      </w:r>
    </w:p>
    <w:p>
      <w:pPr>
        <w:pStyle w:val="BodyText"/>
      </w:pPr>
      <w:r>
        <w:drawing>
          <wp:inline>
            <wp:extent cx="5334000" cy="3333750"/>
            <wp:effectExtent b="0" l="0" r="0" t="0"/>
            <wp:docPr descr="" title="" id="56" name="Picture"/>
            <a:graphic>
              <a:graphicData uri="http://schemas.openxmlformats.org/drawingml/2006/picture">
                <pic:pic>
                  <pic:nvPicPr>
                    <pic:cNvPr descr="emailProject2025_files/figure-docx/unnamed-chunk-16-1.png" id="57"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Give is third to last in both open and click rate. However, gift, a very similar word, has the second highest click rate, but the second lowest open rate. Many words stay in similar places, and many others switch sides. Like before, though, click rates are much less important when observing subject lines.</w:t>
      </w:r>
    </w:p>
    <w:bookmarkEnd w:id="58"/>
    <w:bookmarkEnd w:id="59"/>
    <w:bookmarkStart w:id="66"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3333750"/>
            <wp:effectExtent b="0" l="0" r="0" t="0"/>
            <wp:docPr descr="" title="" id="61" name="Picture"/>
            <a:graphic>
              <a:graphicData uri="http://schemas.openxmlformats.org/drawingml/2006/picture">
                <pic:pic>
                  <pic:nvPicPr>
                    <pic:cNvPr descr="emailProject2025_files/figure-docx/unnamed-chunk-17-1.png" id="62" name="Picture"/>
                    <pic:cNvPicPr>
                      <a:picLocks noChangeArrowheads="1" noChangeAspect="1"/>
                    </pic:cNvPicPr>
                  </pic:nvPicPr>
                  <pic:blipFill>
                    <a:blip r:embed="rId6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 rate instead. Below is a visualization of click rate by topic.</w:t>
      </w:r>
    </w:p>
    <w:p>
      <w:pPr>
        <w:pStyle w:val="BodyText"/>
      </w:pPr>
      <w:r>
        <w:drawing>
          <wp:inline>
            <wp:extent cx="5334000" cy="3333750"/>
            <wp:effectExtent b="0" l="0" r="0" t="0"/>
            <wp:docPr descr="" title="" id="64" name="Picture"/>
            <a:graphic>
              <a:graphicData uri="http://schemas.openxmlformats.org/drawingml/2006/picture">
                <pic:pic>
                  <pic:nvPicPr>
                    <pic:cNvPr descr="emailProject2025_files/figure-docx/unnamed-chunk-18-1.png" id="65"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TCJA leads the pack in click rate, with an astonishing 9.82%. Life Stages falls all the way to tenth. The three best topics for open rate are TCJA, Real Estate, and Life Income Gifts. The three worst are IRA, Retirement Assets, and Annuities. However, every topic after donor-advisory-funds seem to have a minuscule difference. It is not fair to say, for example, that Best Practices is twice as good as Retirement Assets just because Annuities is seventh and Retirement assets is fourteenth.</w:t>
      </w:r>
    </w:p>
    <w:p>
      <w:pPr>
        <w:pStyle w:val="BodyText"/>
      </w:pPr>
      <w:r>
        <w:t xml:space="preserve">If a charitable giving officer needs their next email campaign to do well, they should send one about Life Stages or TCJA, depending on whether they want opens or clicks. However, the officer cannot send every single campaign about one subject.</w:t>
      </w:r>
    </w:p>
    <w:bookmarkEnd w:id="66"/>
    <w:bookmarkStart w:id="82"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 rate? Below is a boxplot of the open rates of all products, sorted left to right by length of the campaign.</w:t>
      </w:r>
    </w:p>
    <w:p>
      <w:pPr>
        <w:pStyle w:val="BodyText"/>
      </w:pPr>
      <w:r>
        <w:drawing>
          <wp:inline>
            <wp:extent cx="5334000" cy="3333750"/>
            <wp:effectExtent b="0" l="0" r="0" t="0"/>
            <wp:docPr descr="" title="" id="68" name="Picture"/>
            <a:graphic>
              <a:graphicData uri="http://schemas.openxmlformats.org/drawingml/2006/picture">
                <pic:pic>
                  <pic:nvPicPr>
                    <pic:cNvPr descr="emailProject2025_files/figure-docx/unnamed-chunk-19-1.png" id="69"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but it seems to. A potential donor cannot see the length of the email before opening it, so no relationship is expected. However, it seems that as length increases, open rate decreases. Perhaps this is simply due to random chance, or maybe the subject lines give the product type away and a potential donor chooses not to open the longer ones.</w:t>
      </w:r>
    </w:p>
    <w:p>
      <w:pPr>
        <w:pStyle w:val="BodyText"/>
      </w:pPr>
      <w:r>
        <w:drawing>
          <wp:inline>
            <wp:extent cx="5334000" cy="3333750"/>
            <wp:effectExtent b="0" l="0" r="0" t="0"/>
            <wp:docPr descr="" title="" id="71" name="Picture"/>
            <a:graphic>
              <a:graphicData uri="http://schemas.openxmlformats.org/drawingml/2006/picture">
                <pic:pic>
                  <pic:nvPicPr>
                    <pic:cNvPr descr="emailProject2025_files/figure-docx/unnamed-chunk-20-1.png" id="72"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Length should play a clear part in click rate, however. Most donors will not scroll through several pages to click on a link or button. Interestingly enough, however, the longest product, Professional Advisor newsletters, has the highest click rate, by a significant margin. This is likely because the only way to read the entire product is to click a link within the email to the full version. The second longest product overall, but the longest in one email, Donor-Centric newsletters, has the third highest click rate. The fourth highest is the shortest product, Donor-Centric postcards. Clearly, length does not significantly affect click rate.</w:t>
      </w:r>
    </w:p>
    <w:bookmarkStart w:id="81"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to the rest of the email campaigns.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Product Type</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Professional Advisor Newsletter</w:t>
            </w:r>
          </w:p>
        </w:tc>
        <w:tc>
          <w:tcPr/>
          <w:p>
            <w:pPr>
              <w:pStyle w:val="Compact"/>
              <w:jc w:val="right"/>
            </w:pPr>
            <w:r>
              <w:t xml:space="preserve">181</w:t>
            </w:r>
          </w:p>
        </w:tc>
        <w:tc>
          <w:tcPr/>
          <w:p>
            <w:pPr>
              <w:pStyle w:val="Compact"/>
              <w:jc w:val="right"/>
            </w:pPr>
            <w:r>
              <w:t xml:space="preserve">30.48%</w:t>
            </w:r>
          </w:p>
        </w:tc>
        <w:tc>
          <w:tcPr/>
          <w:p>
            <w:pPr>
              <w:pStyle w:val="Compact"/>
              <w:jc w:val="right"/>
            </w:pPr>
            <w:r>
              <w:t xml:space="preserve">6.410%</w:t>
            </w:r>
          </w:p>
        </w:tc>
      </w:tr>
      <w:tr>
        <w:tc>
          <w:tcPr/>
          <w:p>
            <w:pPr>
              <w:pStyle w:val="Compact"/>
              <w:jc w:val="right"/>
            </w:pPr>
            <w:r>
              <w:t xml:space="preserve">All Others</w:t>
            </w:r>
          </w:p>
        </w:tc>
        <w:tc>
          <w:tcPr/>
          <w:p>
            <w:pPr>
              <w:pStyle w:val="Compact"/>
              <w:jc w:val="right"/>
            </w:pPr>
            <w:r>
              <w:t xml:space="preserve">578</w:t>
            </w:r>
          </w:p>
        </w:tc>
        <w:tc>
          <w:tcPr/>
          <w:p>
            <w:pPr>
              <w:pStyle w:val="Compact"/>
              <w:jc w:val="right"/>
            </w:pPr>
            <w:r>
              <w:t xml:space="preserve">38.39%</w:t>
            </w:r>
          </w:p>
        </w:tc>
        <w:tc>
          <w:tcPr/>
          <w:p>
            <w:pPr>
              <w:pStyle w:val="Compact"/>
              <w:jc w:val="right"/>
            </w:pPr>
            <w:r>
              <w:t xml:space="preserve">0.725%</w:t>
            </w:r>
          </w:p>
        </w:tc>
      </w:tr>
    </w:tbl>
    <w:p>
      <w:pPr>
        <w:pStyle w:val="BodyText"/>
      </w:pPr>
      <w:r>
        <w:t xml:space="preserve">These results seem incredibly different, and statistical testing confirms it. Professional Advisor Newsletters are statistically significantly different from all other product types. They have a significantly lower open rate, but a significantly higher click rate.</w:t>
      </w:r>
    </w:p>
    <w:bookmarkStart w:id="80" w:name="day-of-the-week"/>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3333750"/>
            <wp:effectExtent b="0" l="0" r="0" t="0"/>
            <wp:docPr descr="" title="" id="74" name="Picture"/>
            <a:graphic>
              <a:graphicData uri="http://schemas.openxmlformats.org/drawingml/2006/picture">
                <pic:pic>
                  <pic:nvPicPr>
                    <pic:cNvPr descr="emailProject2025_files/figure-docx/unnamed-chunk-22-1.png" id="75"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far Monday and Tuesday fell. Tuesday through Thursday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Friday is also the best day to get clicks, and Thursday is the worst day.</w:t>
      </w:r>
    </w:p>
    <w:bookmarkStart w:id="79"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3333750"/>
            <wp:effectExtent b="0" l="0" r="0" t="0"/>
            <wp:docPr descr="" title="" id="77" name="Picture"/>
            <a:graphic>
              <a:graphicData uri="http://schemas.openxmlformats.org/drawingml/2006/picture">
                <pic:pic>
                  <pic:nvPicPr>
                    <pic:cNvPr descr="emailProject2025_files/figure-docx/unnamed-chunk-23-1.png" id="78"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Wednesdays are the best days to send campaigns, and Monday is still the worst. Fridays have the highest click rate, with Wednesday in second place. Tuesday has the lowest click rate.</w:t>
      </w:r>
    </w:p>
    <w:bookmarkEnd w:id="79"/>
    <w:bookmarkEnd w:id="80"/>
    <w:bookmarkEnd w:id="81"/>
    <w:bookmarkEnd w:id="82"/>
    <w:bookmarkStart w:id="83"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right"/>
            </w:pPr>
            <w:r>
              <w:t xml:space="preserve">Maximize</w:t>
            </w:r>
          </w:p>
        </w:tc>
        <w:tc>
          <w:tcPr/>
          <w:p>
            <w:pPr>
              <w:pStyle w:val="Compact"/>
              <w:jc w:val="right"/>
            </w:pPr>
            <w:r>
              <w:t xml:space="preserve">Day of Week</w:t>
            </w:r>
          </w:p>
        </w:tc>
        <w:tc>
          <w:tcPr/>
          <w:p>
            <w:pPr>
              <w:pStyle w:val="Compact"/>
              <w:jc w:val="right"/>
            </w:pPr>
            <w:r>
              <w:t xml:space="preserve">Type of Punctuation</w:t>
            </w:r>
          </w:p>
        </w:tc>
        <w:tc>
          <w:tcPr/>
          <w:p>
            <w:pPr>
              <w:pStyle w:val="Compact"/>
              <w:jc w:val="right"/>
            </w:pPr>
            <w:r>
              <w:t xml:space="preserve">Last Character</w:t>
            </w:r>
          </w:p>
        </w:tc>
        <w:tc>
          <w:tcPr/>
          <w:p>
            <w:pPr>
              <w:pStyle w:val="Compact"/>
              <w:jc w:val="right"/>
            </w:pPr>
            <w:r>
              <w:t xml:space="preserve">Topic</w:t>
            </w:r>
          </w:p>
        </w:tc>
        <w:tc>
          <w:tcPr/>
          <w:p>
            <w:pPr>
              <w:pStyle w:val="Compact"/>
              <w:jc w:val="right"/>
            </w:pPr>
            <w:r>
              <w:t xml:space="preserve">Product Type</w:t>
            </w:r>
          </w:p>
        </w:tc>
      </w:tr>
      <w:tr>
        <w:tc>
          <w:tcPr/>
          <w:p>
            <w:pPr>
              <w:pStyle w:val="Compact"/>
              <w:jc w:val="right"/>
            </w:pPr>
            <w:r>
              <w:t xml:space="preserve">Open Rate</w:t>
            </w:r>
          </w:p>
        </w:tc>
        <w:tc>
          <w:tcPr/>
          <w:p>
            <w:pPr>
              <w:pStyle w:val="Compact"/>
              <w:jc w:val="right"/>
            </w:pPr>
            <w:r>
              <w:t xml:space="preserve">Friday</w:t>
            </w:r>
          </w:p>
        </w:tc>
        <w:tc>
          <w:tcPr/>
          <w:p>
            <w:pPr>
              <w:pStyle w:val="Compact"/>
              <w:jc w:val="right"/>
            </w:pPr>
            <w:r>
              <w:t xml:space="preserve">Period</w:t>
            </w:r>
          </w:p>
        </w:tc>
        <w:tc>
          <w:tcPr/>
          <w:p>
            <w:pPr>
              <w:pStyle w:val="Compact"/>
              <w:jc w:val="right"/>
            </w:pPr>
            <w:r>
              <w:t xml:space="preserve">Period</w:t>
            </w:r>
          </w:p>
        </w:tc>
        <w:tc>
          <w:tcPr/>
          <w:p>
            <w:pPr>
              <w:pStyle w:val="Compact"/>
              <w:jc w:val="right"/>
            </w:pPr>
            <w:r>
              <w:t xml:space="preserve">Life Stages</w:t>
            </w:r>
          </w:p>
        </w:tc>
        <w:tc>
          <w:tcPr/>
          <w:p>
            <w:pPr>
              <w:pStyle w:val="Compact"/>
              <w:jc w:val="right"/>
            </w:pPr>
            <w:r>
              <w:t xml:space="preserve">Visions</w:t>
            </w:r>
          </w:p>
        </w:tc>
      </w:tr>
      <w:tr>
        <w:tc>
          <w:tcPr/>
          <w:p>
            <w:pPr>
              <w:pStyle w:val="Compact"/>
              <w:jc w:val="right"/>
            </w:pPr>
            <w:r>
              <w:t xml:space="preserve">Click Rate</w:t>
            </w:r>
          </w:p>
        </w:tc>
        <w:tc>
          <w:tcPr/>
          <w:p>
            <w:pPr>
              <w:pStyle w:val="Compact"/>
              <w:jc w:val="right"/>
            </w:pPr>
            <w:r>
              <w:t xml:space="preserve">Wednesday</w:t>
            </w:r>
          </w:p>
        </w:tc>
        <w:tc>
          <w:tcPr/>
          <w:p>
            <w:pPr>
              <w:pStyle w:val="Compact"/>
              <w:jc w:val="right"/>
            </w:pPr>
            <w:r>
              <w:t xml:space="preserve">Dash</w:t>
            </w:r>
          </w:p>
        </w:tc>
        <w:tc>
          <w:tcPr/>
          <w:p>
            <w:pPr>
              <w:pStyle w:val="Compact"/>
              <w:jc w:val="right"/>
            </w:pPr>
            <w:r>
              <w:t xml:space="preserve">No Punctuation</w:t>
            </w:r>
          </w:p>
        </w:tc>
        <w:tc>
          <w:tcPr/>
          <w:p>
            <w:pPr>
              <w:pStyle w:val="Compact"/>
              <w:jc w:val="right"/>
            </w:pPr>
            <w:r>
              <w:t xml:space="preserve">TCJA</w:t>
            </w:r>
          </w:p>
        </w:tc>
        <w:tc>
          <w:tcPr/>
          <w:p>
            <w:pPr>
              <w:pStyle w:val="Compact"/>
              <w:jc w:val="right"/>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Email Campaigns</dc:title>
  <dc:creator>Justin Wininger</dc:creator>
  <cp:keywords/>
  <dcterms:created xsi:type="dcterms:W3CDTF">2025-07-10T19:46:09Z</dcterms:created>
  <dcterms:modified xsi:type="dcterms:W3CDTF">2025-07-10T19:46:09Z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2025-07-10</vt:lpwstr>
  </property>
  <property fmtid="{D5CDD505-2E9C-101B-9397-08002B2CF9AE}" pid="3" name="output">
    <vt:lpwstr>word_document</vt:lpwstr>
  </property>
</Properties>
</file>