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4"/>
        </w:rPr>
        <w:t>北京大学光华管理学院</w:t>
      </w:r>
    </w:p>
    <w:p>
      <w:pPr>
        <w:jc w:val="center"/>
      </w:pPr>
      <w:r>
        <w:rPr>
          <w:rFonts w:ascii="宋体" w:hAnsi="宋体"/>
          <w:sz w:val="32"/>
        </w:rPr>
        <w:t>EMBA 学位毕业论文</w:t>
      </w:r>
    </w:p>
    <w:p/>
    <w:p>
      <w:pPr>
        <w:jc w:val="center"/>
      </w:pPr>
      <w:r>
        <w:rPr>
          <w:rFonts w:ascii="黑体" w:hAnsi="黑体"/>
          <w:b/>
          <w:sz w:val="44"/>
        </w:rPr>
        <w:t>医保支付方式改革下A医疗集团医疗收入质量优化研究——以A医疗集团为例</w:t>
      </w:r>
    </w:p>
    <w:p/>
    <w:p>
      <w:pPr>
        <w:jc w:val="center"/>
      </w:pPr>
      <w:r>
        <w:rPr>
          <w:rFonts w:ascii="仿宋" w:hAnsi="仿宋"/>
          <w:sz w:val="32"/>
        </w:rPr>
        <w:t>张三                    学号：2201234567                    学院：光华管理学院</w:t>
      </w:r>
    </w:p>
    <w:p>
      <w:pPr>
        <w:jc w:val="center"/>
      </w:pPr>
      <w:r>
        <w:rPr>
          <w:rFonts w:ascii="仿宋" w:hAnsi="仿宋"/>
          <w:sz w:val="32"/>
        </w:rPr>
        <w:t>专业：工商管理                    研究方向：战略管理；企业管理</w:t>
      </w:r>
    </w:p>
    <w:p>
      <w:pPr>
        <w:jc w:val="center"/>
      </w:pPr>
      <w:r>
        <w:rPr>
          <w:rFonts w:ascii="仿宋" w:hAnsi="仿宋"/>
          <w:sz w:val="32"/>
        </w:rPr>
        <w:t>导师：李四 教授</w:t>
      </w:r>
    </w:p>
    <w:p/>
    <w:p>
      <w:pPr>
        <w:jc w:val="center"/>
      </w:pPr>
      <w:r>
        <w:rPr>
          <w:rFonts w:ascii="宋体" w:hAnsi="宋体"/>
          <w:sz w:val="32"/>
        </w:rPr>
        <w:t>二〇二六年三月</w:t>
      </w:r>
    </w:p>
    <w:p>
      <w:r>
        <w:br w:type="page"/>
      </w:r>
    </w:p>
    <w:p>
      <w:pPr>
        <w:jc w:val="center"/>
      </w:pPr>
      <w:r>
        <w:rPr>
          <w:rFonts w:ascii="黑体" w:hAnsi="黑体"/>
          <w:b/>
          <w:sz w:val="30"/>
        </w:rPr>
        <w:t>摘  要</w:t>
      </w:r>
    </w:p>
    <w:p>
      <w:pPr>
        <w:spacing w:line="360" w:lineRule="auto"/>
        <w:ind w:firstLine="480"/>
        <w:jc w:val="both"/>
      </w:pPr>
      <w:r>
        <w:rPr>
          <w:rFonts w:ascii="宋体" w:hAnsi="宋体"/>
          <w:sz w:val="24"/>
        </w:rPr>
        <w:t>本文研究了医保支付方式改革对医疗集团医疗收入质量的影响。以A医疗集团为例，通过实地调研和数据分析，发现按病种付费（DIP）改革能够有效优化医疗收入结构，提高医院运营效率。研究表明，改革后A医疗集团的收入增长率保持在合理区间，药品收入占比显著下降，技术性收入占比提升。同时，本文提出针对性的政策建议，为其他医疗集团提供参考。</w:t>
      </w:r>
    </w:p>
    <w:p>
      <w:pPr>
        <w:jc w:val="left"/>
      </w:pPr>
      <w:r>
        <w:rPr>
          <w:rFonts w:ascii="宋体" w:hAnsi="宋体"/>
          <w:sz w:val="24"/>
        </w:rPr>
        <w:t>关键词：医保支付方式改革；医疗收入质量；DIP；战略管理</w:t>
      </w:r>
    </w:p>
    <w:p>
      <w:r>
        <w:br w:type="page"/>
      </w:r>
    </w:p>
    <w:p>
      <w:pPr>
        <w:jc w:val="center"/>
      </w:pPr>
      <w:r>
        <w:rPr>
          <w:rFonts w:ascii="Times New Roman" w:hAnsi="Times New Roman"/>
          <w:b/>
          <w:sz w:val="30"/>
        </w:rPr>
        <w:t>ABSTRACT</w:t>
      </w:r>
    </w:p>
    <w:p>
      <w:pPr>
        <w:spacing w:line="360" w:lineRule="auto"/>
        <w:ind w:firstLine="480"/>
        <w:jc w:val="both"/>
      </w:pPr>
      <w:r>
        <w:rPr>
          <w:rFonts w:ascii="Times New Roman" w:hAnsi="Times New Roman"/>
          <w:sz w:val="24"/>
        </w:rPr>
        <w:t>This thesis examines the impact of medical insurance payment reform on the quality of medical income in healthcare groups. Taking Group A as an example, through field research and data analysis, this study finds that the Disease Intervention Package (DIP) reform can effectively optimize the medical income structure and improve hospital operational efficiency. The results show that after the reform, Group A's revenue growth rate remained at a reasonable level, with pharmaceutical income proportion significantly decreasing and technical income proportion increasing.</w:t>
      </w:r>
    </w:p>
    <w:p>
      <w:pPr>
        <w:jc w:val="left"/>
      </w:pPr>
      <w:r>
        <w:rPr>
          <w:rFonts w:ascii="Times New Roman" w:hAnsi="Times New Roman"/>
          <w:sz w:val="24"/>
        </w:rPr>
        <w:t>Keywords: Medical Insurance Payment Reform; Medical Income Quality; DIP; Strategic Management</w:t>
      </w:r>
    </w:p>
    <w:p>
      <w:r>
        <w:br w:type="page"/>
      </w:r>
    </w:p>
    <w:p>
      <w:pPr>
        <w:jc w:val="center"/>
      </w:pPr>
      <w:r>
        <w:rPr>
          <w:rFonts w:ascii="黑体" w:hAnsi="黑体"/>
          <w:b/>
          <w:sz w:val="30"/>
        </w:rPr>
        <w:t>目  录</w:t>
      </w:r>
    </w:p>
    <w:p>
      <w:pPr>
        <w:jc w:val="left"/>
      </w:pPr>
      <w:r>
        <w:rPr>
          <w:rFonts w:ascii="宋体" w:hAnsi="宋体"/>
          <w:sz w:val="24"/>
        </w:rPr>
        <w:t>第一章  绪论  ............  1</w:t>
      </w:r>
    </w:p>
    <w:p>
      <w:pPr>
        <w:jc w:val="left"/>
      </w:pPr>
      <w:r>
        <w:rPr>
          <w:rFonts w:ascii="宋体" w:hAnsi="宋体"/>
          <w:sz w:val="24"/>
        </w:rPr>
        <w:t>第二章  文献综述  ............  5</w:t>
      </w:r>
    </w:p>
    <w:p>
      <w:pPr>
        <w:jc w:val="left"/>
      </w:pPr>
      <w:r>
        <w:rPr>
          <w:rFonts w:ascii="宋体" w:hAnsi="宋体"/>
          <w:sz w:val="24"/>
        </w:rPr>
        <w:t>第三章  研究方法  ............  10</w:t>
      </w:r>
    </w:p>
    <w:p>
      <w:pPr>
        <w:jc w:val="left"/>
      </w:pPr>
      <w:r>
        <w:rPr>
          <w:rFonts w:ascii="宋体" w:hAnsi="宋体"/>
          <w:sz w:val="24"/>
        </w:rPr>
        <w:t>第四章  案例分析  ............  15</w:t>
      </w:r>
    </w:p>
    <w:p>
      <w:pPr>
        <w:jc w:val="left"/>
      </w:pPr>
      <w:r>
        <w:rPr>
          <w:rFonts w:ascii="宋体" w:hAnsi="宋体"/>
          <w:sz w:val="24"/>
        </w:rPr>
        <w:t>第五章  结论与建议  ............  25</w:t>
      </w:r>
    </w:p>
    <w:p>
      <w:pPr>
        <w:jc w:val="left"/>
      </w:pPr>
      <w:r>
        <w:rPr>
          <w:rFonts w:ascii="宋体" w:hAnsi="宋体"/>
          <w:sz w:val="24"/>
        </w:rPr>
        <w:t>参考文献  ............  30</w:t>
      </w:r>
    </w:p>
    <w:p>
      <w:pPr>
        <w:jc w:val="left"/>
      </w:pPr>
      <w:r>
        <w:rPr>
          <w:rFonts w:ascii="宋体" w:hAnsi="宋体"/>
          <w:sz w:val="24"/>
        </w:rPr>
        <w:t>致谢  ............  35</w:t>
      </w:r>
    </w:p>
    <w:p>
      <w:r>
        <w:br w:type="page"/>
      </w:r>
    </w:p>
    <w:p>
      <w:pPr>
        <w:jc w:val="center"/>
      </w:pPr>
      <w:r>
        <w:rPr>
          <w:rFonts w:ascii="黑体" w:hAnsi="黑体"/>
          <w:b/>
          <w:sz w:val="30"/>
        </w:rPr>
        <w:t>第一章  绪论</w:t>
      </w:r>
    </w:p>
    <w:p>
      <w:pPr>
        <w:jc w:val="left"/>
      </w:pPr>
      <w:r>
        <w:rPr>
          <w:rFonts w:ascii="黑体" w:hAnsi="黑体"/>
          <w:b/>
          <w:sz w:val="30"/>
        </w:rPr>
        <w:t>1.1 研究背景</w:t>
      </w:r>
    </w:p>
    <w:p>
      <w:pPr>
        <w:spacing w:line="360" w:lineRule="auto"/>
        <w:ind w:firstLine="480"/>
        <w:jc w:val="both"/>
      </w:pPr>
      <w:r>
        <w:rPr>
          <w:rFonts w:ascii="宋体" w:hAnsi="宋体"/>
          <w:sz w:val="24"/>
        </w:rPr>
        <w:t>随着中国医疗体制改革的深入推进，医保支付方式从传统的按项目付费向按病种付费（DIP）转型。这一改革对公立医院的运营管理提出了新的挑战，也对医疗收入质量产生了深远影响。A医疗集团作为区域领先的医疗集团，积极响应改革要求，探索优化医疗收入结构的有效路径。</w:t>
      </w:r>
    </w:p>
    <w:p>
      <w:pPr>
        <w:spacing w:line="360" w:lineRule="auto"/>
        <w:ind w:firstLine="480"/>
        <w:jc w:val="both"/>
      </w:pPr>
      <w:r>
        <w:rPr>
          <w:rFonts w:ascii="宋体" w:hAnsi="宋体"/>
          <w:sz w:val="24"/>
        </w:rPr>
        <w:t>在此背景下，如何准确把握DIP改革的内涵，优化收入结构，提升技术性收入占比，成为医院管理者关注的焦点问题。本文选择A医疗集团作为研究对象，具有重要的理论意义和实践价值。</w:t>
      </w:r>
    </w:p>
    <w:p>
      <w:pPr>
        <w:jc w:val="left"/>
      </w:pPr>
      <w:r>
        <w:rPr>
          <w:rFonts w:ascii="黑体" w:hAnsi="黑体"/>
          <w:b/>
          <w:sz w:val="30"/>
        </w:rPr>
        <w:t>1.2 研究意义</w:t>
      </w:r>
    </w:p>
    <w:p>
      <w:pPr>
        <w:spacing w:line="360" w:lineRule="auto"/>
        <w:ind w:firstLine="480"/>
        <w:jc w:val="both"/>
      </w:pPr>
      <w:r>
        <w:rPr>
          <w:rFonts w:ascii="宋体" w:hAnsi="宋体"/>
          <w:sz w:val="24"/>
        </w:rPr>
        <w:t>从理论层面看，本研究丰富了医疗集团收入管理领域的案例研究，为医保支付方式改革的效果评估提供了新的视角。从实践层面看，研究结论可以为其他医疗集团的收入结构优化提供参考借鉴。</w:t>
      </w:r>
    </w:p>
    <w:p>
      <w:r>
        <w:br w:type="page"/>
      </w:r>
    </w:p>
    <w:p>
      <w:pPr>
        <w:jc w:val="center"/>
      </w:pPr>
      <w:r>
        <w:rPr>
          <w:rFonts w:ascii="黑体" w:hAnsi="黑体"/>
          <w:b/>
          <w:sz w:val="30"/>
        </w:rPr>
        <w:t>第二章  文献综述</w:t>
      </w:r>
    </w:p>
    <w:p>
      <w:pPr>
        <w:jc w:val="left"/>
      </w:pPr>
      <w:r>
        <w:rPr>
          <w:rFonts w:ascii="黑体" w:hAnsi="黑体"/>
          <w:b/>
          <w:sz w:val="30"/>
        </w:rPr>
        <w:t>2.1 医保支付方式改革研究</w:t>
      </w:r>
    </w:p>
    <w:p>
      <w:pPr>
        <w:spacing w:line="360" w:lineRule="auto"/>
        <w:ind w:firstLine="480"/>
        <w:jc w:val="both"/>
      </w:pPr>
      <w:r>
        <w:rPr>
          <w:rFonts w:ascii="宋体" w:hAnsi="宋体"/>
          <w:sz w:val="24"/>
        </w:rPr>
        <w:t>近年来，国内外学者对医保支付方式改革进行了大量研究。国内研究主要集中在改革对医院行为的影响（王明等，2020）、改革对医疗费用的控制效果（李华，2021）等方面。国外研究则更多关注DRG/DIP支付模式的国际经验（Smith et al., 2019）。</w:t>
      </w:r>
    </w:p>
    <w:p>
      <w:r>
        <w:br w:type="page"/>
      </w:r>
    </w:p>
    <w:p>
      <w:pPr>
        <w:jc w:val="center"/>
      </w:pPr>
      <w:r>
        <w:rPr>
          <w:rFonts w:ascii="黑体" w:hAnsi="黑体"/>
          <w:b/>
          <w:sz w:val="30"/>
        </w:rPr>
        <w:t>参考文献</w:t>
      </w:r>
    </w:p>
    <w:p>
      <w:pPr>
        <w:ind w:hanging="432" w:left="432"/>
        <w:jc w:val="left"/>
      </w:pPr>
      <w:r>
        <w:rPr>
          <w:rFonts w:ascii="宋体" w:hAnsi="宋体"/>
          <w:sz w:val="24"/>
        </w:rPr>
        <w:t>[1] 王明, 李华. 医保支付方式改革对公立医院的影响研究[J]. 中国卫生事业管理, 2020, 37(5): 321-325.</w:t>
      </w:r>
    </w:p>
    <w:p>
      <w:pPr>
        <w:ind w:hanging="432" w:left="432"/>
        <w:jc w:val="left"/>
      </w:pPr>
      <w:r>
        <w:rPr>
          <w:rFonts w:ascii="宋体" w:hAnsi="宋体"/>
          <w:sz w:val="24"/>
        </w:rPr>
        <w:t>[2] 李华. 按病种付费支付方式改革效果评估[J]. 卫生经济研究, 2021, 38(12): 45-49.</w:t>
      </w:r>
    </w:p>
    <w:p>
      <w:pPr>
        <w:ind w:hanging="432" w:left="432"/>
        <w:jc w:val="left"/>
      </w:pPr>
      <w:r>
        <w:rPr>
          <w:rFonts w:ascii="宋体" w:hAnsi="宋体"/>
          <w:sz w:val="24"/>
        </w:rPr>
        <w:t>[3] Smith J, Johnson M. International Experience of DRG Payment System[J]. Health Policy, 2019, 123(4): 356-367.</w:t>
      </w:r>
    </w:p>
    <w:p>
      <w:pPr>
        <w:ind w:hanging="432" w:left="432"/>
        <w:jc w:val="left"/>
      </w:pPr>
      <w:r>
        <w:rPr>
          <w:rFonts w:ascii="宋体" w:hAnsi="宋体"/>
          <w:sz w:val="24"/>
        </w:rPr>
        <w:t>[4] 张伟. 医疗集团收入结构优化路径研究[D]. 北京大学, 2022.</w:t>
      </w:r>
    </w:p>
    <w:p>
      <w:pPr>
        <w:ind w:hanging="432" w:left="432"/>
        <w:jc w:val="left"/>
      </w:pPr>
      <w:r>
        <w:rPr>
          <w:rFonts w:ascii="宋体" w:hAnsi="宋体"/>
          <w:sz w:val="24"/>
        </w:rPr>
        <w:t>[5] 陈静. DIP支付模式下医院运营管理策略[J]. 中国医院管理, 2023, 43(2): 56-60.</w:t>
      </w:r>
    </w:p>
    <w:p>
      <w:r>
        <w:br w:type="page"/>
      </w:r>
    </w:p>
    <w:p>
      <w:pPr>
        <w:jc w:val="center"/>
      </w:pPr>
      <w:r>
        <w:rPr>
          <w:rFonts w:ascii="黑体" w:hAnsi="黑体"/>
          <w:b/>
          <w:sz w:val="30"/>
        </w:rPr>
        <w:t>致  谢</w:t>
      </w:r>
    </w:p>
    <w:p>
      <w:pPr>
        <w:spacing w:line="360" w:lineRule="auto"/>
        <w:ind w:firstLine="480"/>
        <w:jc w:val="both"/>
      </w:pPr>
      <w:r>
        <w:rPr>
          <w:rFonts w:ascii="宋体" w:hAnsi="宋体"/>
          <w:sz w:val="24"/>
        </w:rPr>
        <w:t>本论文的研究工作是在导师李四教授的悉心指导下完成的。在论文选题、研究思路和撰写过程中，李老师给予了耐心的指导和帮助。同时感谢A医疗集团提供的研究数据支持，感谢光华管理学院各位老师的教诲和帮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