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4EFAE">
      <w:pPr>
        <w:ind w:firstLine="0" w:firstLineChars="0"/>
        <w:jc w:val="center"/>
      </w:pPr>
      <w:r>
        <w:drawing>
          <wp:inline distT="0" distB="0" distL="114300" distR="114300">
            <wp:extent cx="3027680" cy="848995"/>
            <wp:effectExtent l="0" t="0" r="7620" b="1905"/>
            <wp:docPr id="7" name="图片 2" descr="说明: 5标志与中文校名组合规范 [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说明: 5标志与中文校名组合规范 [转换]"/>
                    <pic:cNvPicPr>
                      <a:picLocks noChangeAspect="1"/>
                    </pic:cNvPicPr>
                  </pic:nvPicPr>
                  <pic:blipFill>
                    <a:blip r:embed="rId20"/>
                    <a:stretch>
                      <a:fillRect/>
                    </a:stretch>
                  </pic:blipFill>
                  <pic:spPr>
                    <a:xfrm>
                      <a:off x="0" y="0"/>
                      <a:ext cx="3027680" cy="848995"/>
                    </a:xfrm>
                    <a:prstGeom prst="rect">
                      <a:avLst/>
                    </a:prstGeom>
                    <a:noFill/>
                    <a:ln>
                      <a:noFill/>
                    </a:ln>
                  </pic:spPr>
                </pic:pic>
              </a:graphicData>
            </a:graphic>
          </wp:inline>
        </w:drawing>
      </w:r>
    </w:p>
    <w:p w14:paraId="293547F0">
      <w:pPr>
        <w:ind w:firstLine="0" w:firstLineChars="0"/>
        <w:jc w:val="center"/>
        <w:rPr>
          <w:rFonts w:eastAsia="黑体"/>
          <w:sz w:val="72"/>
          <w:szCs w:val="72"/>
        </w:rPr>
      </w:pPr>
      <w:r>
        <w:rPr>
          <w:rFonts w:hAnsi="黑体" w:eastAsia="黑体"/>
          <w:sz w:val="72"/>
          <w:szCs w:val="72"/>
        </w:rPr>
        <w:t>硕士研究生学位论文</w:t>
      </w:r>
    </w:p>
    <w:p w14:paraId="3C8672C7">
      <w:pPr>
        <w:pStyle w:val="16"/>
        <w:spacing w:after="163" w:afterLines="50" w:line="360" w:lineRule="auto"/>
        <w:rPr>
          <w:rFonts w:ascii="Times New Roman" w:hAnsi="Times New Roman"/>
        </w:rPr>
      </w:pPr>
    </w:p>
    <w:tbl>
      <w:tblPr>
        <w:tblStyle w:val="30"/>
        <w:tblW w:w="0" w:type="auto"/>
        <w:tblInd w:w="709" w:type="dxa"/>
        <w:tblLayout w:type="autofit"/>
        <w:tblCellMar>
          <w:top w:w="0" w:type="dxa"/>
          <w:left w:w="108" w:type="dxa"/>
          <w:bottom w:w="0" w:type="dxa"/>
          <w:right w:w="108" w:type="dxa"/>
        </w:tblCellMar>
      </w:tblPr>
      <w:tblGrid>
        <w:gridCol w:w="1559"/>
        <w:gridCol w:w="5760"/>
      </w:tblGrid>
      <w:tr w14:paraId="19C662CF">
        <w:tblPrEx>
          <w:tblCellMar>
            <w:top w:w="0" w:type="dxa"/>
            <w:left w:w="108" w:type="dxa"/>
            <w:bottom w:w="0" w:type="dxa"/>
            <w:right w:w="108" w:type="dxa"/>
          </w:tblCellMar>
        </w:tblPrEx>
        <w:trPr>
          <w:trHeight w:val="840" w:hRule="atLeast"/>
        </w:trPr>
        <w:tc>
          <w:tcPr>
            <w:tcW w:w="1559" w:type="dxa"/>
            <w:noWrap w:val="0"/>
            <w:vAlign w:val="bottom"/>
          </w:tcPr>
          <w:p w14:paraId="7E867C96">
            <w:pPr>
              <w:spacing w:line="300" w:lineRule="auto"/>
              <w:ind w:firstLine="0" w:firstLineChars="0"/>
            </w:pPr>
            <w:bookmarkStart w:id="0" w:name="OLE_LINK1"/>
            <w:bookmarkStart w:id="1" w:name="OLE_LINK2"/>
            <w:r>
              <w:rPr>
                <w:sz w:val="44"/>
              </w:rPr>
              <w:t>题目：</w:t>
            </w:r>
          </w:p>
        </w:tc>
        <w:tc>
          <w:tcPr>
            <w:tcW w:w="5760" w:type="dxa"/>
            <w:tcBorders>
              <w:bottom w:val="single" w:color="auto" w:sz="6" w:space="0"/>
            </w:tcBorders>
            <w:noWrap w:val="0"/>
            <w:vAlign w:val="bottom"/>
          </w:tcPr>
          <w:p w14:paraId="3D5BC5E2">
            <w:pPr>
              <w:spacing w:line="300" w:lineRule="auto"/>
              <w:ind w:firstLine="0" w:firstLineChars="0"/>
              <w:jc w:val="center"/>
              <w:rPr>
                <w:rFonts w:hint="eastAsia" w:ascii="黑体" w:hAnsi="黑体" w:eastAsia="黑体" w:cs="黑体"/>
                <w:b/>
                <w:color w:val="auto"/>
                <w:sz w:val="44"/>
                <w:szCs w:val="44"/>
              </w:rPr>
            </w:pPr>
            <w:r>
              <w:rPr>
                <w:rFonts w:hint="eastAsia" w:ascii="黑体" w:hAnsi="黑体" w:eastAsia="黑体" w:cs="黑体"/>
                <w:b/>
                <w:color w:val="auto"/>
                <w:sz w:val="44"/>
                <w:szCs w:val="44"/>
              </w:rPr>
              <w:t>医保支付改革下医院集团医疗收入质量优化研究</w:t>
            </w:r>
          </w:p>
        </w:tc>
      </w:tr>
      <w:tr w14:paraId="65639807">
        <w:tblPrEx>
          <w:tblCellMar>
            <w:top w:w="0" w:type="dxa"/>
            <w:left w:w="108" w:type="dxa"/>
            <w:bottom w:w="0" w:type="dxa"/>
            <w:right w:w="108" w:type="dxa"/>
          </w:tblCellMar>
        </w:tblPrEx>
        <w:trPr>
          <w:trHeight w:val="840" w:hRule="atLeast"/>
        </w:trPr>
        <w:tc>
          <w:tcPr>
            <w:tcW w:w="1559" w:type="dxa"/>
            <w:noWrap w:val="0"/>
            <w:vAlign w:val="bottom"/>
          </w:tcPr>
          <w:p w14:paraId="310D0A7D">
            <w:pPr>
              <w:spacing w:line="300" w:lineRule="auto"/>
              <w:ind w:firstLine="480"/>
              <w:jc w:val="center"/>
            </w:pPr>
          </w:p>
        </w:tc>
        <w:tc>
          <w:tcPr>
            <w:tcW w:w="5760" w:type="dxa"/>
            <w:tcBorders>
              <w:top w:val="single" w:color="auto" w:sz="6" w:space="0"/>
              <w:bottom w:val="single" w:color="auto" w:sz="6" w:space="0"/>
            </w:tcBorders>
            <w:noWrap w:val="0"/>
            <w:vAlign w:val="bottom"/>
          </w:tcPr>
          <w:p w14:paraId="33A99D4D">
            <w:pPr>
              <w:spacing w:line="300" w:lineRule="auto"/>
              <w:ind w:firstLine="0" w:firstLineChars="0"/>
              <w:jc w:val="center"/>
              <w:rPr>
                <w:rFonts w:hint="eastAsia" w:ascii="黑体" w:hAnsi="黑体" w:eastAsia="黑体" w:cs="黑体"/>
                <w:b/>
                <w:color w:val="auto"/>
                <w:sz w:val="44"/>
                <w:szCs w:val="44"/>
              </w:rPr>
            </w:pPr>
            <w:r>
              <w:rPr>
                <w:rFonts w:hint="eastAsia" w:ascii="黑体" w:hAnsi="黑体" w:eastAsia="黑体" w:cs="黑体"/>
                <w:b/>
                <w:color w:val="auto"/>
                <w:sz w:val="44"/>
                <w:szCs w:val="44"/>
              </w:rPr>
              <w:t>——以</w:t>
            </w:r>
            <w:r>
              <w:rPr>
                <w:rFonts w:hint="eastAsia" w:ascii="黑体" w:hAnsi="黑体" w:eastAsia="黑体" w:cs="黑体"/>
                <w:b/>
                <w:color w:val="auto"/>
                <w:sz w:val="44"/>
                <w:szCs w:val="44"/>
                <w:lang w:eastAsia="zh-CN"/>
              </w:rPr>
              <w:t>A医疗集团</w:t>
            </w:r>
            <w:r>
              <w:rPr>
                <w:rFonts w:hint="eastAsia" w:ascii="黑体" w:hAnsi="黑体" w:eastAsia="黑体" w:cs="黑体"/>
                <w:b/>
                <w:color w:val="auto"/>
                <w:sz w:val="44"/>
                <w:szCs w:val="44"/>
              </w:rPr>
              <w:t>为例</w:t>
            </w:r>
          </w:p>
        </w:tc>
      </w:tr>
    </w:tbl>
    <w:p w14:paraId="04F19685">
      <w:pPr>
        <w:spacing w:line="240" w:lineRule="auto"/>
        <w:ind w:firstLine="0" w:firstLineChars="0"/>
        <w:rPr>
          <w:sz w:val="22"/>
          <w:szCs w:val="44"/>
        </w:rPr>
      </w:pPr>
    </w:p>
    <w:p w14:paraId="0B43B220">
      <w:pPr>
        <w:spacing w:line="240" w:lineRule="auto"/>
        <w:ind w:firstLine="0" w:firstLineChars="0"/>
        <w:rPr>
          <w:sz w:val="22"/>
          <w:szCs w:val="44"/>
        </w:rPr>
      </w:pPr>
    </w:p>
    <w:p w14:paraId="0754EADF">
      <w:pPr>
        <w:spacing w:line="240" w:lineRule="auto"/>
        <w:ind w:firstLine="0" w:firstLineChars="0"/>
        <w:jc w:val="center"/>
        <w:rPr>
          <w:b/>
          <w:sz w:val="28"/>
          <w:szCs w:val="28"/>
          <w:u w:val="single"/>
        </w:rPr>
      </w:pPr>
    </w:p>
    <w:tbl>
      <w:tblPr>
        <w:tblStyle w:val="30"/>
        <w:tblpPr w:leftFromText="180" w:rightFromText="180" w:vertAnchor="text" w:horzAnchor="margin" w:tblpXSpec="center" w:tblpY="801"/>
        <w:tblW w:w="0" w:type="auto"/>
        <w:tblInd w:w="0" w:type="dxa"/>
        <w:tblLayout w:type="autofit"/>
        <w:tblCellMar>
          <w:top w:w="0" w:type="dxa"/>
          <w:left w:w="108" w:type="dxa"/>
          <w:bottom w:w="0" w:type="dxa"/>
          <w:right w:w="108" w:type="dxa"/>
        </w:tblCellMar>
      </w:tblPr>
      <w:tblGrid>
        <w:gridCol w:w="1952"/>
        <w:gridCol w:w="4252"/>
      </w:tblGrid>
      <w:tr w14:paraId="27B33BB6">
        <w:tblPrEx>
          <w:tblCellMar>
            <w:top w:w="0" w:type="dxa"/>
            <w:left w:w="108" w:type="dxa"/>
            <w:bottom w:w="0" w:type="dxa"/>
            <w:right w:w="108" w:type="dxa"/>
          </w:tblCellMar>
        </w:tblPrEx>
        <w:tc>
          <w:tcPr>
            <w:tcW w:w="1952" w:type="dxa"/>
            <w:noWrap w:val="0"/>
            <w:vAlign w:val="top"/>
          </w:tcPr>
          <w:p w14:paraId="12EB43B2">
            <w:pPr>
              <w:spacing w:line="240" w:lineRule="auto"/>
              <w:ind w:firstLine="0" w:firstLineChars="0"/>
              <w:rPr>
                <w:sz w:val="44"/>
                <w:szCs w:val="44"/>
              </w:rPr>
            </w:pPr>
            <w:r>
              <w:rPr>
                <w:rFonts w:hAnsi="黑体" w:eastAsia="黑体"/>
                <w:sz w:val="30"/>
                <w:szCs w:val="30"/>
              </w:rPr>
              <w:t>姓</w:t>
            </w:r>
            <w:r>
              <w:rPr>
                <w:rFonts w:eastAsia="黑体"/>
                <w:sz w:val="30"/>
                <w:szCs w:val="30"/>
              </w:rPr>
              <w:t xml:space="preserve">    </w:t>
            </w:r>
            <w:r>
              <w:rPr>
                <w:rFonts w:hAnsi="黑体" w:eastAsia="黑体"/>
                <w:sz w:val="30"/>
                <w:szCs w:val="30"/>
              </w:rPr>
              <w:t>名：</w:t>
            </w:r>
          </w:p>
        </w:tc>
        <w:tc>
          <w:tcPr>
            <w:tcW w:w="4252" w:type="dxa"/>
            <w:tcBorders>
              <w:bottom w:val="single" w:color="auto" w:sz="4" w:space="0"/>
            </w:tcBorders>
            <w:noWrap w:val="0"/>
            <w:vAlign w:val="top"/>
          </w:tcPr>
          <w:p w14:paraId="46495D94">
            <w:pPr>
              <w:spacing w:line="240" w:lineRule="auto"/>
              <w:ind w:firstLine="0" w:firstLineChars="0"/>
              <w:jc w:val="center"/>
              <w:rPr>
                <w:rFonts w:hint="default" w:ascii="仿宋" w:hAnsi="仿宋" w:eastAsia="仿宋"/>
                <w:sz w:val="32"/>
                <w:szCs w:val="32"/>
                <w:lang w:val="en-US" w:eastAsia="zh-CN"/>
              </w:rPr>
            </w:pPr>
            <w:r>
              <w:rPr>
                <w:rFonts w:hint="eastAsia" w:ascii="仿宋" w:hAnsi="仿宋" w:eastAsia="仿宋"/>
                <w:sz w:val="32"/>
                <w:szCs w:val="32"/>
                <w:lang w:val="en-US" w:eastAsia="zh-CN"/>
              </w:rPr>
              <w:t>朱钿</w:t>
            </w:r>
          </w:p>
        </w:tc>
      </w:tr>
      <w:tr w14:paraId="17BA78DA">
        <w:tblPrEx>
          <w:tblCellMar>
            <w:top w:w="0" w:type="dxa"/>
            <w:left w:w="108" w:type="dxa"/>
            <w:bottom w:w="0" w:type="dxa"/>
            <w:right w:w="108" w:type="dxa"/>
          </w:tblCellMar>
        </w:tblPrEx>
        <w:tc>
          <w:tcPr>
            <w:tcW w:w="1952" w:type="dxa"/>
            <w:noWrap w:val="0"/>
            <w:vAlign w:val="top"/>
          </w:tcPr>
          <w:p w14:paraId="03CF1596">
            <w:pPr>
              <w:spacing w:line="240" w:lineRule="auto"/>
              <w:ind w:firstLine="0" w:firstLineChars="0"/>
              <w:rPr>
                <w:sz w:val="44"/>
                <w:szCs w:val="44"/>
              </w:rPr>
            </w:pPr>
            <w:r>
              <w:rPr>
                <w:rFonts w:hAnsi="黑体" w:eastAsia="黑体"/>
                <w:sz w:val="30"/>
                <w:szCs w:val="30"/>
              </w:rPr>
              <w:t>学</w:t>
            </w:r>
            <w:r>
              <w:rPr>
                <w:rFonts w:eastAsia="黑体"/>
                <w:sz w:val="30"/>
                <w:szCs w:val="30"/>
              </w:rPr>
              <w:t xml:space="preserve">    </w:t>
            </w:r>
            <w:r>
              <w:rPr>
                <w:rFonts w:hAnsi="黑体" w:eastAsia="黑体"/>
                <w:sz w:val="30"/>
                <w:szCs w:val="30"/>
              </w:rPr>
              <w:t>号：</w:t>
            </w:r>
          </w:p>
        </w:tc>
        <w:tc>
          <w:tcPr>
            <w:tcW w:w="4252" w:type="dxa"/>
            <w:tcBorders>
              <w:top w:val="single" w:color="auto" w:sz="4" w:space="0"/>
              <w:bottom w:val="single" w:color="auto" w:sz="4" w:space="0"/>
            </w:tcBorders>
            <w:noWrap w:val="0"/>
            <w:vAlign w:val="top"/>
          </w:tcPr>
          <w:p w14:paraId="67E5F25B">
            <w:pPr>
              <w:spacing w:line="240" w:lineRule="auto"/>
              <w:ind w:firstLine="0" w:firstLineChars="0"/>
              <w:jc w:val="center"/>
              <w:rPr>
                <w:rFonts w:hint="default" w:ascii="仿宋" w:hAnsi="仿宋" w:eastAsia="仿宋"/>
                <w:sz w:val="32"/>
                <w:szCs w:val="32"/>
                <w:lang w:val="en-US" w:eastAsia="zh-CN"/>
              </w:rPr>
            </w:pPr>
            <w:r>
              <w:rPr>
                <w:rFonts w:hint="eastAsia" w:ascii="仿宋" w:hAnsi="仿宋" w:eastAsia="仿宋"/>
                <w:sz w:val="32"/>
                <w:szCs w:val="32"/>
                <w:lang w:val="en-US" w:eastAsia="zh-CN"/>
              </w:rPr>
              <w:t>2401221125</w:t>
            </w:r>
          </w:p>
        </w:tc>
      </w:tr>
      <w:tr w14:paraId="1D0FF562">
        <w:tblPrEx>
          <w:tblCellMar>
            <w:top w:w="0" w:type="dxa"/>
            <w:left w:w="108" w:type="dxa"/>
            <w:bottom w:w="0" w:type="dxa"/>
            <w:right w:w="108" w:type="dxa"/>
          </w:tblCellMar>
        </w:tblPrEx>
        <w:tc>
          <w:tcPr>
            <w:tcW w:w="1952" w:type="dxa"/>
            <w:noWrap w:val="0"/>
            <w:vAlign w:val="top"/>
          </w:tcPr>
          <w:p w14:paraId="16F538A3">
            <w:pPr>
              <w:spacing w:line="240" w:lineRule="auto"/>
              <w:ind w:firstLine="0" w:firstLineChars="0"/>
              <w:rPr>
                <w:sz w:val="44"/>
                <w:szCs w:val="44"/>
              </w:rPr>
            </w:pPr>
            <w:r>
              <w:rPr>
                <w:rFonts w:hAnsi="黑体" w:eastAsia="黑体"/>
                <w:sz w:val="30"/>
                <w:szCs w:val="30"/>
              </w:rPr>
              <w:t>院</w:t>
            </w:r>
            <w:r>
              <w:rPr>
                <w:rFonts w:eastAsia="黑体"/>
                <w:sz w:val="30"/>
                <w:szCs w:val="30"/>
              </w:rPr>
              <w:t xml:space="preserve">    </w:t>
            </w:r>
            <w:r>
              <w:rPr>
                <w:rFonts w:hAnsi="黑体" w:eastAsia="黑体"/>
                <w:sz w:val="30"/>
                <w:szCs w:val="30"/>
              </w:rPr>
              <w:t>系：</w:t>
            </w:r>
          </w:p>
        </w:tc>
        <w:tc>
          <w:tcPr>
            <w:tcW w:w="4252" w:type="dxa"/>
            <w:tcBorders>
              <w:top w:val="single" w:color="auto" w:sz="4" w:space="0"/>
              <w:bottom w:val="single" w:color="auto" w:sz="4" w:space="0"/>
            </w:tcBorders>
            <w:noWrap w:val="0"/>
            <w:vAlign w:val="top"/>
          </w:tcPr>
          <w:p w14:paraId="59601B77">
            <w:pPr>
              <w:spacing w:line="240" w:lineRule="auto"/>
              <w:ind w:firstLine="0" w:firstLineChars="0"/>
              <w:jc w:val="center"/>
              <w:rPr>
                <w:rFonts w:ascii="仿宋" w:hAnsi="仿宋" w:eastAsia="仿宋"/>
                <w:sz w:val="32"/>
                <w:szCs w:val="32"/>
              </w:rPr>
            </w:pPr>
            <w:r>
              <w:rPr>
                <w:rFonts w:ascii="仿宋" w:hAnsi="仿宋" w:eastAsia="仿宋"/>
                <w:sz w:val="32"/>
                <w:szCs w:val="32"/>
              </w:rPr>
              <w:t>光华管理学院</w:t>
            </w:r>
          </w:p>
        </w:tc>
      </w:tr>
      <w:tr w14:paraId="71970348">
        <w:tblPrEx>
          <w:tblCellMar>
            <w:top w:w="0" w:type="dxa"/>
            <w:left w:w="108" w:type="dxa"/>
            <w:bottom w:w="0" w:type="dxa"/>
            <w:right w:w="108" w:type="dxa"/>
          </w:tblCellMar>
        </w:tblPrEx>
        <w:tc>
          <w:tcPr>
            <w:tcW w:w="1952" w:type="dxa"/>
            <w:noWrap w:val="0"/>
            <w:vAlign w:val="top"/>
          </w:tcPr>
          <w:p w14:paraId="36E000A3">
            <w:pPr>
              <w:spacing w:line="240" w:lineRule="auto"/>
              <w:ind w:firstLine="0" w:firstLineChars="0"/>
              <w:rPr>
                <w:sz w:val="44"/>
                <w:szCs w:val="44"/>
              </w:rPr>
            </w:pPr>
            <w:r>
              <w:rPr>
                <w:rFonts w:hAnsi="黑体" w:eastAsia="黑体"/>
                <w:sz w:val="30"/>
                <w:szCs w:val="30"/>
              </w:rPr>
              <w:t>专</w:t>
            </w:r>
            <w:r>
              <w:rPr>
                <w:rFonts w:eastAsia="黑体"/>
                <w:sz w:val="30"/>
                <w:szCs w:val="30"/>
              </w:rPr>
              <w:t xml:space="preserve">    </w:t>
            </w:r>
            <w:r>
              <w:rPr>
                <w:rFonts w:hAnsi="黑体" w:eastAsia="黑体"/>
                <w:sz w:val="30"/>
                <w:szCs w:val="30"/>
              </w:rPr>
              <w:t>业：</w:t>
            </w:r>
          </w:p>
        </w:tc>
        <w:tc>
          <w:tcPr>
            <w:tcW w:w="4252" w:type="dxa"/>
            <w:tcBorders>
              <w:top w:val="single" w:color="auto" w:sz="4" w:space="0"/>
              <w:bottom w:val="single" w:color="auto" w:sz="4" w:space="0"/>
            </w:tcBorders>
            <w:noWrap w:val="0"/>
            <w:vAlign w:val="center"/>
          </w:tcPr>
          <w:p w14:paraId="04887E22">
            <w:pPr>
              <w:spacing w:line="240" w:lineRule="auto"/>
              <w:ind w:firstLine="0" w:firstLineChars="0"/>
              <w:jc w:val="center"/>
              <w:rPr>
                <w:rFonts w:ascii="仿宋" w:hAnsi="仿宋" w:eastAsia="仿宋"/>
                <w:sz w:val="32"/>
                <w:szCs w:val="32"/>
              </w:rPr>
            </w:pPr>
            <w:r>
              <w:rPr>
                <w:rFonts w:ascii="仿宋" w:hAnsi="仿宋" w:eastAsia="仿宋"/>
                <w:sz w:val="32"/>
                <w:szCs w:val="32"/>
              </w:rPr>
              <w:t>高级管理人员工商管理硕士</w:t>
            </w:r>
          </w:p>
        </w:tc>
      </w:tr>
      <w:tr w14:paraId="08993F62">
        <w:tblPrEx>
          <w:tblCellMar>
            <w:top w:w="0" w:type="dxa"/>
            <w:left w:w="108" w:type="dxa"/>
            <w:bottom w:w="0" w:type="dxa"/>
            <w:right w:w="108" w:type="dxa"/>
          </w:tblCellMar>
        </w:tblPrEx>
        <w:tc>
          <w:tcPr>
            <w:tcW w:w="1952" w:type="dxa"/>
            <w:noWrap w:val="0"/>
            <w:vAlign w:val="top"/>
          </w:tcPr>
          <w:p w14:paraId="7A91AC3E">
            <w:pPr>
              <w:spacing w:line="240" w:lineRule="auto"/>
              <w:ind w:firstLine="0" w:firstLineChars="0"/>
              <w:rPr>
                <w:sz w:val="44"/>
                <w:szCs w:val="44"/>
              </w:rPr>
            </w:pPr>
            <w:r>
              <w:rPr>
                <w:rFonts w:hAnsi="黑体" w:eastAsia="黑体"/>
                <w:sz w:val="30"/>
                <w:szCs w:val="30"/>
              </w:rPr>
              <w:t>研究方向：</w:t>
            </w:r>
          </w:p>
        </w:tc>
        <w:tc>
          <w:tcPr>
            <w:tcW w:w="4252" w:type="dxa"/>
            <w:tcBorders>
              <w:top w:val="single" w:color="auto" w:sz="4" w:space="0"/>
              <w:bottom w:val="single" w:color="auto" w:sz="4" w:space="0"/>
            </w:tcBorders>
            <w:noWrap w:val="0"/>
            <w:vAlign w:val="top"/>
          </w:tcPr>
          <w:p w14:paraId="35DA139B">
            <w:pPr>
              <w:spacing w:line="240" w:lineRule="auto"/>
              <w:ind w:firstLine="0" w:firstLineChars="0"/>
              <w:jc w:val="center"/>
              <w:rPr>
                <w:rFonts w:ascii="仿宋" w:hAnsi="仿宋" w:eastAsia="仿宋"/>
                <w:sz w:val="32"/>
                <w:szCs w:val="32"/>
              </w:rPr>
            </w:pPr>
            <w:r>
              <w:rPr>
                <w:rFonts w:hint="eastAsia" w:ascii="仿宋" w:hAnsi="仿宋" w:eastAsia="仿宋"/>
                <w:sz w:val="32"/>
                <w:szCs w:val="32"/>
                <w:lang w:val="en-US" w:eastAsia="zh-CN"/>
              </w:rPr>
              <w:t>战略</w:t>
            </w:r>
            <w:r>
              <w:rPr>
                <w:rFonts w:hint="eastAsia" w:ascii="仿宋" w:hAnsi="仿宋" w:eastAsia="仿宋"/>
                <w:sz w:val="32"/>
                <w:szCs w:val="32"/>
              </w:rPr>
              <w:t>管理</w:t>
            </w:r>
          </w:p>
        </w:tc>
      </w:tr>
      <w:tr w14:paraId="7CCB0967">
        <w:tblPrEx>
          <w:tblCellMar>
            <w:top w:w="0" w:type="dxa"/>
            <w:left w:w="108" w:type="dxa"/>
            <w:bottom w:w="0" w:type="dxa"/>
            <w:right w:w="108" w:type="dxa"/>
          </w:tblCellMar>
        </w:tblPrEx>
        <w:tc>
          <w:tcPr>
            <w:tcW w:w="1952" w:type="dxa"/>
            <w:noWrap w:val="0"/>
            <w:vAlign w:val="top"/>
          </w:tcPr>
          <w:p w14:paraId="2BFAD05E">
            <w:pPr>
              <w:spacing w:line="240" w:lineRule="auto"/>
              <w:ind w:firstLine="0" w:firstLineChars="0"/>
              <w:rPr>
                <w:sz w:val="44"/>
                <w:szCs w:val="44"/>
              </w:rPr>
            </w:pPr>
            <w:r>
              <w:rPr>
                <w:rFonts w:hAnsi="黑体" w:eastAsia="黑体"/>
                <w:sz w:val="30"/>
                <w:szCs w:val="30"/>
              </w:rPr>
              <w:t>导师姓名：</w:t>
            </w:r>
          </w:p>
        </w:tc>
        <w:tc>
          <w:tcPr>
            <w:tcW w:w="4252" w:type="dxa"/>
            <w:tcBorders>
              <w:top w:val="single" w:color="auto" w:sz="4" w:space="0"/>
              <w:bottom w:val="single" w:color="auto" w:sz="4" w:space="0"/>
            </w:tcBorders>
            <w:noWrap w:val="0"/>
            <w:vAlign w:val="top"/>
          </w:tcPr>
          <w:p w14:paraId="13B0E014">
            <w:pPr>
              <w:spacing w:line="240" w:lineRule="auto"/>
              <w:ind w:firstLine="0" w:firstLineChars="0"/>
              <w:jc w:val="center"/>
              <w:rPr>
                <w:rFonts w:ascii="仿宋" w:hAnsi="仿宋" w:eastAsia="仿宋"/>
                <w:sz w:val="32"/>
                <w:szCs w:val="32"/>
              </w:rPr>
            </w:pPr>
            <w:r>
              <w:rPr>
                <w:rFonts w:hint="eastAsia" w:ascii="仿宋" w:hAnsi="仿宋" w:eastAsia="仿宋"/>
                <w:sz w:val="32"/>
                <w:szCs w:val="32"/>
                <w:lang w:val="en-US" w:eastAsia="zh-CN"/>
              </w:rPr>
              <w:t>颜色</w:t>
            </w:r>
            <w:r>
              <w:rPr>
                <w:rFonts w:ascii="仿宋" w:hAnsi="仿宋" w:eastAsia="仿宋"/>
                <w:sz w:val="32"/>
                <w:szCs w:val="32"/>
              </w:rPr>
              <w:t xml:space="preserve"> 教授</w:t>
            </w:r>
          </w:p>
        </w:tc>
      </w:tr>
    </w:tbl>
    <w:p w14:paraId="0389AAE5">
      <w:pPr>
        <w:spacing w:line="240" w:lineRule="auto"/>
        <w:ind w:firstLine="0" w:firstLineChars="0"/>
        <w:rPr>
          <w:sz w:val="44"/>
          <w:szCs w:val="44"/>
        </w:rPr>
      </w:pPr>
    </w:p>
    <w:p w14:paraId="6E315C21">
      <w:pPr>
        <w:spacing w:line="240" w:lineRule="auto"/>
        <w:ind w:firstLine="0" w:firstLineChars="0"/>
        <w:rPr>
          <w:sz w:val="44"/>
          <w:szCs w:val="44"/>
        </w:rPr>
      </w:pPr>
    </w:p>
    <w:p w14:paraId="30F21633">
      <w:pPr>
        <w:spacing w:line="240" w:lineRule="auto"/>
        <w:ind w:firstLine="0" w:firstLineChars="0"/>
        <w:rPr>
          <w:sz w:val="44"/>
          <w:szCs w:val="44"/>
        </w:rPr>
      </w:pPr>
    </w:p>
    <w:p w14:paraId="4B900CEB">
      <w:pPr>
        <w:spacing w:line="240" w:lineRule="auto"/>
        <w:ind w:firstLine="0" w:firstLineChars="0"/>
        <w:rPr>
          <w:sz w:val="44"/>
          <w:szCs w:val="44"/>
        </w:rPr>
      </w:pPr>
    </w:p>
    <w:p w14:paraId="751E9FDD">
      <w:pPr>
        <w:spacing w:line="240" w:lineRule="auto"/>
        <w:ind w:firstLine="0" w:firstLineChars="0"/>
        <w:rPr>
          <w:sz w:val="44"/>
          <w:szCs w:val="44"/>
        </w:rPr>
      </w:pPr>
    </w:p>
    <w:p w14:paraId="14FB8F23">
      <w:pPr>
        <w:spacing w:line="240" w:lineRule="auto"/>
        <w:ind w:firstLine="0" w:firstLineChars="0"/>
        <w:rPr>
          <w:sz w:val="44"/>
          <w:szCs w:val="44"/>
        </w:rPr>
      </w:pPr>
    </w:p>
    <w:p w14:paraId="0FCE74C6">
      <w:pPr>
        <w:spacing w:line="240" w:lineRule="auto"/>
        <w:ind w:firstLine="0" w:firstLineChars="0"/>
        <w:rPr>
          <w:sz w:val="44"/>
          <w:szCs w:val="44"/>
        </w:rPr>
      </w:pPr>
    </w:p>
    <w:p w14:paraId="2CE50E32">
      <w:pPr>
        <w:spacing w:line="240" w:lineRule="auto"/>
        <w:ind w:firstLine="0" w:firstLineChars="0"/>
        <w:rPr>
          <w:sz w:val="44"/>
          <w:szCs w:val="44"/>
        </w:rPr>
      </w:pPr>
    </w:p>
    <w:p w14:paraId="0D9191D3">
      <w:pPr>
        <w:spacing w:line="300" w:lineRule="auto"/>
        <w:ind w:firstLine="0" w:firstLineChars="0"/>
        <w:jc w:val="center"/>
        <w:textAlignment w:val="auto"/>
        <w:rPr>
          <w:rFonts w:ascii="宋体" w:hAnsi="宋体"/>
          <w:sz w:val="21"/>
          <w:szCs w:val="24"/>
        </w:rPr>
      </w:pPr>
      <w:r>
        <w:rPr>
          <w:rFonts w:hint="eastAsia" w:ascii="仿宋" w:hAnsi="仿宋" w:eastAsia="仿宋"/>
          <w:sz w:val="32"/>
          <w:szCs w:val="32"/>
        </w:rPr>
        <w:sym w:font="Wingdings 2" w:char="00A3"/>
      </w:r>
      <w:r>
        <w:rPr>
          <w:rFonts w:hint="eastAsia" w:ascii="仿宋" w:hAnsi="仿宋" w:eastAsia="仿宋"/>
          <w:sz w:val="32"/>
          <w:szCs w:val="32"/>
        </w:rPr>
        <w:t xml:space="preserve"> 学术学位 </w:t>
      </w:r>
      <w:r>
        <w:rPr>
          <w:rFonts w:ascii="仿宋" w:hAnsi="仿宋" w:eastAsia="仿宋"/>
          <w:sz w:val="32"/>
          <w:szCs w:val="32"/>
        </w:rPr>
        <w:t xml:space="preserve">  </w:t>
      </w:r>
      <w:r>
        <w:rPr>
          <w:rFonts w:hint="eastAsia" w:ascii="仿宋" w:hAnsi="仿宋" w:eastAsia="仿宋"/>
          <w:sz w:val="32"/>
          <w:szCs w:val="32"/>
        </w:rPr>
        <w:t xml:space="preserve"> </w:t>
      </w:r>
      <w:r>
        <w:rPr>
          <w:rFonts w:ascii="Segoe UI Symbol" w:hAnsi="Segoe UI Symbol" w:eastAsia="黑体" w:cs="Segoe UI Symbol"/>
          <w:sz w:val="32"/>
          <w:szCs w:val="32"/>
        </w:rPr>
        <w:t>☑</w:t>
      </w:r>
      <w:r>
        <w:rPr>
          <w:rFonts w:hint="eastAsia" w:ascii="仿宋" w:hAnsi="仿宋" w:eastAsia="仿宋"/>
          <w:sz w:val="32"/>
          <w:szCs w:val="32"/>
        </w:rPr>
        <w:t xml:space="preserve"> 专业学位</w:t>
      </w:r>
    </w:p>
    <w:bookmarkEnd w:id="0"/>
    <w:bookmarkEnd w:id="1"/>
    <w:p w14:paraId="2F49F9A5">
      <w:pPr>
        <w:spacing w:after="120"/>
        <w:ind w:firstLine="640"/>
        <w:jc w:val="center"/>
        <w:rPr>
          <w:sz w:val="32"/>
          <w:szCs w:val="32"/>
        </w:rPr>
      </w:pPr>
      <w:r>
        <w:rPr>
          <w:rFonts w:hAnsi="宋体"/>
          <w:sz w:val="32"/>
          <w:szCs w:val="32"/>
        </w:rPr>
        <w:t>二〇二</w:t>
      </w:r>
      <w:r>
        <w:rPr>
          <w:rFonts w:hint="eastAsia" w:hAnsi="宋体"/>
          <w:sz w:val="32"/>
          <w:szCs w:val="32"/>
        </w:rPr>
        <w:t>六</w:t>
      </w:r>
      <w:r>
        <w:rPr>
          <w:rFonts w:hAnsi="宋体"/>
          <w:sz w:val="32"/>
          <w:szCs w:val="32"/>
        </w:rPr>
        <w:t>年</w:t>
      </w:r>
      <w:r>
        <w:rPr>
          <w:rFonts w:hint="eastAsia" w:hAnsi="宋体"/>
          <w:sz w:val="32"/>
          <w:szCs w:val="32"/>
          <w:lang w:val="en-US" w:eastAsia="zh-CN"/>
        </w:rPr>
        <w:t>二</w:t>
      </w:r>
      <w:r>
        <w:rPr>
          <w:rFonts w:hAnsi="宋体"/>
          <w:sz w:val="32"/>
          <w:szCs w:val="32"/>
        </w:rPr>
        <w:t>月</w:t>
      </w:r>
    </w:p>
    <w:p w14:paraId="31F2855D">
      <w:pPr>
        <w:spacing w:line="480" w:lineRule="auto"/>
        <w:ind w:firstLine="883"/>
        <w:jc w:val="center"/>
        <w:rPr>
          <w:b/>
          <w:sz w:val="44"/>
          <w:szCs w:val="44"/>
        </w:rPr>
      </w:pPr>
    </w:p>
    <w:p w14:paraId="41C64B2E">
      <w:pPr>
        <w:spacing w:line="480" w:lineRule="auto"/>
        <w:ind w:firstLine="0" w:firstLineChars="0"/>
        <w:jc w:val="center"/>
        <w:rPr>
          <w:rFonts w:hAnsi="黑体" w:eastAsia="黑体"/>
          <w:sz w:val="32"/>
          <w:szCs w:val="32"/>
        </w:rPr>
        <w:sectPr>
          <w:headerReference r:id="rId5" w:type="default"/>
          <w:headerReference r:id="rId6" w:type="even"/>
          <w:pgSz w:w="11906" w:h="16838"/>
          <w:pgMar w:top="1701" w:right="1474" w:bottom="1418" w:left="1474" w:header="1134" w:footer="992" w:gutter="0"/>
          <w:pgNumType w:fmt="upperRoman" w:start="1"/>
          <w:cols w:space="720" w:num="1"/>
          <w:docGrid w:type="lines" w:linePitch="326" w:charSpace="0"/>
        </w:sectPr>
      </w:pPr>
    </w:p>
    <w:p w14:paraId="54BC6586">
      <w:pPr>
        <w:spacing w:line="480" w:lineRule="auto"/>
        <w:ind w:firstLine="0" w:firstLineChars="0"/>
        <w:jc w:val="center"/>
        <w:rPr>
          <w:rFonts w:eastAsia="黑体"/>
          <w:sz w:val="32"/>
          <w:szCs w:val="32"/>
        </w:rPr>
      </w:pPr>
      <w:r>
        <w:rPr>
          <w:rFonts w:hAnsi="黑体" w:eastAsia="黑体"/>
          <w:sz w:val="32"/>
          <w:szCs w:val="32"/>
        </w:rPr>
        <w:t>版权声明</w:t>
      </w:r>
    </w:p>
    <w:p w14:paraId="4C9E733B">
      <w:pPr>
        <w:spacing w:line="480" w:lineRule="auto"/>
        <w:ind w:firstLine="3360" w:firstLineChars="1400"/>
      </w:pPr>
    </w:p>
    <w:p w14:paraId="4BB28C16">
      <w:pPr>
        <w:spacing w:line="480" w:lineRule="auto"/>
        <w:ind w:firstLine="480"/>
        <w:rPr>
          <w:szCs w:val="32"/>
        </w:rPr>
        <w:sectPr>
          <w:footerReference r:id="rId7" w:type="default"/>
          <w:pgSz w:w="11906" w:h="16838"/>
          <w:pgMar w:top="1701" w:right="1474" w:bottom="1418" w:left="1474" w:header="1134" w:footer="992" w:gutter="0"/>
          <w:pgNumType w:fmt="upperRoman" w:start="1"/>
          <w:cols w:space="720" w:num="1"/>
          <w:docGrid w:type="lines" w:linePitch="326" w:charSpace="0"/>
        </w:sectPr>
      </w:pPr>
      <w:r>
        <w:rPr>
          <w:szCs w:val="32"/>
        </w:rPr>
        <w:t>任何收存和保管本论文各种版本的单位和个人，未经本论文作者同意，不得将本论文转借他人，亦不得随意复制、抄录、拍照或以任何方式传播。否则，引起有碍作者著作权之问题，将可能承担法律责任。</w:t>
      </w:r>
    </w:p>
    <w:p w14:paraId="5AD91CE3">
      <w:pPr>
        <w:spacing w:line="480" w:lineRule="auto"/>
        <w:ind w:firstLine="480"/>
        <w:rPr>
          <w:szCs w:val="32"/>
        </w:rPr>
      </w:pPr>
    </w:p>
    <w:p w14:paraId="0DAF5597">
      <w:pPr>
        <w:spacing w:line="480" w:lineRule="auto"/>
        <w:ind w:firstLine="480"/>
        <w:rPr>
          <w:szCs w:val="32"/>
        </w:rPr>
      </w:pPr>
    </w:p>
    <w:p w14:paraId="38CBACBF">
      <w:pPr>
        <w:spacing w:line="480" w:lineRule="auto"/>
        <w:ind w:firstLine="480"/>
        <w:rPr>
          <w:szCs w:val="32"/>
        </w:rPr>
      </w:pPr>
    </w:p>
    <w:p w14:paraId="352C0802">
      <w:pPr>
        <w:spacing w:line="480" w:lineRule="auto"/>
        <w:ind w:firstLine="480"/>
        <w:rPr>
          <w:szCs w:val="32"/>
        </w:rPr>
      </w:pPr>
    </w:p>
    <w:p w14:paraId="7FF5DA98">
      <w:pPr>
        <w:spacing w:line="480" w:lineRule="auto"/>
        <w:ind w:firstLine="480"/>
        <w:rPr>
          <w:rFonts w:hint="eastAsia"/>
          <w:szCs w:val="32"/>
        </w:rPr>
      </w:pPr>
    </w:p>
    <w:p w14:paraId="0AA2304B">
      <w:pPr>
        <w:spacing w:line="480" w:lineRule="auto"/>
        <w:ind w:firstLine="0" w:firstLineChars="0"/>
        <w:jc w:val="center"/>
        <w:rPr>
          <w:rFonts w:hint="eastAsia"/>
          <w:szCs w:val="32"/>
        </w:rPr>
      </w:pPr>
      <w:bookmarkStart w:id="223" w:name="_GoBack"/>
      <w:bookmarkEnd w:id="223"/>
    </w:p>
    <w:p w14:paraId="13BC6F41">
      <w:pPr>
        <w:ind w:firstLine="482"/>
        <w:rPr>
          <w:b/>
          <w:color w:val="0070C0"/>
        </w:rPr>
        <w:sectPr>
          <w:type w:val="continuous"/>
          <w:pgSz w:w="11906" w:h="16838"/>
          <w:pgMar w:top="1701" w:right="1474" w:bottom="1418" w:left="1474" w:header="1134" w:footer="992" w:gutter="0"/>
          <w:pgNumType w:fmt="upperRoman" w:start="1"/>
          <w:cols w:space="720" w:num="1"/>
          <w:docGrid w:type="lines" w:linePitch="326" w:charSpace="0"/>
        </w:sectPr>
      </w:pPr>
    </w:p>
    <w:p w14:paraId="1AA13E2D">
      <w:pPr>
        <w:adjustRightInd w:val="0"/>
        <w:snapToGrid w:val="0"/>
        <w:spacing w:before="480" w:after="360" w:line="240" w:lineRule="auto"/>
        <w:ind w:firstLine="0" w:firstLineChars="0"/>
        <w:jc w:val="center"/>
        <w:rPr>
          <w:rFonts w:eastAsia="黑体"/>
          <w:kern w:val="0"/>
          <w:sz w:val="32"/>
          <w:szCs w:val="32"/>
        </w:rPr>
      </w:pPr>
      <w:r>
        <w:rPr>
          <w:rFonts w:eastAsia="黑体"/>
          <w:kern w:val="0"/>
          <w:sz w:val="32"/>
          <w:szCs w:val="32"/>
        </w:rPr>
        <w:t>摘要</w:t>
      </w:r>
    </w:p>
    <w:p w14:paraId="60CA96DB">
      <w:pPr>
        <w:ind w:firstLine="480"/>
        <w:rPr>
          <w:rFonts w:hint="eastAsia"/>
        </w:rPr>
      </w:pPr>
      <w:r>
        <w:rPr>
          <w:rFonts w:hint="eastAsia"/>
        </w:rPr>
        <w:t>DRG/DIP医保支付改革对中国非公医疗集团构成前所未有挑战，传统规模扩张模式难以为继。本研究以</w:t>
      </w:r>
      <w:r>
        <w:rPr>
          <w:rFonts w:hint="eastAsia"/>
          <w:lang w:eastAsia="zh-CN"/>
        </w:rPr>
        <w:t>A医疗集团</w:t>
      </w:r>
      <w:r>
        <w:rPr>
          <w:rFonts w:hint="eastAsia"/>
        </w:rPr>
        <w:t>为案例，构建</w:t>
      </w:r>
      <w:r>
        <w:rPr>
          <w:rFonts w:hint="eastAsia"/>
          <w:lang w:eastAsia="zh-CN"/>
        </w:rPr>
        <w:t>“</w:t>
      </w:r>
      <w:r>
        <w:rPr>
          <w:rFonts w:hint="eastAsia"/>
        </w:rPr>
        <w:t>价值创造—成本控制—激励相容</w:t>
      </w:r>
      <w:r>
        <w:rPr>
          <w:rFonts w:hint="eastAsia"/>
          <w:lang w:eastAsia="zh-CN"/>
        </w:rPr>
        <w:t>”</w:t>
      </w:r>
      <w:r>
        <w:rPr>
          <w:rFonts w:hint="eastAsia"/>
        </w:rPr>
        <w:t>三维分析框架，运用间断时间序列（ITS）分析</w:t>
      </w:r>
      <w:r>
        <w:rPr>
          <w:rStyle w:val="51"/>
          <w:rFonts w:hint="eastAsia"/>
        </w:rPr>
        <w:t>[</w:t>
      </w:r>
      <w:r>
        <w:rPr>
          <w:rStyle w:val="51"/>
          <w:rFonts w:hint="eastAsia"/>
          <w:lang w:val="en-US" w:eastAsia="zh-CN"/>
        </w:rPr>
        <w:t>9</w:t>
      </w:r>
      <w:r>
        <w:rPr>
          <w:rStyle w:val="51"/>
          <w:rFonts w:hint="eastAsia"/>
        </w:rPr>
        <w:t>]</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rPr>
        <w:t>和灰色关联度分析，基于2022年2月至2025年11月（初步结算数据）三家代表性医院4</w:t>
      </w:r>
      <w:r>
        <w:rPr>
          <w:rFonts w:hint="eastAsia"/>
          <w:lang w:val="en-US" w:eastAsia="zh-CN"/>
        </w:rPr>
        <w:t>7</w:t>
      </w:r>
      <w:r>
        <w:rPr>
          <w:rFonts w:hint="eastAsia"/>
        </w:rPr>
        <w:t>个月的运营数据，系统评估了2024年医保收紧与集团管理转型双重干预对医院财务的叠加效应。基于该框架，在H1开展管理转型试点，形成可复制的优化工具包（集采执行强化、临床路径标准化、DRG编码优化、绩效激励重构），实现全年节约成本4200万元，并在集团</w:t>
      </w:r>
      <w:r>
        <w:rPr>
          <w:rFonts w:hint="eastAsia"/>
          <w:lang w:val="en-US" w:eastAsia="zh-CN"/>
        </w:rPr>
        <w:t>十余家</w:t>
      </w:r>
      <w:r>
        <w:rPr>
          <w:rFonts w:hint="eastAsia"/>
        </w:rPr>
        <w:t>医院推广验证。本文重点分析H1（积极响应型）和H3（滞后响应型）的对比。</w:t>
      </w:r>
    </w:p>
    <w:p w14:paraId="0A3D6A56">
      <w:pPr>
        <w:ind w:firstLine="480"/>
        <w:rPr>
          <w:rFonts w:hint="eastAsia"/>
        </w:rPr>
      </w:pPr>
      <w:r>
        <w:rPr>
          <w:rFonts w:hint="eastAsia"/>
        </w:rPr>
        <w:t>研究获得三项核心发现</w:t>
      </w:r>
      <w:r>
        <w:rPr>
          <w:rFonts w:hint="eastAsia"/>
          <w:lang w:eastAsia="zh-CN"/>
        </w:rPr>
        <w:t>。</w:t>
      </w:r>
      <w:r>
        <w:rPr>
          <w:rFonts w:hint="eastAsia"/>
        </w:rPr>
        <w:t>第一，本研究发现</w:t>
      </w:r>
      <w:r>
        <w:rPr>
          <w:rFonts w:hint="eastAsia"/>
          <w:lang w:eastAsia="zh-CN"/>
        </w:rPr>
        <w:t>“</w:t>
      </w:r>
      <w:r>
        <w:rPr>
          <w:rFonts w:hint="eastAsia"/>
        </w:rPr>
        <w:t>CMI陷阱</w:t>
      </w:r>
      <w:r>
        <w:rPr>
          <w:rFonts w:hint="eastAsia"/>
          <w:lang w:eastAsia="zh-CN"/>
        </w:rPr>
        <w:t>”</w:t>
      </w:r>
      <w:r>
        <w:rPr>
          <w:rFonts w:hint="eastAsia"/>
        </w:rPr>
        <w:t>具有阶段性特征，高CMI医院（H3，CMI=1.31）因成本边际增长（15%-25%）超过DRG溢价（8%-10%）导致盈余率最低（-12%），但通过针对性成本控制（高值耗材集采降价幅度25%-60%、平均约35%，临床路径覆盖率提升至75%、DRG编码准确率提升至89%）可实现动态突破，H3月度盈余率从约-25%（2024年中最低谷）改善至约-12%（2024年末）；第二，管理响应速度决定损失规模，积极响应型医院（H1）</w:t>
      </w:r>
      <w:r>
        <w:rPr>
          <w:rFonts w:hint="eastAsia"/>
          <w:lang w:eastAsia="zh-CN"/>
        </w:rPr>
        <w:t>在2024</w:t>
      </w:r>
      <w:r>
        <w:rPr>
          <w:rFonts w:hint="eastAsia"/>
        </w:rPr>
        <w:t>年1月立即启动试点并在3-6个月见效，全</w:t>
      </w:r>
      <w:r>
        <w:rPr>
          <w:rFonts w:hint="eastAsia"/>
          <w:lang w:eastAsia="zh-CN"/>
        </w:rPr>
        <w:t>年减</w:t>
      </w:r>
      <w:r>
        <w:rPr>
          <w:rFonts w:hint="eastAsia"/>
        </w:rPr>
        <w:t>少损失约3000万元</w:t>
      </w:r>
      <w:r>
        <w:rPr>
          <w:rFonts w:hint="eastAsia"/>
          <w:lang w:eastAsia="zh-CN"/>
        </w:rPr>
        <w:t>；</w:t>
      </w:r>
      <w:r>
        <w:rPr>
          <w:rFonts w:hint="eastAsia"/>
        </w:rPr>
        <w:t>滞后响应型医院（H3）虽后期改善显著（</w:t>
      </w:r>
      <m:oMath>
        <m:r>
          <m:rPr/>
          <w:rPr>
            <w:rFonts w:hint="default" w:ascii="Cambria Math" w:hAnsi="Cambria Math"/>
            <w:sz w:val="24"/>
          </w:rPr>
          <m:t>β</m:t>
        </m:r>
        <m:r>
          <m:rPr>
            <m:sty m:val="p"/>
          </m:rPr>
          <w:rPr>
            <w:rFonts w:hint="default" w:ascii="Cambria Math" w:hAnsi="Cambria Math"/>
            <w:sz w:val="24"/>
          </w:rPr>
          <m:t>₃</m:t>
        </m:r>
        <m:r>
          <m:rPr/>
          <w:rPr>
            <w:rFonts w:hint="default" w:ascii="Cambria Math" w:hAnsi="Cambria Math"/>
            <w:sz w:val="24"/>
          </w:rPr>
          <m:t>=+0.69%/</m:t>
        </m:r>
        <m:r>
          <m:rPr>
            <m:sty m:val="p"/>
          </m:rPr>
          <w:rPr>
            <w:rFonts w:hint="default" w:ascii="Cambria Math" w:hAnsi="Cambria Math"/>
            <w:sz w:val="24"/>
          </w:rPr>
          <m:t>月，</m:t>
        </m:r>
        <m:r>
          <m:rPr/>
          <w:rPr>
            <w:rFonts w:hint="default" w:ascii="Cambria Math" w:hAnsi="Cambria Math"/>
            <w:sz w:val="24"/>
          </w:rPr>
          <m:t>p=0.032</m:t>
        </m:r>
      </m:oMath>
      <w:r>
        <w:rPr>
          <w:rFonts w:hint="eastAsia"/>
        </w:rPr>
        <w:t>）</w:t>
      </w:r>
      <w:r>
        <w:rPr>
          <w:rFonts w:hint="eastAsia"/>
          <w:lang w:eastAsia="zh-CN"/>
        </w:rPr>
        <w:t>，但</w:t>
      </w:r>
      <w:r>
        <w:rPr>
          <w:rFonts w:hint="eastAsia"/>
        </w:rPr>
        <w:t>因滞后6个月承受额外损失；第三，供应链</w:t>
      </w:r>
      <w:r>
        <w:rPr>
          <w:rFonts w:hint="eastAsia"/>
          <w:lang w:eastAsia="zh-CN"/>
        </w:rPr>
        <w:t>集中管理协同收益</w:t>
      </w:r>
      <w:r>
        <w:rPr>
          <w:rFonts w:hint="eastAsia"/>
        </w:rPr>
        <w:t>与集团净利润关联度最高（</w:t>
      </w:r>
      <m:oMath>
        <m:r>
          <m:rPr/>
          <w:rPr>
            <w:rFonts w:hint="default" w:ascii="Cambria Math"/>
          </w:rPr>
          <m:t>γ=0.</m:t>
        </m:r>
        <m:r>
          <m:rPr/>
          <w:rPr>
            <w:rFonts w:hint="default" w:ascii="Cambria Math"/>
            <w:lang w:val="en-US" w:eastAsia="zh-CN"/>
          </w:rPr>
          <m:t>692</m:t>
        </m:r>
      </m:oMath>
      <w:r>
        <w:rPr>
          <w:rFonts w:hint="eastAsia"/>
        </w:rPr>
        <w:t>），但</w:t>
      </w:r>
      <w:r>
        <w:rPr>
          <w:rFonts w:hint="eastAsia"/>
          <w:lang w:val="en-US" w:eastAsia="zh-CN"/>
        </w:rPr>
        <w:t>集中管理协同收益</w:t>
      </w:r>
      <w:r>
        <w:rPr>
          <w:rFonts w:hint="eastAsia"/>
        </w:rPr>
        <w:t>侵蚀</w:t>
      </w:r>
      <w:r>
        <w:rPr>
          <w:rFonts w:hint="eastAsia"/>
          <w:lang w:val="en-US" w:eastAsia="zh-CN"/>
        </w:rPr>
        <w:t>医院</w:t>
      </w:r>
      <w:r>
        <w:rPr>
          <w:rFonts w:hint="eastAsia"/>
        </w:rPr>
        <w:t>利益，需通过阶梯化返还机制（如将节约成本的30%返还科室）实现利益再平衡</w:t>
      </w:r>
      <w:r>
        <w:rPr>
          <w:rStyle w:val="51"/>
          <w:rFonts w:hint="eastAsia"/>
        </w:rPr>
        <w:t>[4]</w:t>
      </w:r>
      <w:r>
        <w:rPr>
          <w:rStyle w:val="51"/>
          <w:rFonts w:hint="eastAsia"/>
          <w:lang w:val="en-US" w:eastAsia="zh-CN"/>
        </w:rPr>
        <w:t>[3]</w:t>
      </w:r>
      <w:r>
        <w:rPr>
          <w:rFonts w:hint="eastAsia"/>
        </w:rPr>
        <w:t>。本研究为医疗集团应对支付改革提供了管理转型时间表（1-3月措施落地、4-6月</w:t>
      </w:r>
      <w:r>
        <w:rPr>
          <w:rFonts w:hint="eastAsia"/>
          <w:lang w:val="en-US" w:eastAsia="zh-CN"/>
        </w:rPr>
        <w:t>初</w:t>
      </w:r>
      <w:r>
        <w:rPr>
          <w:rFonts w:hint="eastAsia"/>
        </w:rPr>
        <w:t>步见效、7-12月效果显现）和经实践验证的优化策略，对非公医疗行业从规模扩张向价值运营转型</w:t>
      </w:r>
      <w:r>
        <w:rPr>
          <w:rFonts w:hint="eastAsia"/>
          <w:lang w:eastAsia="zh-CN"/>
        </w:rPr>
        <w:t>有着</w:t>
      </w:r>
      <w:r>
        <w:rPr>
          <w:rFonts w:hint="eastAsia"/>
        </w:rPr>
        <w:t>重要启示意义。</w:t>
      </w:r>
    </w:p>
    <w:p w14:paraId="2AACF889">
      <w:pPr>
        <w:ind w:firstLine="480"/>
      </w:pPr>
      <w:r>
        <w:rPr>
          <w:rFonts w:ascii="宋体" w:hAnsi="宋体"/>
          <w:b/>
          <w:sz w:val="24"/>
        </w:rPr>
        <w:t>关键词：DRG/DIP支付改革，医疗收入质量，CMI陷阱，三维分析框架，激励相容</w:t>
      </w:r>
    </w:p>
    <w:p w14:paraId="214A758B">
      <w:pPr>
        <w:snapToGrid w:val="0"/>
        <w:ind w:firstLine="480"/>
      </w:pPr>
    </w:p>
    <w:p w14:paraId="6D3E50EF">
      <w:pPr>
        <w:snapToGrid w:val="0"/>
        <w:ind w:firstLine="480"/>
      </w:pPr>
    </w:p>
    <w:p w14:paraId="6408653E">
      <w:pPr>
        <w:snapToGrid w:val="0"/>
        <w:ind w:firstLine="480"/>
      </w:pPr>
    </w:p>
    <w:p w14:paraId="7BD274BE">
      <w:pPr>
        <w:snapToGrid w:val="0"/>
        <w:ind w:firstLine="480"/>
      </w:pPr>
    </w:p>
    <w:p w14:paraId="74848CE4">
      <w:pPr>
        <w:adjustRightInd w:val="0"/>
        <w:snapToGrid w:val="0"/>
        <w:spacing w:before="480" w:after="360" w:line="240" w:lineRule="auto"/>
        <w:ind w:firstLine="0" w:firstLineChars="0"/>
        <w:jc w:val="center"/>
        <w:textAlignment w:val="auto"/>
        <w:rPr>
          <w:rFonts w:hint="eastAsia" w:ascii="Arial" w:hAnsi="Arial" w:eastAsia="宋体" w:cs="Arial"/>
          <w:color w:val="auto"/>
          <w:sz w:val="32"/>
          <w:szCs w:val="32"/>
          <w:lang w:val="en-US" w:eastAsia="zh-CN"/>
        </w:rPr>
      </w:pPr>
      <w:r>
        <w:rPr>
          <w:rFonts w:hint="eastAsia" w:ascii="Arial" w:hAnsi="Arial" w:cs="Arial"/>
          <w:color w:val="auto"/>
          <w:sz w:val="32"/>
          <w:szCs w:val="32"/>
          <w:lang w:val="en-US" w:eastAsia="zh-CN"/>
        </w:rPr>
        <w:t>Research on the Optimization of Medical Revenue Quality in Hospital Groups under the Medical Insurance Payment System Reform: A Case Study of A Health Group</w:t>
      </w:r>
    </w:p>
    <w:p w14:paraId="0635E135">
      <w:pPr>
        <w:pStyle w:val="69"/>
        <w:adjustRightInd w:val="0"/>
        <w:snapToGrid w:val="0"/>
        <w:spacing w:line="400" w:lineRule="exact"/>
        <w:rPr>
          <w:rFonts w:eastAsia="宋体" w:cs="Times New Roman"/>
          <w:szCs w:val="24"/>
        </w:rPr>
      </w:pPr>
      <w:r>
        <w:rPr>
          <w:rFonts w:hint="eastAsia" w:eastAsia="宋体" w:cs="Times New Roman"/>
          <w:szCs w:val="24"/>
          <w:lang w:val="en-US" w:eastAsia="zh-CN"/>
        </w:rPr>
        <w:t xml:space="preserve">Zhu </w:t>
      </w:r>
      <w:r>
        <w:rPr>
          <w:rFonts w:hint="eastAsia" w:cs="Times New Roman"/>
          <w:szCs w:val="24"/>
          <w:lang w:val="en-US" w:eastAsia="zh-CN"/>
        </w:rPr>
        <w:t>Tia</w:t>
      </w:r>
      <w:r>
        <w:rPr>
          <w:rFonts w:hint="eastAsia" w:eastAsia="宋体" w:cs="Times New Roman"/>
          <w:szCs w:val="24"/>
          <w:lang w:val="en-US" w:eastAsia="zh-CN"/>
        </w:rPr>
        <w:t>n</w:t>
      </w:r>
      <w:r>
        <w:rPr>
          <w:rFonts w:hint="eastAsia" w:eastAsia="宋体" w:cs="Times New Roman"/>
          <w:szCs w:val="24"/>
        </w:rPr>
        <w:t xml:space="preserve"> </w:t>
      </w:r>
      <w:r>
        <w:rPr>
          <w:rFonts w:eastAsia="宋体" w:cs="Times New Roman"/>
          <w:szCs w:val="24"/>
        </w:rPr>
        <w:t xml:space="preserve">(EMBA) </w:t>
      </w:r>
    </w:p>
    <w:p w14:paraId="006A50D6">
      <w:pPr>
        <w:pStyle w:val="69"/>
        <w:adjustRightInd w:val="0"/>
        <w:snapToGrid w:val="0"/>
        <w:spacing w:line="400" w:lineRule="exact"/>
        <w:rPr>
          <w:rFonts w:hint="default" w:eastAsia="宋体" w:cs="Times New Roman"/>
          <w:szCs w:val="24"/>
          <w:lang w:val="en-US" w:eastAsia="zh-CN"/>
        </w:rPr>
      </w:pPr>
      <w:r>
        <w:rPr>
          <w:rFonts w:eastAsia="宋体" w:cs="Times New Roman"/>
          <w:szCs w:val="24"/>
        </w:rPr>
        <w:t xml:space="preserve">Directed by Prof. </w:t>
      </w:r>
      <w:r>
        <w:rPr>
          <w:rFonts w:hint="eastAsia" w:eastAsia="宋体" w:cs="Times New Roman"/>
          <w:szCs w:val="24"/>
          <w:lang w:val="en-US" w:eastAsia="zh-CN"/>
        </w:rPr>
        <w:t>Yan Se</w:t>
      </w:r>
    </w:p>
    <w:p w14:paraId="436D1A95">
      <w:pPr>
        <w:adjustRightInd w:val="0"/>
        <w:snapToGrid w:val="0"/>
        <w:spacing w:before="480" w:after="360" w:line="240" w:lineRule="auto"/>
        <w:ind w:firstLine="0" w:firstLineChars="0"/>
        <w:jc w:val="center"/>
        <w:rPr>
          <w:rFonts w:eastAsia="黑体"/>
          <w:kern w:val="0"/>
          <w:sz w:val="32"/>
          <w:szCs w:val="32"/>
        </w:rPr>
      </w:pPr>
      <w:bookmarkStart w:id="2" w:name="_Toc414886954"/>
      <w:bookmarkStart w:id="3" w:name="_Toc387132156"/>
      <w:r>
        <w:rPr>
          <w:rFonts w:eastAsia="黑体"/>
          <w:kern w:val="0"/>
          <w:sz w:val="32"/>
          <w:szCs w:val="32"/>
        </w:rPr>
        <w:t>ABSTRACT</w:t>
      </w:r>
      <w:bookmarkEnd w:id="2"/>
      <w:bookmarkEnd w:id="3"/>
    </w:p>
    <w:p w14:paraId="7A9C4E7D">
      <w:pPr>
        <w:spacing w:before="0" w:after="0" w:line="400" w:lineRule="exact"/>
        <w:ind w:firstLine="480"/>
        <w:jc w:val="both"/>
        <w:rPr>
          <w:rFonts w:hint="eastAsia"/>
        </w:rPr>
      </w:pPr>
      <w:r>
        <w:rPr>
          <w:rFonts w:hint="eastAsia"/>
        </w:rPr>
        <w:t>The DRG/DIP-based payment reform in China presents unprecedented challenges to non-public healthcare groups, rendering the traditional scale-driven expansion model unsustainable. This study establishes a three-dimensional analytical framework of "Value Creation—Cost Control—Incentive Compatibility." Utilizing Interrupted Time Series (ITS) analysis</w:t>
      </w:r>
      <w:r>
        <w:rPr>
          <w:rStyle w:val="51"/>
          <w:rFonts w:hint="eastAsia"/>
        </w:rPr>
        <w:t>[9][18</w:t>
      </w:r>
      <w:r>
        <w:rPr>
          <w:rStyle w:val="51"/>
          <w:rFonts w:hint="eastAsia"/>
          <w:lang w:eastAsia="zh-CN"/>
        </w:rPr>
        <w:t>] and</w:t>
      </w:r>
      <w:r>
        <w:rPr>
          <w:rFonts w:hint="eastAsia"/>
        </w:rPr>
        <w:t xml:space="preserve"> Grey Relational Analysis, the research evaluates 47 months of operational data (February 2022 to November 2025, provisional reimbursement) from three representative hospitals within Group A. It systematically assesses the combined impact of dual interventions—tightened health insurance policies and corporate management transformation in 2024—on hospital financial performance. Within this framework, a pilot management transformation was initiated at Hospital H1, yielding a transferable intervention package encompassing strengthened centralized procurement, standardized clinical pathways, DRG coding optimization, and restructured performance incentives. This pilot achieved annual cost savings of RMB 42 million and was subsequently validated across over ten hospitals within the group. A comparative analysis was conducted between H1 (proactive responder) and H3 (lagging responder).</w:t>
      </w:r>
    </w:p>
    <w:p w14:paraId="4DFF9FB4">
      <w:pPr>
        <w:spacing w:before="0" w:after="0" w:line="400" w:lineRule="exact"/>
        <w:ind w:firstLine="480"/>
        <w:jc w:val="both"/>
        <w:rPr>
          <w:rFonts w:hint="eastAsia"/>
        </w:rPr>
      </w:pPr>
      <w:r>
        <w:rPr>
          <w:rFonts w:hint="eastAsia"/>
        </w:rPr>
        <w:t>Three core findings were identified:</w:t>
      </w:r>
    </w:p>
    <w:p w14:paraId="16BB7CBC">
      <w:pPr>
        <w:spacing w:before="0" w:after="0" w:line="400" w:lineRule="exact"/>
        <w:ind w:firstLine="480"/>
        <w:jc w:val="both"/>
        <w:rPr>
          <w:rFonts w:hint="eastAsia"/>
        </w:rPr>
      </w:pPr>
      <w:r>
        <w:rPr>
          <w:rFonts w:hint="eastAsia"/>
        </w:rPr>
        <w:t xml:space="preserve">First, the "CMI Trap" exhibits distinct stage-specific characteristics. High-CMI hospitals (H3, CMI=1.31) recorded the lowest surplus rate (-12%) as marginal cost growth (15%–25%) outpaced DRG premiums (8%–10%). However, dynamic improvements were achieved through targeted cost controls: centralized procurement reduced high-value consumable prices by 25%–60% (average 35%), clinical pathway coverage reached 75%, and DRG coding accuracy improved to 89%. Consequently, </w:t>
      </w:r>
      <w:r>
        <w:rPr>
          <w:rFonts w:hint="eastAsia"/>
          <w:lang w:eastAsia="zh-CN"/>
        </w:rPr>
        <w:t>H3's</w:t>
      </w:r>
      <w:r>
        <w:rPr>
          <w:rFonts w:hint="eastAsia"/>
        </w:rPr>
        <w:t xml:space="preserve"> monthly surplus rate recovered from a trough of -25% (mid-2024) to approximately -12% by year-end.</w:t>
      </w:r>
    </w:p>
    <w:p w14:paraId="28AB6C78">
      <w:pPr>
        <w:spacing w:before="0" w:after="0" w:line="400" w:lineRule="exact"/>
        <w:ind w:firstLine="480"/>
        <w:jc w:val="both"/>
        <w:rPr>
          <w:rFonts w:hint="eastAsia" w:eastAsia="宋体"/>
          <w:lang w:val="en-US" w:eastAsia="zh-CN"/>
        </w:rPr>
      </w:pPr>
      <w:r>
        <w:rPr>
          <w:rFonts w:hint="eastAsia"/>
        </w:rPr>
        <w:t>Second, management response speed dictates the magnitude of financial loss. H1, as a proactive responder, initiated its pilot in January 2024 with results manifesting within 3–6 months, thereby avoiding an estimated RMB 30 million in otherwise incurred losses. Conversely, H3, the lagging responder, incurred substantial additional losses due to a six-month delay, despite significant later improvements (</w:t>
      </w:r>
      <m:oMath>
        <m:r>
          <m:rPr/>
          <w:rPr>
            <w:rFonts w:hint="default" w:ascii="Cambria Math" w:hAnsi="Cambria Math"/>
            <w:sz w:val="24"/>
          </w:rPr>
          <m:t>β</m:t>
        </m:r>
        <m:r>
          <m:rPr>
            <m:sty m:val="p"/>
          </m:rPr>
          <w:rPr>
            <w:rFonts w:hint="default" w:ascii="Cambria Math" w:hAnsi="Cambria Math"/>
            <w:sz w:val="24"/>
          </w:rPr>
          <m:t>₃</m:t>
        </m:r>
        <m:r>
          <m:rPr/>
          <w:rPr>
            <w:rFonts w:hint="default" w:ascii="Cambria Math" w:hAnsi="Cambria Math"/>
            <w:sz w:val="24"/>
          </w:rPr>
          <m:t>=+0.69%/</m:t>
        </m:r>
        <m:r>
          <m:rPr/>
          <w:rPr>
            <w:rFonts w:hint="default" w:ascii="Cambria Math" w:hAnsi="Cambria Math"/>
            <w:sz w:val="24"/>
            <w:lang w:val="en-US" w:eastAsia="zh-CN"/>
          </w:rPr>
          <m:t>month,</m:t>
        </m:r>
        <m:r>
          <m:rPr/>
          <w:rPr>
            <w:rFonts w:hint="default" w:ascii="Cambria Math" w:hAnsi="Cambria Math"/>
            <w:sz w:val="24"/>
          </w:rPr>
          <m:t>p=0.032</m:t>
        </m:r>
      </m:oMath>
      <w:r>
        <w:rPr>
          <w:rFonts w:hint="eastAsia"/>
        </w:rPr>
        <w:t>)</w:t>
      </w:r>
      <w:r>
        <w:rPr>
          <w:rFonts w:hint="eastAsia"/>
          <w:lang w:val="en-US" w:eastAsia="zh-CN"/>
        </w:rPr>
        <w:t>.</w:t>
      </w:r>
    </w:p>
    <w:p w14:paraId="143686D8">
      <w:pPr>
        <w:spacing w:before="0" w:after="0" w:line="400" w:lineRule="exact"/>
        <w:ind w:firstLine="480"/>
        <w:jc w:val="both"/>
        <w:rPr>
          <w:rFonts w:hint="eastAsia"/>
        </w:rPr>
      </w:pPr>
      <w:r>
        <w:rPr>
          <w:rFonts w:hint="eastAsia"/>
        </w:rPr>
        <w:t>Third, while gains from centralized supply chain management show the highest correlation with group net profit (</w:t>
      </w:r>
      <m:oMath>
        <m:r>
          <m:rPr/>
          <w:rPr>
            <w:rFonts w:hint="default" w:ascii="Cambria Math"/>
          </w:rPr>
          <m:t>γ=0.</m:t>
        </m:r>
        <m:r>
          <m:rPr/>
          <w:rPr>
            <w:rFonts w:hint="default" w:ascii="Cambria Math"/>
            <w:lang w:val="en-US" w:eastAsia="zh-CN"/>
          </w:rPr>
          <m:t>692</m:t>
        </m:r>
      </m:oMath>
      <w:r>
        <w:rPr>
          <w:rFonts w:hint="eastAsia"/>
        </w:rPr>
        <w:t>), such gains often erode hospital-level interests. To achieve incentive alignment, a tiered profit-sharing mechanism (e.g., allocating 30% of cost savings to clinical departments) is essential</w:t>
      </w:r>
      <w:r>
        <w:rPr>
          <w:rStyle w:val="51"/>
          <w:rFonts w:hint="eastAsia"/>
        </w:rPr>
        <w:t xml:space="preserve"> [4][3]</w:t>
      </w:r>
      <w:r>
        <w:rPr>
          <w:rFonts w:hint="eastAsia"/>
        </w:rPr>
        <w:t>.</w:t>
      </w:r>
    </w:p>
    <w:p w14:paraId="48DAD590">
      <w:pPr>
        <w:spacing w:before="0" w:after="0" w:line="400" w:lineRule="exact"/>
        <w:ind w:firstLine="480"/>
        <w:jc w:val="both"/>
        <w:rPr>
          <w:rFonts w:hint="eastAsia"/>
        </w:rPr>
      </w:pPr>
      <w:r>
        <w:rPr>
          <w:rFonts w:hint="eastAsia"/>
        </w:rPr>
        <w:t xml:space="preserve">This study provides a validated management transformation roadmap—prescribing implementation in months 1–3, initial results in months 4–6, and significant outcomes in months 7–12—offering critical insights for the non-public healthcare </w:t>
      </w:r>
      <w:r>
        <w:rPr>
          <w:rFonts w:hint="eastAsia"/>
          <w:lang w:eastAsia="zh-CN"/>
        </w:rPr>
        <w:t>sector's</w:t>
      </w:r>
      <w:r>
        <w:rPr>
          <w:rFonts w:hint="eastAsia"/>
        </w:rPr>
        <w:t xml:space="preserve"> transition from scale expansion to value-based operations.</w:t>
      </w:r>
    </w:p>
    <w:p w14:paraId="126D841D">
      <w:pPr>
        <w:spacing w:before="0" w:after="0" w:line="400" w:lineRule="exact"/>
        <w:ind w:firstLine="480"/>
        <w:jc w:val="both"/>
        <w:sectPr>
          <w:headerReference r:id="rId8" w:type="default"/>
          <w:footerReference r:id="rId10" w:type="default"/>
          <w:headerReference r:id="rId9" w:type="even"/>
          <w:footerReference r:id="rId11" w:type="even"/>
          <w:type w:val="evenPage"/>
          <w:pgSz w:w="11906" w:h="16838"/>
          <w:pgMar w:top="1701" w:right="1474" w:bottom="1418" w:left="1474" w:header="1134" w:footer="992" w:gutter="0"/>
          <w:pgNumType w:fmt="upperRoman" w:start="1"/>
          <w:cols w:space="720" w:num="1"/>
          <w:docGrid w:type="lines" w:linePitch="326" w:charSpace="0"/>
        </w:sectPr>
      </w:pPr>
      <w:r>
        <w:t>KEY WORDS:  DRG/DIP Payment Reform, Medical Revenue Quality, CMI Trap, Three-Dimensional Analytical Framework, Incentive Compatibility</w:t>
      </w:r>
    </w:p>
    <w:p w14:paraId="6085FF28">
      <w:pPr>
        <w:spacing w:before="0" w:after="0" w:line="400" w:lineRule="exact"/>
        <w:ind w:firstLine="480"/>
        <w:jc w:val="both"/>
        <w:sectPr>
          <w:type w:val="continuous"/>
          <w:pgSz w:w="11906" w:h="16838"/>
          <w:pgMar w:top="1701" w:right="1474" w:bottom="1418" w:left="1474" w:header="1134" w:footer="992" w:gutter="0"/>
          <w:pgNumType w:fmt="upperRoman" w:start="1"/>
          <w:cols w:space="720" w:num="1"/>
          <w:docGrid w:type="lines" w:linePitch="326" w:charSpace="0"/>
        </w:sectPr>
      </w:pPr>
    </w:p>
    <w:p w14:paraId="46DC8C38">
      <w:pPr>
        <w:spacing w:before="0" w:after="0" w:line="400" w:lineRule="exact"/>
        <w:ind w:firstLine="480"/>
        <w:jc w:val="both"/>
      </w:pPr>
    </w:p>
    <w:p w14:paraId="3B0D94A0">
      <w:pPr>
        <w:adjustRightInd w:val="0"/>
        <w:snapToGrid w:val="0"/>
        <w:spacing w:line="400" w:lineRule="exact"/>
        <w:ind w:firstLine="480"/>
        <w:rPr>
          <w:color w:val="FF0000"/>
        </w:rPr>
      </w:pPr>
    </w:p>
    <w:p w14:paraId="5EB7F99C">
      <w:pPr>
        <w:pStyle w:val="59"/>
        <w:snapToGrid w:val="0"/>
        <w:spacing w:before="163" w:after="0" w:afterLines="0" w:line="360" w:lineRule="auto"/>
      </w:pPr>
    </w:p>
    <w:p w14:paraId="6090E400">
      <w:pPr>
        <w:snapToGrid w:val="0"/>
        <w:ind w:firstLine="472" w:firstLineChars="196"/>
        <w:jc w:val="left"/>
        <w:rPr>
          <w:b/>
          <w:color w:val="0070C0"/>
        </w:rPr>
      </w:pPr>
    </w:p>
    <w:p w14:paraId="75614875">
      <w:pPr>
        <w:pStyle w:val="59"/>
        <w:spacing w:before="163" w:after="163"/>
        <w:sectPr>
          <w:type w:val="continuous"/>
          <w:pgSz w:w="11906" w:h="16838"/>
          <w:pgMar w:top="1701" w:right="1474" w:bottom="1418" w:left="1474" w:header="1134" w:footer="992" w:gutter="0"/>
          <w:pgNumType w:fmt="upperRoman" w:start="1"/>
          <w:cols w:space="720" w:num="1"/>
          <w:docGrid w:type="lines" w:linePitch="326" w:charSpace="0"/>
        </w:sectPr>
      </w:pPr>
    </w:p>
    <w:p w14:paraId="01B3631D">
      <w:pPr>
        <w:adjustRightInd w:val="0"/>
        <w:snapToGrid w:val="0"/>
        <w:spacing w:before="480" w:after="360" w:afterLines="50" w:line="240" w:lineRule="auto"/>
        <w:ind w:firstLine="0" w:firstLineChars="0"/>
        <w:jc w:val="center"/>
        <w:rPr>
          <w:rFonts w:ascii="Times New Roman" w:hAnsi="Times New Roman" w:eastAsia="黑体" w:cs="Times New Roman"/>
          <w:b/>
          <w:kern w:val="0"/>
          <w:sz w:val="32"/>
          <w:szCs w:val="32"/>
          <w:lang w:val="en-US" w:eastAsia="zh-CN" w:bidi="ar-SA"/>
        </w:rPr>
      </w:pPr>
      <w:bookmarkStart w:id="4" w:name="_Toc323806628"/>
      <w:bookmarkStart w:id="5" w:name="_Toc381949810"/>
      <w:r>
        <w:rPr>
          <w:rFonts w:eastAsia="黑体"/>
          <w:kern w:val="0"/>
          <w:sz w:val="32"/>
          <w:szCs w:val="32"/>
        </w:rPr>
        <w:t>目录</w:t>
      </w:r>
      <w:bookmarkEnd w:id="4"/>
      <w:bookmarkEnd w:id="5"/>
      <w:r>
        <w:rPr>
          <w:rFonts w:eastAsia="黑体"/>
          <w:kern w:val="0"/>
          <w:sz w:val="32"/>
          <w:szCs w:val="32"/>
        </w:rPr>
        <w:fldChar w:fldCharType="begin"/>
      </w:r>
      <w:r>
        <w:rPr>
          <w:rFonts w:eastAsia="黑体"/>
          <w:kern w:val="0"/>
          <w:sz w:val="32"/>
          <w:szCs w:val="32"/>
        </w:rPr>
        <w:instrText xml:space="preserve"> TOC \o "1-3" \h \z \u </w:instrText>
      </w:r>
      <w:r>
        <w:rPr>
          <w:rFonts w:eastAsia="黑体"/>
          <w:kern w:val="0"/>
          <w:sz w:val="32"/>
          <w:szCs w:val="32"/>
        </w:rPr>
        <w:fldChar w:fldCharType="separate"/>
      </w:r>
    </w:p>
    <w:p w14:paraId="0DE9085C">
      <w:pPr>
        <w:pStyle w:val="22"/>
        <w:tabs>
          <w:tab w:val="right" w:leader="dot" w:pos="8958"/>
        </w:tabs>
      </w:pPr>
      <w:r>
        <w:rPr>
          <w:rFonts w:eastAsia="黑体"/>
          <w:kern w:val="0"/>
          <w:szCs w:val="32"/>
        </w:rPr>
        <w:fldChar w:fldCharType="begin"/>
      </w:r>
      <w:r>
        <w:rPr>
          <w:rFonts w:eastAsia="黑体"/>
          <w:kern w:val="0"/>
          <w:szCs w:val="32"/>
        </w:rPr>
        <w:instrText xml:space="preserve"> HYPERLINK \l _Toc22690 </w:instrText>
      </w:r>
      <w:r>
        <w:rPr>
          <w:rFonts w:eastAsia="黑体"/>
          <w:kern w:val="0"/>
          <w:szCs w:val="32"/>
        </w:rPr>
        <w:fldChar w:fldCharType="separate"/>
      </w:r>
      <w:r>
        <w:rPr>
          <w:rFonts w:hint="eastAsia"/>
          <w:szCs w:val="32"/>
        </w:rPr>
        <w:t>第一章 绪论</w:t>
      </w:r>
      <w:r>
        <w:tab/>
      </w:r>
      <w:r>
        <w:fldChar w:fldCharType="begin"/>
      </w:r>
      <w:r>
        <w:instrText xml:space="preserve"> PAGEREF _Toc22690 \h </w:instrText>
      </w:r>
      <w:r>
        <w:fldChar w:fldCharType="separate"/>
      </w:r>
      <w:r>
        <w:t>11</w:t>
      </w:r>
      <w:r>
        <w:fldChar w:fldCharType="end"/>
      </w:r>
      <w:r>
        <w:rPr>
          <w:rFonts w:eastAsia="黑体"/>
          <w:kern w:val="0"/>
          <w:szCs w:val="32"/>
        </w:rPr>
        <w:fldChar w:fldCharType="end"/>
      </w:r>
    </w:p>
    <w:p w14:paraId="143CEA9C">
      <w:pPr>
        <w:pStyle w:val="27"/>
        <w:tabs>
          <w:tab w:val="right" w:leader="dot" w:pos="8958"/>
        </w:tabs>
      </w:pPr>
      <w:r>
        <w:t>1.1 研究背景：从“战略调整转型神话”到“增收不增利”的战略困局</w:t>
      </w:r>
      <w:r>
        <w:tab/>
      </w:r>
      <w:r>
        <w:t>11</w:t>
      </w:r>
    </w:p>
    <w:p w14:paraId="3E10559D">
      <w:pPr>
        <w:pStyle w:val="15"/>
        <w:tabs>
          <w:tab w:val="right" w:leader="dot" w:pos="8958"/>
          <w:tab w:val="clear" w:pos="8493"/>
        </w:tabs>
      </w:pPr>
      <w:r>
        <w:t>1.1.1 A医疗集团的发展与转型</w:t>
      </w:r>
      <w:r>
        <w:tab/>
      </w:r>
      <w:r>
        <w:t>11</w:t>
      </w:r>
    </w:p>
    <w:p w14:paraId="5364F5BF">
      <w:pPr>
        <w:pStyle w:val="15"/>
        <w:tabs>
          <w:tab w:val="right" w:leader="dot" w:pos="8958"/>
          <w:tab w:val="clear" w:pos="8493"/>
        </w:tabs>
      </w:pPr>
      <w:r>
        <w:t>1.1.2 “增收不增利”的深层矛盾</w:t>
      </w:r>
      <w:r>
        <w:tab/>
      </w:r>
      <w:r>
        <w:t>11</w:t>
      </w:r>
    </w:p>
    <w:p w14:paraId="7FD7445B">
      <w:pPr>
        <w:pStyle w:val="15"/>
        <w:tabs>
          <w:tab w:val="right" w:leader="dot" w:pos="8958"/>
          <w:tab w:val="clear" w:pos="8493"/>
        </w:tabs>
      </w:pPr>
      <w:r>
        <w:t>1.1.3 DRG/DIP改革与管理转型：双重转折点</w:t>
      </w:r>
      <w:r>
        <w:tab/>
      </w:r>
      <w:r>
        <w:t>12</w:t>
      </w:r>
    </w:p>
    <w:p w14:paraId="20E8B148">
      <w:pPr>
        <w:pStyle w:val="27"/>
        <w:tabs>
          <w:tab w:val="right" w:leader="dot" w:pos="8958"/>
        </w:tabs>
      </w:pPr>
      <w:r>
        <w:t>1.2 研究问题与意义</w:t>
      </w:r>
      <w:r>
        <w:tab/>
      </w:r>
      <w:r>
        <w:t>13</w:t>
      </w:r>
    </w:p>
    <w:p w14:paraId="480DE52C">
      <w:pPr>
        <w:pStyle w:val="15"/>
        <w:tabs>
          <w:tab w:val="right" w:leader="dot" w:pos="8958"/>
          <w:tab w:val="clear" w:pos="8493"/>
        </w:tabs>
      </w:pPr>
      <w:r>
        <w:t>1.2.1 核心研究问题</w:t>
      </w:r>
      <w:r>
        <w:tab/>
      </w:r>
      <w:r>
        <w:t>13</w:t>
      </w:r>
    </w:p>
    <w:p w14:paraId="18FA3B31">
      <w:pPr>
        <w:pStyle w:val="15"/>
        <w:tabs>
          <w:tab w:val="right" w:leader="dot" w:pos="8958"/>
          <w:tab w:val="clear" w:pos="8493"/>
        </w:tabs>
      </w:pPr>
      <w:r>
        <w:t>1.2.2 研究意义</w:t>
      </w:r>
      <w:r>
        <w:tab/>
      </w:r>
      <w:r>
        <w:t>13</w:t>
      </w:r>
    </w:p>
    <w:p w14:paraId="6D4E931A">
      <w:pPr>
        <w:pStyle w:val="27"/>
        <w:tabs>
          <w:tab w:val="right" w:leader="dot" w:pos="8958"/>
        </w:tabs>
      </w:pPr>
      <w:r>
        <w:t>1.3 研究方法与技术路线</w:t>
      </w:r>
      <w:r>
        <w:tab/>
      </w:r>
      <w:r>
        <w:t>13</w:t>
      </w:r>
    </w:p>
    <w:p w14:paraId="5829F44A">
      <w:pPr>
        <w:pStyle w:val="15"/>
        <w:tabs>
          <w:tab w:val="right" w:leader="dot" w:pos="8958"/>
          <w:tab w:val="clear" w:pos="8493"/>
        </w:tabs>
      </w:pPr>
      <w:r>
        <w:t>1.3.1 研究方法</w:t>
      </w:r>
      <w:r>
        <w:tab/>
      </w:r>
      <w:r>
        <w:t>13</w:t>
      </w:r>
    </w:p>
    <w:p w14:paraId="45969386">
      <w:pPr>
        <w:pStyle w:val="15"/>
        <w:tabs>
          <w:tab w:val="right" w:leader="dot" w:pos="8958"/>
          <w:tab w:val="clear" w:pos="8493"/>
        </w:tabs>
      </w:pPr>
      <w:r>
        <w:t>1.3.2 数据来源</w:t>
      </w:r>
      <w:r>
        <w:tab/>
      </w:r>
      <w:r>
        <w:t>15</w:t>
      </w:r>
    </w:p>
    <w:p w14:paraId="13D66B85">
      <w:pPr>
        <w:pStyle w:val="15"/>
        <w:tabs>
          <w:tab w:val="right" w:leader="dot" w:pos="8958"/>
          <w:tab w:val="clear" w:pos="8493"/>
        </w:tabs>
      </w:pPr>
      <w:r>
        <w:t>1.3.3 技术路线</w:t>
      </w:r>
      <w:r>
        <w:tab/>
      </w:r>
      <w:r>
        <w:t>15</w:t>
      </w:r>
    </w:p>
    <w:p w14:paraId="40EEF306">
      <w:pPr>
        <w:pStyle w:val="27"/>
        <w:tabs>
          <w:tab w:val="right" w:leader="dot" w:pos="8958"/>
        </w:tabs>
      </w:pPr>
      <w:r>
        <w:t>1.4 研究创新点</w:t>
      </w:r>
      <w:r>
        <w:tab/>
      </w:r>
      <w:r>
        <w:t>15</w:t>
      </w:r>
    </w:p>
    <w:p w14:paraId="6B064B37">
      <w:pPr>
        <w:pStyle w:val="27"/>
        <w:tabs>
          <w:tab w:val="right" w:leader="dot" w:pos="8958"/>
        </w:tabs>
      </w:pPr>
      <w:r>
        <w:t>1.5 本章小结</w:t>
      </w:r>
      <w:r>
        <w:tab/>
      </w:r>
      <w:r>
        <w:t>16</w:t>
      </w:r>
    </w:p>
    <w:p w14:paraId="24725234">
      <w:pPr>
        <w:pStyle w:val="22"/>
        <w:tabs>
          <w:tab w:val="right" w:leader="dot" w:pos="8958"/>
        </w:tabs>
      </w:pPr>
      <w:r>
        <w:rPr>
          <w:rFonts w:eastAsia="黑体"/>
          <w:kern w:val="0"/>
          <w:szCs w:val="32"/>
        </w:rPr>
        <w:fldChar w:fldCharType="begin"/>
      </w:r>
      <w:r>
        <w:rPr>
          <w:rFonts w:eastAsia="黑体"/>
          <w:kern w:val="0"/>
          <w:szCs w:val="32"/>
        </w:rPr>
        <w:instrText xml:space="preserve"> HYPERLINK \l _Toc24668 </w:instrText>
      </w:r>
      <w:r>
        <w:rPr>
          <w:rFonts w:eastAsia="黑体"/>
          <w:kern w:val="0"/>
          <w:szCs w:val="32"/>
        </w:rPr>
        <w:fldChar w:fldCharType="separate"/>
      </w:r>
      <w:r>
        <w:rPr>
          <w:rFonts w:hint="eastAsia"/>
          <w:szCs w:val="32"/>
        </w:rPr>
        <w:t>第二章 理论基础与文献综述</w:t>
      </w:r>
      <w:r>
        <w:tab/>
      </w:r>
      <w:r>
        <w:fldChar w:fldCharType="begin"/>
      </w:r>
      <w:r>
        <w:instrText xml:space="preserve"> PAGEREF _Toc24668 \h </w:instrText>
      </w:r>
      <w:r>
        <w:fldChar w:fldCharType="separate"/>
      </w:r>
      <w:r>
        <w:t>17</w:t>
      </w:r>
      <w:r>
        <w:fldChar w:fldCharType="end"/>
      </w:r>
      <w:r>
        <w:rPr>
          <w:rFonts w:eastAsia="黑体"/>
          <w:kern w:val="0"/>
          <w:szCs w:val="32"/>
        </w:rPr>
        <w:fldChar w:fldCharType="end"/>
      </w:r>
    </w:p>
    <w:p w14:paraId="14B34AE5">
      <w:pPr>
        <w:pStyle w:val="27"/>
        <w:tabs>
          <w:tab w:val="right" w:leader="dot" w:pos="8958"/>
        </w:tabs>
      </w:pPr>
      <w:r>
        <w:t>2.1 协同理论：集团化运营的价值逻辑</w:t>
      </w:r>
      <w:r>
        <w:tab/>
      </w:r>
      <w:r>
        <w:t>17</w:t>
      </w:r>
    </w:p>
    <w:p w14:paraId="3F52EF85">
      <w:pPr>
        <w:pStyle w:val="15"/>
        <w:tabs>
          <w:tab w:val="right" w:leader="dot" w:pos="8958"/>
          <w:tab w:val="clear" w:pos="8493"/>
        </w:tabs>
      </w:pPr>
      <w:r>
        <w:t>2.1.1 协同效应的理论内涵</w:t>
      </w:r>
      <w:r>
        <w:tab/>
      </w:r>
      <w:r>
        <w:t>17</w:t>
      </w:r>
    </w:p>
    <w:p w14:paraId="60D010A6">
      <w:pPr>
        <w:pStyle w:val="15"/>
        <w:tabs>
          <w:tab w:val="right" w:leader="dot" w:pos="8958"/>
          <w:tab w:val="clear" w:pos="8493"/>
        </w:tabs>
      </w:pPr>
      <w:r>
        <w:t>2.1.2 医疗服务与供应链协同的双刃剑效应</w:t>
      </w:r>
      <w:r>
        <w:tab/>
      </w:r>
      <w:r>
        <w:t>17</w:t>
      </w:r>
    </w:p>
    <w:p w14:paraId="06BDED4C">
      <w:pPr>
        <w:pStyle w:val="27"/>
        <w:tabs>
          <w:tab w:val="right" w:leader="dot" w:pos="8958"/>
        </w:tabs>
      </w:pPr>
      <w:r>
        <w:t>2.2 理论框架：基于委托代理理论的临床行为解释</w:t>
      </w:r>
      <w:r>
        <w:tab/>
      </w:r>
      <w:r>
        <w:t>18</w:t>
      </w:r>
    </w:p>
    <w:p w14:paraId="7AA4FACA">
      <w:pPr>
        <w:pStyle w:val="27"/>
        <w:tabs>
          <w:tab w:val="right" w:leader="dot" w:pos="8958"/>
        </w:tabs>
      </w:pPr>
      <w:r>
        <w:t>2.3 价值医疗理论：医疗服务的终极评价标准</w:t>
      </w:r>
      <w:r>
        <w:tab/>
      </w:r>
      <w:r>
        <w:t>18</w:t>
      </w:r>
    </w:p>
    <w:p w14:paraId="4D392168">
      <w:pPr>
        <w:pStyle w:val="15"/>
        <w:tabs>
          <w:tab w:val="right" w:leader="dot" w:pos="8958"/>
          <w:tab w:val="clear" w:pos="8493"/>
        </w:tabs>
      </w:pPr>
      <w:r>
        <w:t>2.3.1 波特价值医疗框架</w:t>
      </w:r>
      <w:r>
        <w:tab/>
      </w:r>
      <w:r>
        <w:t>18</w:t>
      </w:r>
    </w:p>
    <w:p w14:paraId="1141703D">
      <w:pPr>
        <w:pStyle w:val="15"/>
        <w:tabs>
          <w:tab w:val="right" w:leader="dot" w:pos="8958"/>
          <w:tab w:val="clear" w:pos="8493"/>
        </w:tabs>
      </w:pPr>
      <w:r>
        <w:t>2.3.2 价值医疗与DRG/DIP改革的内在关联</w:t>
      </w:r>
      <w:r>
        <w:tab/>
      </w:r>
      <w:r>
        <w:t>18</w:t>
      </w:r>
    </w:p>
    <w:p w14:paraId="29386490">
      <w:pPr>
        <w:pStyle w:val="15"/>
        <w:tabs>
          <w:tab w:val="right" w:leader="dot" w:pos="8958"/>
          <w:tab w:val="clear" w:pos="8493"/>
        </w:tabs>
      </w:pPr>
      <w:r>
        <w:t>2.3.3 “CMI陷阱”的理论解释</w:t>
      </w:r>
      <w:r>
        <w:tab/>
      </w:r>
      <w:r>
        <w:t>19</w:t>
      </w:r>
    </w:p>
    <w:p w14:paraId="1B8FB405">
      <w:pPr>
        <w:pStyle w:val="27"/>
        <w:tabs>
          <w:tab w:val="right" w:leader="dot" w:pos="8958"/>
        </w:tabs>
      </w:pPr>
      <w:r>
        <w:t>2.4 激励相容理论：机制设计的核心原则</w:t>
      </w:r>
      <w:r>
        <w:tab/>
      </w:r>
      <w:r>
        <w:t>19</w:t>
      </w:r>
    </w:p>
    <w:p w14:paraId="32D3EC64">
      <w:pPr>
        <w:pStyle w:val="15"/>
        <w:tabs>
          <w:tab w:val="right" w:leader="dot" w:pos="8958"/>
          <w:tab w:val="clear" w:pos="8493"/>
        </w:tabs>
      </w:pPr>
      <w:r>
        <w:t>2.4.1 Hurwicz激励相容原理</w:t>
      </w:r>
      <w:r>
        <w:tab/>
      </w:r>
      <w:r>
        <w:t>19</w:t>
      </w:r>
    </w:p>
    <w:p w14:paraId="41071BD4">
      <w:pPr>
        <w:pStyle w:val="15"/>
        <w:tabs>
          <w:tab w:val="right" w:leader="dot" w:pos="8958"/>
          <w:tab w:val="clear" w:pos="8493"/>
        </w:tabs>
      </w:pPr>
      <w:r>
        <w:t>2.4.2 激励相容在医疗绩效中的应用</w:t>
      </w:r>
      <w:r>
        <w:tab/>
      </w:r>
      <w:r>
        <w:t>20</w:t>
      </w:r>
    </w:p>
    <w:p w14:paraId="7190F03E">
      <w:pPr>
        <w:pStyle w:val="27"/>
        <w:tabs>
          <w:tab w:val="right" w:leader="dot" w:pos="8958"/>
        </w:tabs>
      </w:pPr>
      <w:r>
        <w:t>2.5 文献述评与研究定位</w:t>
      </w:r>
      <w:r>
        <w:tab/>
      </w:r>
      <w:r>
        <w:t>20</w:t>
      </w:r>
    </w:p>
    <w:p w14:paraId="2BB0D46A">
      <w:pPr>
        <w:pStyle w:val="15"/>
        <w:tabs>
          <w:tab w:val="right" w:leader="dot" w:pos="8958"/>
          <w:tab w:val="clear" w:pos="8493"/>
        </w:tabs>
      </w:pPr>
      <w:r>
        <w:t>2.5.1 国内外研究现状</w:t>
      </w:r>
      <w:r>
        <w:tab/>
      </w:r>
      <w:r>
        <w:t>20</w:t>
      </w:r>
    </w:p>
    <w:p w14:paraId="7EA17578">
      <w:pPr>
        <w:pStyle w:val="15"/>
        <w:tabs>
          <w:tab w:val="right" w:leader="dot" w:pos="8958"/>
          <w:tab w:val="clear" w:pos="8493"/>
        </w:tabs>
      </w:pPr>
      <w:r>
        <w:t>2.5.2 研究缺口与本研究定位</w:t>
      </w:r>
      <w:r>
        <w:tab/>
      </w:r>
      <w:r>
        <w:t>21</w:t>
      </w:r>
    </w:p>
    <w:p w14:paraId="12B8D932">
      <w:pPr>
        <w:pStyle w:val="27"/>
        <w:tabs>
          <w:tab w:val="right" w:leader="dot" w:pos="8958"/>
        </w:tabs>
      </w:pPr>
      <w:r>
        <w:t>2.6 理论框架：基于双重干预的“价值创造—成本控制—激励相容”三维分析框架</w:t>
      </w:r>
      <w:r>
        <w:tab/>
      </w:r>
      <w:r>
        <w:t>21</w:t>
      </w:r>
    </w:p>
    <w:p w14:paraId="01D8F075">
      <w:pPr>
        <w:pStyle w:val="27"/>
        <w:tabs>
          <w:tab w:val="right" w:leader="dot" w:pos="8958"/>
        </w:tabs>
      </w:pPr>
      <w:r>
        <w:t>2.7 本章小结</w:t>
      </w:r>
      <w:r>
        <w:tab/>
      </w:r>
      <w:r>
        <w:t>23</w:t>
      </w:r>
    </w:p>
    <w:p w14:paraId="586032F4">
      <w:pPr>
        <w:pStyle w:val="22"/>
        <w:tabs>
          <w:tab w:val="right" w:leader="dot" w:pos="8958"/>
        </w:tabs>
      </w:pPr>
      <w:r>
        <w:rPr>
          <w:rFonts w:eastAsia="黑体"/>
          <w:kern w:val="0"/>
          <w:szCs w:val="32"/>
        </w:rPr>
        <w:fldChar w:fldCharType="begin"/>
      </w:r>
      <w:r>
        <w:rPr>
          <w:rFonts w:eastAsia="黑体"/>
          <w:kern w:val="0"/>
          <w:szCs w:val="32"/>
        </w:rPr>
        <w:instrText xml:space="preserve"> HYPERLINK \l _Toc24400 </w:instrText>
      </w:r>
      <w:r>
        <w:rPr>
          <w:rFonts w:eastAsia="黑体"/>
          <w:kern w:val="0"/>
          <w:szCs w:val="32"/>
        </w:rPr>
        <w:fldChar w:fldCharType="separate"/>
      </w:r>
      <w:r>
        <w:rPr>
          <w:rFonts w:hint="eastAsia"/>
          <w:szCs w:val="32"/>
        </w:rPr>
        <w:t xml:space="preserve">第三章 </w:t>
      </w:r>
      <w:r>
        <w:rPr>
          <w:rFonts w:hint="eastAsia" w:hAnsi="黑体"/>
          <w:szCs w:val="32"/>
        </w:rPr>
        <w:t>行业环境分析与</w:t>
      </w:r>
      <w:r>
        <w:rPr>
          <w:rFonts w:hint="eastAsia" w:hAnsi="黑体"/>
          <w:szCs w:val="32"/>
          <w:lang w:eastAsia="zh-CN"/>
        </w:rPr>
        <w:t>A医疗集团</w:t>
      </w:r>
      <w:r>
        <w:rPr>
          <w:rFonts w:hint="eastAsia" w:hAnsi="黑体"/>
          <w:szCs w:val="32"/>
        </w:rPr>
        <w:t>现状剖析</w:t>
      </w:r>
      <w:r>
        <w:tab/>
      </w:r>
      <w:r>
        <w:fldChar w:fldCharType="begin"/>
      </w:r>
      <w:r>
        <w:instrText xml:space="preserve"> PAGEREF _Toc24400 \h </w:instrText>
      </w:r>
      <w:r>
        <w:fldChar w:fldCharType="separate"/>
      </w:r>
      <w:r>
        <w:t>24</w:t>
      </w:r>
      <w:r>
        <w:fldChar w:fldCharType="end"/>
      </w:r>
      <w:r>
        <w:rPr>
          <w:rFonts w:eastAsia="黑体"/>
          <w:kern w:val="0"/>
          <w:szCs w:val="32"/>
        </w:rPr>
        <w:fldChar w:fldCharType="end"/>
      </w:r>
    </w:p>
    <w:p w14:paraId="0BC8942E">
      <w:pPr>
        <w:pStyle w:val="27"/>
        <w:tabs>
          <w:tab w:val="right" w:leader="dot" w:pos="8958"/>
        </w:tabs>
      </w:pPr>
      <w:r>
        <w:t>3.1 DRG/DIP改革的宏观背景与行业冲击</w:t>
      </w:r>
      <w:r>
        <w:tab/>
      </w:r>
      <w:r>
        <w:t>24</w:t>
      </w:r>
    </w:p>
    <w:p w14:paraId="59EDF977">
      <w:pPr>
        <w:pStyle w:val="15"/>
        <w:tabs>
          <w:tab w:val="right" w:leader="dot" w:pos="8958"/>
          <w:tab w:val="clear" w:pos="8493"/>
        </w:tabs>
      </w:pPr>
      <w:r>
        <w:t>3.1.1 医保基金收支压力凸显</w:t>
      </w:r>
      <w:r>
        <w:tab/>
      </w:r>
      <w:r>
        <w:t>24</w:t>
      </w:r>
    </w:p>
    <w:p w14:paraId="5C3DC5A4">
      <w:pPr>
        <w:pStyle w:val="15"/>
        <w:tabs>
          <w:tab w:val="right" w:leader="dot" w:pos="8958"/>
          <w:tab w:val="clear" w:pos="8493"/>
        </w:tabs>
      </w:pPr>
      <w:r>
        <w:t>3.1.2 非公医疗集团面临的系统性困境</w:t>
      </w:r>
      <w:r>
        <w:tab/>
      </w:r>
      <w:r>
        <w:t>25</w:t>
      </w:r>
    </w:p>
    <w:p w14:paraId="39403909">
      <w:pPr>
        <w:pStyle w:val="15"/>
        <w:tabs>
          <w:tab w:val="right" w:leader="dot" w:pos="8958"/>
          <w:tab w:val="clear" w:pos="8493"/>
        </w:tabs>
      </w:pPr>
      <w:r>
        <w:t>3.1.3 行业转型的紧迫性与方向</w:t>
      </w:r>
      <w:r>
        <w:tab/>
      </w:r>
      <w:r>
        <w:t>26</w:t>
      </w:r>
    </w:p>
    <w:p w14:paraId="4C025238">
      <w:pPr>
        <w:pStyle w:val="15"/>
        <w:tabs>
          <w:tab w:val="right" w:leader="dot" w:pos="8958"/>
          <w:tab w:val="clear" w:pos="8493"/>
        </w:tabs>
      </w:pPr>
      <w:r>
        <w:t>3.1.4 研究问题的提出</w:t>
      </w:r>
      <w:r>
        <w:tab/>
      </w:r>
      <w:r>
        <w:t>27</w:t>
      </w:r>
    </w:p>
    <w:p w14:paraId="70480395">
      <w:pPr>
        <w:pStyle w:val="27"/>
        <w:tabs>
          <w:tab w:val="right" w:leader="dot" w:pos="8958"/>
        </w:tabs>
      </w:pPr>
      <w:r>
        <w:t>3.2 A医疗集团财务表现：近年轨迹分析</w:t>
      </w:r>
      <w:r>
        <w:tab/>
      </w:r>
      <w:r>
        <w:t>27</w:t>
      </w:r>
    </w:p>
    <w:p w14:paraId="7562B082">
      <w:pPr>
        <w:pStyle w:val="15"/>
        <w:tabs>
          <w:tab w:val="right" w:leader="dot" w:pos="8958"/>
          <w:tab w:val="clear" w:pos="8493"/>
        </w:tabs>
      </w:pPr>
      <w:r>
        <w:t>3.2.1 集团发展历程：从战略调整期到管理转型</w:t>
      </w:r>
      <w:r>
        <w:tab/>
      </w:r>
      <w:r>
        <w:t>27</w:t>
      </w:r>
    </w:p>
    <w:p w14:paraId="25EF621A">
      <w:pPr>
        <w:pStyle w:val="15"/>
        <w:tabs>
          <w:tab w:val="right" w:leader="dot" w:pos="8958"/>
          <w:tab w:val="clear" w:pos="8493"/>
        </w:tabs>
      </w:pPr>
      <w:r>
        <w:t>3.2.2 整体财务概览：增收不增利的困局</w:t>
      </w:r>
      <w:r>
        <w:tab/>
      </w:r>
      <w:r>
        <w:t>28</w:t>
      </w:r>
    </w:p>
    <w:p w14:paraId="7CD068D5">
      <w:pPr>
        <w:pStyle w:val="27"/>
        <w:tabs>
          <w:tab w:val="right" w:leader="dot" w:pos="8958"/>
        </w:tabs>
      </w:pPr>
      <w:r>
        <w:t>3.3 供应链协同的“双刃剑”效应：利润蓄水池与院区抽水机</w:t>
      </w:r>
      <w:r>
        <w:tab/>
      </w:r>
      <w:r>
        <w:t>29</w:t>
      </w:r>
    </w:p>
    <w:p w14:paraId="356D8FC4">
      <w:pPr>
        <w:pStyle w:val="15"/>
        <w:tabs>
          <w:tab w:val="right" w:leader="dot" w:pos="8958"/>
          <w:tab w:val="clear" w:pos="8493"/>
        </w:tabs>
      </w:pPr>
      <w:r>
        <w:t>3.3.1 供应链平台的利润挖掘机制</w:t>
      </w:r>
      <w:r>
        <w:tab/>
      </w:r>
      <w:r>
        <w:t>29</w:t>
      </w:r>
    </w:p>
    <w:p w14:paraId="711F4827">
      <w:pPr>
        <w:pStyle w:val="15"/>
        <w:tabs>
          <w:tab w:val="right" w:leader="dot" w:pos="8958"/>
          <w:tab w:val="clear" w:pos="8493"/>
        </w:tabs>
      </w:pPr>
      <w:r>
        <w:t>3.3.2 “双刃剑”效应的深度剖析</w:t>
      </w:r>
      <w:r>
        <w:tab/>
      </w:r>
      <w:r>
        <w:t>29</w:t>
      </w:r>
    </w:p>
    <w:p w14:paraId="47E20C9C">
      <w:pPr>
        <w:pStyle w:val="15"/>
        <w:tabs>
          <w:tab w:val="right" w:leader="dot" w:pos="8958"/>
          <w:tab w:val="clear" w:pos="8493"/>
        </w:tabs>
      </w:pPr>
      <w:r>
        <w:t>3.3.3 供应链协同的可持续性风险</w:t>
      </w:r>
      <w:r>
        <w:tab/>
      </w:r>
      <w:r>
        <w:t>31</w:t>
      </w:r>
    </w:p>
    <w:p w14:paraId="07E461D7">
      <w:pPr>
        <w:pStyle w:val="27"/>
        <w:tabs>
          <w:tab w:val="right" w:leader="dot" w:pos="8958"/>
        </w:tabs>
      </w:pPr>
      <w:r>
        <w:t>3.4 三家代表性医院的现状对比：为第四章实证研究做铺垫</w:t>
      </w:r>
      <w:r>
        <w:tab/>
      </w:r>
      <w:r>
        <w:t>31</w:t>
      </w:r>
    </w:p>
    <w:p w14:paraId="4630A0CF">
      <w:pPr>
        <w:pStyle w:val="15"/>
        <w:tabs>
          <w:tab w:val="right" w:leader="dot" w:pos="8958"/>
          <w:tab w:val="clear" w:pos="8493"/>
        </w:tabs>
      </w:pPr>
      <w:r>
        <w:t>3.4.1 H1医院：积极响应型的管理标杆</w:t>
      </w:r>
      <w:r>
        <w:tab/>
      </w:r>
      <w:r>
        <w:t>31</w:t>
      </w:r>
    </w:p>
    <w:p w14:paraId="0AD90E6B">
      <w:pPr>
        <w:pStyle w:val="15"/>
        <w:tabs>
          <w:tab w:val="right" w:leader="dot" w:pos="8958"/>
          <w:tab w:val="clear" w:pos="8493"/>
        </w:tabs>
      </w:pPr>
      <w:r>
        <w:t>3.4.2 H2医院：大体量转型的先行院区</w:t>
      </w:r>
      <w:r>
        <w:tab/>
      </w:r>
      <w:r>
        <w:t>32</w:t>
      </w:r>
    </w:p>
    <w:p w14:paraId="4477A1C5">
      <w:pPr>
        <w:pStyle w:val="15"/>
        <w:tabs>
          <w:tab w:val="right" w:leader="dot" w:pos="8958"/>
          <w:tab w:val="clear" w:pos="8493"/>
        </w:tabs>
      </w:pPr>
      <w:r>
        <w:t>3.4.3 H3医院：滞后响应型的改善案例</w:t>
      </w:r>
      <w:r>
        <w:tab/>
      </w:r>
      <w:r>
        <w:t>33</w:t>
      </w:r>
    </w:p>
    <w:p w14:paraId="7FA0B174">
      <w:pPr>
        <w:pStyle w:val="15"/>
        <w:tabs>
          <w:tab w:val="right" w:leader="dot" w:pos="8958"/>
          <w:tab w:val="clear" w:pos="8493"/>
        </w:tabs>
      </w:pPr>
      <w:r>
        <w:t>3.4.4 三家医院的关键差异对比</w:t>
      </w:r>
      <w:r>
        <w:tab/>
      </w:r>
      <w:r>
        <w:t>34</w:t>
      </w:r>
    </w:p>
    <w:p w14:paraId="0B84D13B">
      <w:pPr>
        <w:pStyle w:val="15"/>
        <w:tabs>
          <w:tab w:val="right" w:leader="dot" w:pos="8958"/>
          <w:tab w:val="clear" w:pos="8493"/>
        </w:tabs>
      </w:pPr>
      <w:r>
        <w:t>3.4.5 管理差异的深层原因：战略定力与执行落地</w:t>
      </w:r>
      <w:r>
        <w:tab/>
      </w:r>
      <w:r>
        <w:t>34</w:t>
      </w:r>
    </w:p>
    <w:p w14:paraId="14C17AAE">
      <w:pPr>
        <w:pStyle w:val="27"/>
        <w:tabs>
          <w:tab w:val="right" w:leader="dot" w:pos="8958"/>
        </w:tabs>
      </w:pPr>
      <w:r>
        <w:t>3.5 本章小结</w:t>
      </w:r>
      <w:r>
        <w:tab/>
      </w:r>
      <w:r>
        <w:t>35</w:t>
      </w:r>
    </w:p>
    <w:p w14:paraId="63FCE92C">
      <w:pPr>
        <w:pStyle w:val="22"/>
        <w:tabs>
          <w:tab w:val="right" w:leader="dot" w:pos="8958"/>
        </w:tabs>
      </w:pPr>
      <w:r>
        <w:rPr>
          <w:rFonts w:eastAsia="黑体"/>
          <w:kern w:val="0"/>
          <w:szCs w:val="32"/>
        </w:rPr>
        <w:fldChar w:fldCharType="begin"/>
      </w:r>
      <w:r>
        <w:rPr>
          <w:rFonts w:eastAsia="黑体"/>
          <w:kern w:val="0"/>
          <w:szCs w:val="32"/>
        </w:rPr>
        <w:instrText xml:space="preserve"> HYPERLINK \l _Toc30299 </w:instrText>
      </w:r>
      <w:r>
        <w:rPr>
          <w:rFonts w:eastAsia="黑体"/>
          <w:kern w:val="0"/>
          <w:szCs w:val="32"/>
        </w:rPr>
        <w:fldChar w:fldCharType="separate"/>
      </w:r>
      <w:r>
        <w:rPr>
          <w:rFonts w:hint="eastAsia"/>
          <w:szCs w:val="32"/>
        </w:rPr>
        <w:t xml:space="preserve">第四章 </w:t>
      </w:r>
      <w:r>
        <w:rPr>
          <w:rFonts w:hint="eastAsia" w:hAnsi="黑体"/>
          <w:szCs w:val="32"/>
          <w:lang w:eastAsia="zh-CN"/>
        </w:rPr>
        <w:t>A医疗集团</w:t>
      </w:r>
      <w:r>
        <w:rPr>
          <w:rFonts w:hint="eastAsia" w:hAnsi="黑体"/>
          <w:szCs w:val="32"/>
        </w:rPr>
        <w:t>医疗收入质量的实证研究</w:t>
      </w:r>
      <w:r>
        <w:tab/>
      </w:r>
      <w:r>
        <w:fldChar w:fldCharType="begin"/>
      </w:r>
      <w:r>
        <w:instrText xml:space="preserve"> PAGEREF _Toc30299 \h </w:instrText>
      </w:r>
      <w:r>
        <w:fldChar w:fldCharType="separate"/>
      </w:r>
      <w:r>
        <w:t>37</w:t>
      </w:r>
      <w:r>
        <w:fldChar w:fldCharType="end"/>
      </w:r>
      <w:r>
        <w:rPr>
          <w:rFonts w:eastAsia="黑体"/>
          <w:kern w:val="0"/>
          <w:szCs w:val="32"/>
        </w:rPr>
        <w:fldChar w:fldCharType="end"/>
      </w:r>
    </w:p>
    <w:p w14:paraId="05302C12">
      <w:pPr>
        <w:pStyle w:val="27"/>
        <w:tabs>
          <w:tab w:val="right" w:leader="dot" w:pos="8958"/>
        </w:tabs>
      </w:pPr>
      <w:r>
        <w:t>4.1 研究设计与方法论</w:t>
      </w:r>
      <w:r>
        <w:tab/>
      </w:r>
      <w:r>
        <w:t>37</w:t>
      </w:r>
    </w:p>
    <w:p w14:paraId="2C29CECA">
      <w:pPr>
        <w:pStyle w:val="15"/>
        <w:tabs>
          <w:tab w:val="right" w:leader="dot" w:pos="8958"/>
          <w:tab w:val="clear" w:pos="8493"/>
        </w:tabs>
      </w:pPr>
      <w:r>
        <w:t>4.1.1 研究假设</w:t>
      </w:r>
      <w:r>
        <w:tab/>
      </w:r>
      <w:r>
        <w:t>37</w:t>
      </w:r>
    </w:p>
    <w:p w14:paraId="3F784560">
      <w:pPr>
        <w:pStyle w:val="15"/>
        <w:tabs>
          <w:tab w:val="right" w:leader="dot" w:pos="8958"/>
          <w:tab w:val="clear" w:pos="8493"/>
        </w:tabs>
      </w:pPr>
      <w:r>
        <w:t>4.1.2 间断时间序列分析（ITS）模型设定</w:t>
      </w:r>
      <w:r>
        <w:tab/>
      </w:r>
      <w:r>
        <w:t>37</w:t>
      </w:r>
    </w:p>
    <w:p w14:paraId="3E2412A6">
      <w:pPr>
        <w:pStyle w:val="15"/>
        <w:tabs>
          <w:tab w:val="right" w:leader="dot" w:pos="8958"/>
          <w:tab w:val="clear" w:pos="8493"/>
        </w:tabs>
      </w:pPr>
      <w:r>
        <w:t>4.1.3 数据来源与样本说明</w:t>
      </w:r>
      <w:r>
        <w:tab/>
      </w:r>
      <w:r>
        <w:t>38</w:t>
      </w:r>
    </w:p>
    <w:p w14:paraId="0B213C7A">
      <w:pPr>
        <w:pStyle w:val="27"/>
        <w:tabs>
          <w:tab w:val="right" w:leader="dot" w:pos="8958"/>
        </w:tabs>
      </w:pPr>
      <w:r>
        <w:t>4.2 H1医院ITS分析：积极响应型的“快速止血”</w:t>
      </w:r>
      <w:r>
        <w:tab/>
      </w:r>
      <w:r>
        <w:t>39</w:t>
      </w:r>
    </w:p>
    <w:p w14:paraId="22C4B4A5">
      <w:pPr>
        <w:pStyle w:val="15"/>
        <w:tabs>
          <w:tab w:val="right" w:leader="dot" w:pos="8958"/>
          <w:tab w:val="clear" w:pos="8493"/>
        </w:tabs>
      </w:pPr>
      <w:r>
        <w:t>4.2.1 描述性统计</w:t>
      </w:r>
      <w:r>
        <w:tab/>
      </w:r>
      <w:r>
        <w:t>39</w:t>
      </w:r>
    </w:p>
    <w:p w14:paraId="3F4BF5D5">
      <w:pPr>
        <w:pStyle w:val="15"/>
        <w:tabs>
          <w:tab w:val="right" w:leader="dot" w:pos="8958"/>
          <w:tab w:val="clear" w:pos="8493"/>
        </w:tabs>
      </w:pPr>
      <w:r>
        <w:t>4.2.2 ITS回归结果</w:t>
      </w:r>
      <w:r>
        <w:tab/>
      </w:r>
      <w:r>
        <w:t>40</w:t>
      </w:r>
    </w:p>
    <w:p w14:paraId="0F0645D2">
      <w:pPr>
        <w:pStyle w:val="15"/>
        <w:tabs>
          <w:tab w:val="right" w:leader="dot" w:pos="8958"/>
          <w:tab w:val="clear" w:pos="8493"/>
        </w:tabs>
      </w:pPr>
      <w:r>
        <w:t>4.2.3 “快速止血”的管理驱动因素</w:t>
      </w:r>
      <w:r>
        <w:tab/>
      </w:r>
      <w:r>
        <w:t>41</w:t>
      </w:r>
    </w:p>
    <w:p w14:paraId="68767CC1">
      <w:pPr>
        <w:pStyle w:val="27"/>
        <w:tabs>
          <w:tab w:val="right" w:leader="dot" w:pos="8958"/>
        </w:tabs>
      </w:pPr>
      <w:r>
        <w:t>4.3 H3医院ITS分析：滞后响应型的“先抑后扬”</w:t>
      </w:r>
      <w:r>
        <w:tab/>
      </w:r>
      <w:r>
        <w:t>42</w:t>
      </w:r>
    </w:p>
    <w:p w14:paraId="21F0303C">
      <w:pPr>
        <w:pStyle w:val="15"/>
        <w:tabs>
          <w:tab w:val="right" w:leader="dot" w:pos="8958"/>
          <w:tab w:val="clear" w:pos="8493"/>
        </w:tabs>
      </w:pPr>
      <w:r>
        <w:t>4.3.1 描述性统计</w:t>
      </w:r>
      <w:r>
        <w:tab/>
      </w:r>
      <w:r>
        <w:t>42</w:t>
      </w:r>
    </w:p>
    <w:p w14:paraId="69945917">
      <w:pPr>
        <w:pStyle w:val="15"/>
        <w:tabs>
          <w:tab w:val="right" w:leader="dot" w:pos="8958"/>
          <w:tab w:val="clear" w:pos="8493"/>
        </w:tabs>
      </w:pPr>
      <w:r>
        <w:t>4.3.2 ITS回归结果</w:t>
      </w:r>
      <w:r>
        <w:tab/>
      </w:r>
      <w:r>
        <w:t>43</w:t>
      </w:r>
    </w:p>
    <w:p w14:paraId="64323CDB">
      <w:pPr>
        <w:pStyle w:val="15"/>
        <w:tabs>
          <w:tab w:val="right" w:leader="dot" w:pos="8958"/>
          <w:tab w:val="clear" w:pos="8493"/>
        </w:tabs>
      </w:pPr>
      <w:r>
        <w:t>4.3.3 “CMI陷阱”的实证检验</w:t>
      </w:r>
      <w:r>
        <w:tab/>
      </w:r>
      <w:r>
        <w:t>44</w:t>
      </w:r>
    </w:p>
    <w:p w14:paraId="0A2FC0ED">
      <w:pPr>
        <w:pStyle w:val="15"/>
        <w:tabs>
          <w:tab w:val="right" w:leader="dot" w:pos="8958"/>
          <w:tab w:val="clear" w:pos="8493"/>
        </w:tabs>
      </w:pPr>
      <w:r>
        <w:t>4.3.4 “CMI陷阱”的数理本质与动态突破</w:t>
      </w:r>
      <w:r>
        <w:tab/>
      </w:r>
      <w:r>
        <w:t>46</w:t>
      </w:r>
    </w:p>
    <w:p w14:paraId="743E70C5">
      <w:pPr>
        <w:pStyle w:val="27"/>
        <w:tabs>
          <w:tab w:val="right" w:leader="dot" w:pos="8958"/>
        </w:tabs>
      </w:pPr>
      <w:r>
        <w:t>4.4 H1与H3对比分析：双重干预视角下的路径分化</w:t>
      </w:r>
      <w:r>
        <w:tab/>
      </w:r>
      <w:r>
        <w:t>47</w:t>
      </w:r>
    </w:p>
    <w:p w14:paraId="50EB6BF5">
      <w:pPr>
        <w:pStyle w:val="27"/>
        <w:tabs>
          <w:tab w:val="right" w:leader="dot" w:pos="8958"/>
        </w:tabs>
      </w:pPr>
      <w:r>
        <w:t>4.5 H2医院辅助分析</w:t>
      </w:r>
      <w:r>
        <w:tab/>
      </w:r>
      <w:r>
        <w:t>48</w:t>
      </w:r>
    </w:p>
    <w:p w14:paraId="596F295F">
      <w:pPr>
        <w:pStyle w:val="27"/>
        <w:tabs>
          <w:tab w:val="right" w:leader="dot" w:pos="8958"/>
        </w:tabs>
      </w:pPr>
      <w:r>
        <w:t>4.6 灰色关联度分析：供应链协同的“压舱石”效应</w:t>
      </w:r>
      <w:r>
        <w:tab/>
      </w:r>
      <w:r>
        <w:t>49</w:t>
      </w:r>
    </w:p>
    <w:p w14:paraId="2E8F60C9">
      <w:pPr>
        <w:pStyle w:val="27"/>
        <w:tabs>
          <w:tab w:val="right" w:leader="dot" w:pos="8958"/>
        </w:tabs>
      </w:pPr>
      <w:r>
        <w:t>4.7 时滞效应的验证：滚动窗口分析</w:t>
      </w:r>
      <w:r>
        <w:tab/>
      </w:r>
      <w:r>
        <w:t>50</w:t>
      </w:r>
    </w:p>
    <w:p w14:paraId="76746E71">
      <w:pPr>
        <w:pStyle w:val="27"/>
        <w:tabs>
          <w:tab w:val="right" w:leader="dot" w:pos="8958"/>
        </w:tabs>
      </w:pPr>
      <w:r>
        <w:t>4.8 本章小结</w:t>
      </w:r>
      <w:r>
        <w:tab/>
      </w:r>
      <w:r>
        <w:t>52</w:t>
      </w:r>
    </w:p>
    <w:p w14:paraId="15DDFF46">
      <w:pPr>
        <w:pStyle w:val="22"/>
        <w:tabs>
          <w:tab w:val="right" w:leader="dot" w:pos="8958"/>
        </w:tabs>
      </w:pPr>
      <w:r>
        <w:rPr>
          <w:rFonts w:eastAsia="黑体"/>
          <w:kern w:val="0"/>
          <w:szCs w:val="32"/>
        </w:rPr>
        <w:fldChar w:fldCharType="begin"/>
      </w:r>
      <w:r>
        <w:rPr>
          <w:rFonts w:eastAsia="黑体"/>
          <w:kern w:val="0"/>
          <w:szCs w:val="32"/>
        </w:rPr>
        <w:instrText xml:space="preserve"> HYPERLINK \l _Toc9511 </w:instrText>
      </w:r>
      <w:r>
        <w:rPr>
          <w:rFonts w:eastAsia="黑体"/>
          <w:kern w:val="0"/>
          <w:szCs w:val="32"/>
        </w:rPr>
        <w:fldChar w:fldCharType="separate"/>
      </w:r>
      <w:r>
        <w:rPr>
          <w:rFonts w:hint="eastAsia"/>
          <w:szCs w:val="32"/>
        </w:rPr>
        <w:t xml:space="preserve">第五章 </w:t>
      </w:r>
      <w:r>
        <w:rPr>
          <w:rFonts w:hint="eastAsia" w:hAnsi="黑体"/>
          <w:szCs w:val="32"/>
          <w:lang w:eastAsia="zh-CN"/>
        </w:rPr>
        <w:t>A医疗集团</w:t>
      </w:r>
      <w:r>
        <w:rPr>
          <w:rFonts w:hint="eastAsia" w:hAnsi="黑体"/>
          <w:szCs w:val="32"/>
        </w:rPr>
        <w:t>医疗收入质量优化策略设计</w:t>
      </w:r>
      <w:r>
        <w:tab/>
      </w:r>
      <w:r>
        <w:fldChar w:fldCharType="begin"/>
      </w:r>
      <w:r>
        <w:instrText xml:space="preserve"> PAGEREF _Toc9511 \h </w:instrText>
      </w:r>
      <w:r>
        <w:fldChar w:fldCharType="separate"/>
      </w:r>
      <w:r>
        <w:t>54</w:t>
      </w:r>
      <w:r>
        <w:fldChar w:fldCharType="end"/>
      </w:r>
      <w:r>
        <w:rPr>
          <w:rFonts w:eastAsia="黑体"/>
          <w:kern w:val="0"/>
          <w:szCs w:val="32"/>
        </w:rPr>
        <w:fldChar w:fldCharType="end"/>
      </w:r>
    </w:p>
    <w:p w14:paraId="536A07F5">
      <w:pPr>
        <w:pStyle w:val="27"/>
        <w:tabs>
          <w:tab w:val="right" w:leader="dot" w:pos="8958"/>
        </w:tabs>
      </w:pPr>
      <w:r>
        <w:t>5.1 策略设计的总体框架</w:t>
      </w:r>
      <w:r>
        <w:tab/>
      </w:r>
      <w:r>
        <w:t>54</w:t>
      </w:r>
    </w:p>
    <w:p w14:paraId="3B5D8E91">
      <w:pPr>
        <w:pStyle w:val="15"/>
        <w:tabs>
          <w:tab w:val="right" w:leader="dot" w:pos="8958"/>
          <w:tab w:val="clear" w:pos="8493"/>
        </w:tabs>
      </w:pPr>
      <w:r>
        <w:t>5.1.1 问题导向：基于实证发现的三大核心痛点</w:t>
      </w:r>
      <w:r>
        <w:tab/>
      </w:r>
      <w:r>
        <w:t>54</w:t>
      </w:r>
    </w:p>
    <w:p w14:paraId="2FD8CDF6">
      <w:pPr>
        <w:pStyle w:val="15"/>
        <w:tabs>
          <w:tab w:val="right" w:leader="dot" w:pos="8958"/>
          <w:tab w:val="clear" w:pos="8493"/>
        </w:tabs>
      </w:pPr>
      <w:r>
        <w:t>5.1.2 策略框架：四层优化体系与三级响应时间表</w:t>
      </w:r>
      <w:r>
        <w:tab/>
      </w:r>
      <w:r>
        <w:t>54</w:t>
      </w:r>
    </w:p>
    <w:p w14:paraId="3418887D">
      <w:pPr>
        <w:pStyle w:val="27"/>
        <w:tabs>
          <w:tab w:val="right" w:leader="dot" w:pos="8958"/>
        </w:tabs>
      </w:pPr>
      <w:r>
        <w:t>5.2 战略层：基于“边际贡献优先”的学科重构</w:t>
      </w:r>
      <w:r>
        <w:tab/>
      </w:r>
      <w:r>
        <w:t>56</w:t>
      </w:r>
    </w:p>
    <w:p w14:paraId="38D30319">
      <w:pPr>
        <w:pStyle w:val="15"/>
        <w:tabs>
          <w:tab w:val="right" w:leader="dot" w:pos="8958"/>
          <w:tab w:val="clear" w:pos="8493"/>
        </w:tabs>
      </w:pPr>
      <w:r>
        <w:t>5.2.1 从“CMI至上”到“边际贡献优先”的范式转换</w:t>
      </w:r>
      <w:r>
        <w:tab/>
      </w:r>
      <w:r>
        <w:t>56</w:t>
      </w:r>
    </w:p>
    <w:p w14:paraId="5B3D32E6">
      <w:pPr>
        <w:pStyle w:val="15"/>
        <w:tabs>
          <w:tab w:val="right" w:leader="dot" w:pos="8958"/>
          <w:tab w:val="clear" w:pos="8493"/>
        </w:tabs>
      </w:pPr>
      <w:r>
        <w:t>5.2.2 学科画像四象限模型</w:t>
      </w:r>
      <w:r>
        <w:tab/>
      </w:r>
      <w:r>
        <w:t>57</w:t>
      </w:r>
    </w:p>
    <w:p w14:paraId="3ACDB3E6">
      <w:pPr>
        <w:pStyle w:val="15"/>
        <w:tabs>
          <w:tab w:val="right" w:leader="dot" w:pos="8958"/>
          <w:tab w:val="clear" w:pos="8493"/>
        </w:tabs>
      </w:pPr>
      <w:r>
        <w:t>5.2.3 CAPEX配置原则：告别“设备崇拜”</w:t>
      </w:r>
      <w:r>
        <w:tab/>
      </w:r>
      <w:r>
        <w:t>58</w:t>
      </w:r>
    </w:p>
    <w:p w14:paraId="162180F4">
      <w:pPr>
        <w:pStyle w:val="27"/>
        <w:tabs>
          <w:tab w:val="right" w:leader="dot" w:pos="8958"/>
        </w:tabs>
      </w:pPr>
      <w:r>
        <w:t>5.3 运营层：供应链账期管理与成本优化</w:t>
      </w:r>
      <w:r>
        <w:tab/>
      </w:r>
      <w:r>
        <w:t>59</w:t>
      </w:r>
    </w:p>
    <w:p w14:paraId="76B8AE26">
      <w:pPr>
        <w:pStyle w:val="15"/>
        <w:tabs>
          <w:tab w:val="right" w:leader="dot" w:pos="8958"/>
          <w:tab w:val="clear" w:pos="8493"/>
        </w:tabs>
      </w:pPr>
      <w:r>
        <w:t>5.3.1 问题回顾：超长账期的风险累积</w:t>
      </w:r>
      <w:r>
        <w:tab/>
      </w:r>
      <w:r>
        <w:t>59</w:t>
      </w:r>
    </w:p>
    <w:p w14:paraId="5F74606C">
      <w:pPr>
        <w:pStyle w:val="15"/>
        <w:tabs>
          <w:tab w:val="right" w:leader="dot" w:pos="8958"/>
          <w:tab w:val="clear" w:pos="8493"/>
        </w:tabs>
      </w:pPr>
      <w:r>
        <w:t>5.3.2 "2+N”账期管理模式设计</w:t>
      </w:r>
      <w:r>
        <w:tab/>
      </w:r>
      <w:r>
        <w:t>59</w:t>
      </w:r>
    </w:p>
    <w:p w14:paraId="6B8689F3">
      <w:pPr>
        <w:pStyle w:val="15"/>
        <w:tabs>
          <w:tab w:val="right" w:leader="dot" w:pos="8958"/>
          <w:tab w:val="clear" w:pos="8493"/>
        </w:tabs>
      </w:pPr>
      <w:r>
        <w:t>5.3.3 预期效果</w:t>
      </w:r>
      <w:r>
        <w:tab/>
      </w:r>
      <w:r>
        <w:t>60</w:t>
      </w:r>
    </w:p>
    <w:p w14:paraId="1D05BDB6">
      <w:pPr>
        <w:pStyle w:val="27"/>
        <w:tabs>
          <w:tab w:val="right" w:leader="dot" w:pos="8958"/>
        </w:tabs>
      </w:pPr>
      <w:r>
        <w:t>5.4 激励层：阶梯化集中管理协同收益返还机制</w:t>
      </w:r>
      <w:r>
        <w:tab/>
      </w:r>
      <w:r>
        <w:t>60</w:t>
      </w:r>
    </w:p>
    <w:p w14:paraId="682F9869">
      <w:pPr>
        <w:pStyle w:val="15"/>
        <w:tabs>
          <w:tab w:val="right" w:leader="dot" w:pos="8958"/>
          <w:tab w:val="clear" w:pos="8493"/>
        </w:tabs>
      </w:pPr>
      <w:r>
        <w:t>5.4.1 问题回顾：集团与院区的利益冲突</w:t>
      </w:r>
      <w:r>
        <w:tab/>
      </w:r>
      <w:r>
        <w:t>60</w:t>
      </w:r>
    </w:p>
    <w:p w14:paraId="578CA5CF">
      <w:pPr>
        <w:pStyle w:val="15"/>
        <w:tabs>
          <w:tab w:val="right" w:leader="dot" w:pos="8958"/>
          <w:tab w:val="clear" w:pos="8493"/>
        </w:tabs>
      </w:pPr>
      <w:r>
        <w:t>5.4.2 阶梯化集中管理协同收益返还机制设计</w:t>
      </w:r>
      <w:r>
        <w:tab/>
      </w:r>
      <w:r>
        <w:t>61</w:t>
      </w:r>
    </w:p>
    <w:p w14:paraId="4AE2596A">
      <w:pPr>
        <w:pStyle w:val="15"/>
        <w:tabs>
          <w:tab w:val="right" w:leader="dot" w:pos="8958"/>
          <w:tab w:val="clear" w:pos="8493"/>
        </w:tabs>
      </w:pPr>
      <w:r>
        <w:t>5.4.3 机制优势分析</w:t>
      </w:r>
      <w:r>
        <w:tab/>
      </w:r>
      <w:r>
        <w:t>62</w:t>
      </w:r>
    </w:p>
    <w:p w14:paraId="0C64BDC7">
      <w:pPr>
        <w:pStyle w:val="27"/>
        <w:tabs>
          <w:tab w:val="right" w:leader="dot" w:pos="8958"/>
        </w:tabs>
      </w:pPr>
      <w:r>
        <w:t>5.5 H1医院管理转型试点成果与推广经验</w:t>
      </w:r>
      <w:r>
        <w:tab/>
      </w:r>
      <w:r>
        <w:t>62</w:t>
      </w:r>
    </w:p>
    <w:p w14:paraId="630A848B">
      <w:pPr>
        <w:pStyle w:val="15"/>
        <w:tabs>
          <w:tab w:val="right" w:leader="dot" w:pos="8958"/>
          <w:tab w:val="clear" w:pos="8493"/>
        </w:tabs>
      </w:pPr>
      <w:r>
        <w:t>5.5.1 试点背景与组织保障</w:t>
      </w:r>
      <w:r>
        <w:tab/>
      </w:r>
      <w:r>
        <w:t>62</w:t>
      </w:r>
    </w:p>
    <w:p w14:paraId="46B0E9DB">
      <w:pPr>
        <w:pStyle w:val="15"/>
        <w:tabs>
          <w:tab w:val="right" w:leader="dot" w:pos="8958"/>
          <w:tab w:val="clear" w:pos="8493"/>
        </w:tabs>
      </w:pPr>
      <w:r>
        <w:t>5.5.2 核心管理措施：三维框架的落地实践</w:t>
      </w:r>
      <w:r>
        <w:tab/>
      </w:r>
      <w:r>
        <w:t>63</w:t>
      </w:r>
    </w:p>
    <w:p w14:paraId="498F8791">
      <w:pPr>
        <w:pStyle w:val="15"/>
        <w:tabs>
          <w:tab w:val="right" w:leader="dot" w:pos="8958"/>
          <w:tab w:val="clear" w:pos="8493"/>
        </w:tabs>
      </w:pPr>
      <w:r>
        <w:t>5.5.3 已取得的财务成果</w:t>
      </w:r>
      <w:r>
        <w:tab/>
      </w:r>
      <w:r>
        <w:t>63</w:t>
      </w:r>
    </w:p>
    <w:p w14:paraId="05B7BBB3">
      <w:pPr>
        <w:pStyle w:val="15"/>
        <w:tabs>
          <w:tab w:val="right" w:leader="dot" w:pos="8958"/>
          <w:tab w:val="clear" w:pos="8493"/>
        </w:tabs>
      </w:pPr>
      <w:r>
        <w:t>5.5.4 快速响应的价值量化</w:t>
      </w:r>
      <w:r>
        <w:tab/>
      </w:r>
      <w:r>
        <w:t>64</w:t>
      </w:r>
    </w:p>
    <w:p w14:paraId="2F800004">
      <w:pPr>
        <w:pStyle w:val="15"/>
        <w:tabs>
          <w:tab w:val="right" w:leader="dot" w:pos="8958"/>
          <w:tab w:val="clear" w:pos="8493"/>
        </w:tabs>
      </w:pPr>
      <w:r>
        <w:t>5.5.5 向集团其他医院推广情况</w:t>
      </w:r>
      <w:r>
        <w:tab/>
      </w:r>
      <w:r>
        <w:t>65</w:t>
      </w:r>
    </w:p>
    <w:p w14:paraId="1E935E25">
      <w:pPr>
        <w:pStyle w:val="27"/>
        <w:tabs>
          <w:tab w:val="right" w:leader="dot" w:pos="8958"/>
        </w:tabs>
      </w:pPr>
      <w:r>
        <w:t>5.6 本章小结</w:t>
      </w:r>
      <w:r>
        <w:tab/>
      </w:r>
      <w:r>
        <w:t>65</w:t>
      </w:r>
    </w:p>
    <w:p w14:paraId="27A1046A">
      <w:pPr>
        <w:pStyle w:val="22"/>
        <w:tabs>
          <w:tab w:val="right" w:leader="dot" w:pos="8958"/>
        </w:tabs>
      </w:pPr>
      <w:r>
        <w:rPr>
          <w:rFonts w:eastAsia="黑体"/>
          <w:kern w:val="0"/>
          <w:szCs w:val="32"/>
        </w:rPr>
        <w:fldChar w:fldCharType="begin"/>
      </w:r>
      <w:r>
        <w:rPr>
          <w:rFonts w:eastAsia="黑体"/>
          <w:kern w:val="0"/>
          <w:szCs w:val="32"/>
        </w:rPr>
        <w:instrText xml:space="preserve"> HYPERLINK \l _Toc15808 </w:instrText>
      </w:r>
      <w:r>
        <w:rPr>
          <w:rFonts w:eastAsia="黑体"/>
          <w:kern w:val="0"/>
          <w:szCs w:val="32"/>
        </w:rPr>
        <w:fldChar w:fldCharType="separate"/>
      </w:r>
      <w:r>
        <w:rPr>
          <w:rFonts w:hint="eastAsia"/>
          <w:szCs w:val="32"/>
        </w:rPr>
        <w:t xml:space="preserve">第六章 </w:t>
      </w:r>
      <w:r>
        <w:rPr>
          <w:rFonts w:hint="eastAsia" w:hAnsi="黑体"/>
          <w:szCs w:val="32"/>
        </w:rPr>
        <w:t>管理保障与实施路径</w:t>
      </w:r>
      <w:r>
        <w:tab/>
      </w:r>
      <w:r>
        <w:fldChar w:fldCharType="begin"/>
      </w:r>
      <w:r>
        <w:instrText xml:space="preserve"> PAGEREF _Toc15808 \h </w:instrText>
      </w:r>
      <w:r>
        <w:fldChar w:fldCharType="separate"/>
      </w:r>
      <w:r>
        <w:t>67</w:t>
      </w:r>
      <w:r>
        <w:fldChar w:fldCharType="end"/>
      </w:r>
      <w:r>
        <w:rPr>
          <w:rFonts w:eastAsia="黑体"/>
          <w:kern w:val="0"/>
          <w:szCs w:val="32"/>
        </w:rPr>
        <w:fldChar w:fldCharType="end"/>
      </w:r>
    </w:p>
    <w:p w14:paraId="709A1B2D">
      <w:pPr>
        <w:pStyle w:val="27"/>
        <w:tabs>
          <w:tab w:val="right" w:leader="dot" w:pos="8958"/>
        </w:tabs>
      </w:pPr>
      <w:r>
        <w:t>6.1 组织保障：从“管控中心”到“赋能中心”的转型</w:t>
      </w:r>
      <w:r>
        <w:tab/>
      </w:r>
      <w:r>
        <w:t>67</w:t>
      </w:r>
    </w:p>
    <w:p w14:paraId="4E73D9D3">
      <w:pPr>
        <w:pStyle w:val="15"/>
        <w:tabs>
          <w:tab w:val="right" w:leader="dot" w:pos="8958"/>
          <w:tab w:val="clear" w:pos="8493"/>
        </w:tabs>
      </w:pPr>
      <w:r>
        <w:t>6.1.1 现有组织架构的局限性</w:t>
      </w:r>
      <w:r>
        <w:tab/>
      </w:r>
      <w:r>
        <w:t>67</w:t>
      </w:r>
    </w:p>
    <w:p w14:paraId="2CCD9CC4">
      <w:pPr>
        <w:pStyle w:val="15"/>
        <w:tabs>
          <w:tab w:val="right" w:leader="dot" w:pos="8958"/>
          <w:tab w:val="clear" w:pos="8493"/>
        </w:tabs>
      </w:pPr>
      <w:r>
        <w:t>6.1.2 “赋能中心”转型方案</w:t>
      </w:r>
      <w:r>
        <w:tab/>
      </w:r>
      <w:r>
        <w:t>67</w:t>
      </w:r>
    </w:p>
    <w:p w14:paraId="1ED0C253">
      <w:pPr>
        <w:pStyle w:val="27"/>
        <w:tabs>
          <w:tab w:val="right" w:leader="dot" w:pos="8958"/>
        </w:tabs>
      </w:pPr>
      <w:r>
        <w:t>6.2 激励保障：“RBRVS+DRG盈余留用”复合绩效体系</w:t>
      </w:r>
      <w:r>
        <w:tab/>
      </w:r>
      <w:r>
        <w:t>68</w:t>
      </w:r>
    </w:p>
    <w:p w14:paraId="51DA5049">
      <w:pPr>
        <w:pStyle w:val="15"/>
        <w:tabs>
          <w:tab w:val="right" w:leader="dot" w:pos="8958"/>
          <w:tab w:val="clear" w:pos="8493"/>
        </w:tabs>
      </w:pPr>
      <w:r>
        <w:t>6.2.1 现有绩效体系的问题诊断</w:t>
      </w:r>
      <w:r>
        <w:tab/>
      </w:r>
      <w:r>
        <w:t>68</w:t>
      </w:r>
    </w:p>
    <w:p w14:paraId="1F2829AF">
      <w:pPr>
        <w:pStyle w:val="15"/>
        <w:tabs>
          <w:tab w:val="right" w:leader="dot" w:pos="8958"/>
          <w:tab w:val="clear" w:pos="8493"/>
        </w:tabs>
      </w:pPr>
      <w:r>
        <w:t>6.2.2 "RBRVS+DRG盈余留用复合绩效体系设计</w:t>
      </w:r>
      <w:r>
        <w:tab/>
      </w:r>
      <w:r>
        <w:t>68</w:t>
      </w:r>
    </w:p>
    <w:p w14:paraId="39540AF5">
      <w:pPr>
        <w:pStyle w:val="27"/>
        <w:tabs>
          <w:tab w:val="right" w:leader="dot" w:pos="8958"/>
        </w:tabs>
      </w:pPr>
      <w:r>
        <w:t>6.3 数字化保障：运营透明度提升</w:t>
      </w:r>
      <w:r>
        <w:tab/>
      </w:r>
      <w:r>
        <w:t>71</w:t>
      </w:r>
    </w:p>
    <w:p w14:paraId="5E626B07">
      <w:pPr>
        <w:pStyle w:val="15"/>
        <w:tabs>
          <w:tab w:val="right" w:leader="dot" w:pos="8958"/>
          <w:tab w:val="clear" w:pos="8493"/>
        </w:tabs>
      </w:pPr>
      <w:r>
        <w:t>6.3.1 数字化平台建设建议</w:t>
      </w:r>
      <w:r>
        <w:tab/>
      </w:r>
      <w:r>
        <w:t>71</w:t>
      </w:r>
    </w:p>
    <w:p w14:paraId="0A05482D">
      <w:pPr>
        <w:pStyle w:val="27"/>
        <w:tabs>
          <w:tab w:val="right" w:leader="dot" w:pos="8958"/>
        </w:tabs>
      </w:pPr>
      <w:r>
        <w:t>6.4 运营透明度与PE估值修复</w:t>
      </w:r>
      <w:r>
        <w:tab/>
      </w:r>
      <w:r>
        <w:t>72</w:t>
      </w:r>
    </w:p>
    <w:p w14:paraId="6A01B39C">
      <w:pPr>
        <w:pStyle w:val="27"/>
        <w:tabs>
          <w:tab w:val="right" w:leader="dot" w:pos="8958"/>
        </w:tabs>
      </w:pPr>
      <w:r>
        <w:t>6.5 实施路径与阶段性落地成果</w:t>
      </w:r>
      <w:r>
        <w:tab/>
      </w:r>
      <w:r>
        <w:t>73</w:t>
      </w:r>
    </w:p>
    <w:p w14:paraId="403CA599">
      <w:pPr>
        <w:pStyle w:val="15"/>
        <w:tabs>
          <w:tab w:val="right" w:leader="dot" w:pos="8958"/>
          <w:tab w:val="clear" w:pos="8493"/>
        </w:tabs>
      </w:pPr>
      <w:r>
        <w:t>6.5.1 三阶段推进设计</w:t>
      </w:r>
      <w:r>
        <w:tab/>
      </w:r>
      <w:r>
        <w:t>73</w:t>
      </w:r>
    </w:p>
    <w:p w14:paraId="63585782">
      <w:pPr>
        <w:pStyle w:val="15"/>
        <w:tabs>
          <w:tab w:val="right" w:leader="dot" w:pos="8958"/>
          <w:tab w:val="clear" w:pos="8493"/>
        </w:tabs>
      </w:pPr>
      <w:r>
        <w:t>6.5.2 阶段性落地成果验证</w:t>
      </w:r>
      <w:r>
        <w:tab/>
      </w:r>
      <w:r>
        <w:t>74</w:t>
      </w:r>
    </w:p>
    <w:p w14:paraId="469D7DF8">
      <w:pPr>
        <w:pStyle w:val="27"/>
        <w:tabs>
          <w:tab w:val="right" w:leader="dot" w:pos="8958"/>
        </w:tabs>
      </w:pPr>
      <w:r>
        <w:t>6.6 本章小结</w:t>
      </w:r>
      <w:r>
        <w:tab/>
      </w:r>
      <w:r>
        <w:t>74</w:t>
      </w:r>
    </w:p>
    <w:p w14:paraId="7E8ABD51">
      <w:pPr>
        <w:pStyle w:val="22"/>
        <w:tabs>
          <w:tab w:val="right" w:leader="dot" w:pos="8958"/>
        </w:tabs>
      </w:pPr>
      <w:r>
        <w:rPr>
          <w:rFonts w:eastAsia="黑体"/>
          <w:kern w:val="0"/>
          <w:szCs w:val="32"/>
        </w:rPr>
        <w:fldChar w:fldCharType="begin"/>
      </w:r>
      <w:r>
        <w:rPr>
          <w:rFonts w:eastAsia="黑体"/>
          <w:kern w:val="0"/>
          <w:szCs w:val="32"/>
        </w:rPr>
        <w:instrText xml:space="preserve"> HYPERLINK \l _Toc10515 </w:instrText>
      </w:r>
      <w:r>
        <w:rPr>
          <w:rFonts w:eastAsia="黑体"/>
          <w:kern w:val="0"/>
          <w:szCs w:val="32"/>
        </w:rPr>
        <w:fldChar w:fldCharType="separate"/>
      </w:r>
      <w:r>
        <w:rPr>
          <w:rFonts w:hint="eastAsia"/>
          <w:lang w:val="en-US" w:eastAsia="en-US"/>
        </w:rPr>
        <w:t>第七章 结论与展望</w:t>
      </w:r>
      <w:r>
        <w:tab/>
      </w:r>
      <w:r>
        <w:fldChar w:fldCharType="begin"/>
      </w:r>
      <w:r>
        <w:instrText xml:space="preserve"> PAGEREF _Toc10515 \h </w:instrText>
      </w:r>
      <w:r>
        <w:fldChar w:fldCharType="separate"/>
      </w:r>
      <w:r>
        <w:t>76</w:t>
      </w:r>
      <w:r>
        <w:fldChar w:fldCharType="end"/>
      </w:r>
      <w:r>
        <w:rPr>
          <w:rFonts w:eastAsia="黑体"/>
          <w:kern w:val="0"/>
          <w:szCs w:val="32"/>
        </w:rPr>
        <w:fldChar w:fldCharType="end"/>
      </w:r>
    </w:p>
    <w:p w14:paraId="3C41ACBB">
      <w:pPr>
        <w:pStyle w:val="27"/>
        <w:tabs>
          <w:tab w:val="right" w:leader="dot" w:pos="8958"/>
        </w:tabs>
      </w:pPr>
      <w:r>
        <w:t>7.1 研究结论</w:t>
      </w:r>
      <w:r>
        <w:tab/>
      </w:r>
      <w:r>
        <w:t>76</w:t>
      </w:r>
    </w:p>
    <w:p w14:paraId="4352A456">
      <w:pPr>
        <w:pStyle w:val="15"/>
        <w:tabs>
          <w:tab w:val="right" w:leader="dot" w:pos="8958"/>
          <w:tab w:val="clear" w:pos="8493"/>
        </w:tabs>
      </w:pPr>
      <w:r>
        <w:t>7.1.1 核心发现一：CMI阈值效应与U型曲线</w:t>
      </w:r>
      <w:r>
        <w:tab/>
      </w:r>
      <w:r>
        <w:t>76</w:t>
      </w:r>
    </w:p>
    <w:p w14:paraId="1F0FE522">
      <w:pPr>
        <w:pStyle w:val="15"/>
        <w:tabs>
          <w:tab w:val="right" w:leader="dot" w:pos="8958"/>
          <w:tab w:val="clear" w:pos="8493"/>
        </w:tabs>
      </w:pPr>
      <w:r>
        <w:t>7.1.2 核心发现二：供应链“蓄水池”效应的双刃性</w:t>
      </w:r>
      <w:r>
        <w:tab/>
      </w:r>
      <w:r>
        <w:t>77</w:t>
      </w:r>
    </w:p>
    <w:p w14:paraId="26DE8A94">
      <w:pPr>
        <w:pStyle w:val="15"/>
        <w:tabs>
          <w:tab w:val="right" w:leader="dot" w:pos="8958"/>
          <w:tab w:val="clear" w:pos="8493"/>
        </w:tabs>
      </w:pPr>
      <w:r>
        <w:t>7.1.3 核心发现三：管理能力决定改革命运</w:t>
      </w:r>
      <w:r>
        <w:tab/>
      </w:r>
      <w:r>
        <w:t>77</w:t>
      </w:r>
    </w:p>
    <w:p w14:paraId="5384C118">
      <w:pPr>
        <w:pStyle w:val="27"/>
        <w:tabs>
          <w:tab w:val="right" w:leader="dot" w:pos="8958"/>
        </w:tabs>
      </w:pPr>
      <w:r>
        <w:t>7.2 管理启示</w:t>
      </w:r>
      <w:r>
        <w:tab/>
      </w:r>
      <w:r>
        <w:t>78</w:t>
      </w:r>
    </w:p>
    <w:p w14:paraId="3D8A6160">
      <w:pPr>
        <w:pStyle w:val="15"/>
        <w:tabs>
          <w:tab w:val="right" w:leader="dot" w:pos="8958"/>
          <w:tab w:val="clear" w:pos="8493"/>
        </w:tabs>
      </w:pPr>
      <w:r>
        <w:t>7.2.1 从“规模扩张”到“价值运营”的范式转换</w:t>
      </w:r>
      <w:r>
        <w:tab/>
      </w:r>
      <w:r>
        <w:t>78</w:t>
      </w:r>
    </w:p>
    <w:p w14:paraId="640A1105">
      <w:pPr>
        <w:pStyle w:val="15"/>
        <w:tabs>
          <w:tab w:val="right" w:leader="dot" w:pos="8958"/>
          <w:tab w:val="clear" w:pos="8493"/>
        </w:tabs>
      </w:pPr>
      <w:r>
        <w:t>7.2.2 公司治理视角的估值修复</w:t>
      </w:r>
      <w:r>
        <w:tab/>
      </w:r>
      <w:r>
        <w:t>78</w:t>
      </w:r>
    </w:p>
    <w:p w14:paraId="725960DC">
      <w:pPr>
        <w:pStyle w:val="15"/>
        <w:tabs>
          <w:tab w:val="right" w:leader="dot" w:pos="8958"/>
          <w:tab w:val="clear" w:pos="8493"/>
        </w:tabs>
      </w:pPr>
      <w:r>
        <w:t>7.2.3 对行业政策的启示</w:t>
      </w:r>
      <w:r>
        <w:tab/>
      </w:r>
      <w:r>
        <w:t>79</w:t>
      </w:r>
    </w:p>
    <w:p w14:paraId="5DAE3816">
      <w:pPr>
        <w:pStyle w:val="27"/>
        <w:tabs>
          <w:tab w:val="right" w:leader="dot" w:pos="8958"/>
        </w:tabs>
      </w:pPr>
      <w:r>
        <w:t>7.3 研究贡献</w:t>
      </w:r>
      <w:r>
        <w:tab/>
      </w:r>
      <w:r>
        <w:t>79</w:t>
      </w:r>
    </w:p>
    <w:p w14:paraId="07070126">
      <w:pPr>
        <w:pStyle w:val="15"/>
        <w:tabs>
          <w:tab w:val="right" w:leader="dot" w:pos="8958"/>
          <w:tab w:val="clear" w:pos="8493"/>
        </w:tabs>
      </w:pPr>
      <w:r>
        <w:t>7.3.1 理论贡献</w:t>
      </w:r>
      <w:r>
        <w:tab/>
      </w:r>
      <w:r>
        <w:t>79</w:t>
      </w:r>
    </w:p>
    <w:p w14:paraId="0AD58EF2">
      <w:pPr>
        <w:pStyle w:val="15"/>
        <w:tabs>
          <w:tab w:val="right" w:leader="dot" w:pos="8958"/>
          <w:tab w:val="clear" w:pos="8493"/>
        </w:tabs>
      </w:pPr>
      <w:r>
        <w:t>7.3.2 实践贡献</w:t>
      </w:r>
      <w:r>
        <w:tab/>
      </w:r>
      <w:r>
        <w:t>79</w:t>
      </w:r>
    </w:p>
    <w:p w14:paraId="086A4DC3">
      <w:pPr>
        <w:pStyle w:val="27"/>
        <w:tabs>
          <w:tab w:val="right" w:leader="dot" w:pos="8958"/>
        </w:tabs>
      </w:pPr>
      <w:r>
        <w:t>7.4 研究局限性</w:t>
      </w:r>
      <w:r>
        <w:tab/>
      </w:r>
      <w:r>
        <w:t>80</w:t>
      </w:r>
    </w:p>
    <w:p w14:paraId="2FFC61DA">
      <w:pPr>
        <w:pStyle w:val="27"/>
        <w:tabs>
          <w:tab w:val="right" w:leader="dot" w:pos="8958"/>
        </w:tabs>
      </w:pPr>
      <w:r>
        <w:t>7.5 未来研究展望</w:t>
      </w:r>
      <w:r>
        <w:tab/>
      </w:r>
      <w:r>
        <w:t>80</w:t>
      </w:r>
    </w:p>
    <w:p w14:paraId="01B5B2C7">
      <w:pPr>
        <w:pStyle w:val="15"/>
        <w:tabs>
          <w:tab w:val="right" w:leader="dot" w:pos="8958"/>
          <w:tab w:val="clear" w:pos="8493"/>
        </w:tabs>
      </w:pPr>
      <w:r>
        <w:t>7.5.1 AI智能审计对医保合规的深远影响</w:t>
      </w:r>
      <w:r>
        <w:tab/>
      </w:r>
      <w:r>
        <w:t>80</w:t>
      </w:r>
    </w:p>
    <w:p w14:paraId="7002C895">
      <w:pPr>
        <w:pStyle w:val="15"/>
        <w:tabs>
          <w:tab w:val="right" w:leader="dot" w:pos="8958"/>
          <w:tab w:val="clear" w:pos="8493"/>
        </w:tabs>
      </w:pPr>
      <w:r>
        <w:t>7.5.2 DRG/DIP 2.0版的深化效应</w:t>
      </w:r>
      <w:r>
        <w:tab/>
      </w:r>
      <w:r>
        <w:t>81</w:t>
      </w:r>
    </w:p>
    <w:p w14:paraId="57B11B5F">
      <w:pPr>
        <w:pStyle w:val="15"/>
        <w:tabs>
          <w:tab w:val="right" w:leader="dot" w:pos="8958"/>
          <w:tab w:val="clear" w:pos="8493"/>
        </w:tabs>
      </w:pPr>
      <w:r>
        <w:t>7.5.3 集团化非公医疗的可持续发展模式</w:t>
      </w:r>
      <w:r>
        <w:tab/>
      </w:r>
      <w:r>
        <w:t>81</w:t>
      </w:r>
    </w:p>
    <w:p w14:paraId="22188AAB">
      <w:pPr>
        <w:pStyle w:val="27"/>
        <w:tabs>
          <w:tab w:val="right" w:leader="dot" w:pos="8958"/>
        </w:tabs>
      </w:pPr>
      <w:r>
        <w:t>7.6 结语</w:t>
      </w:r>
      <w:r>
        <w:tab/>
      </w:r>
      <w:r>
        <w:t>81</w:t>
      </w:r>
    </w:p>
    <w:p w14:paraId="41C465A8">
      <w:pPr>
        <w:pStyle w:val="22"/>
        <w:tabs>
          <w:tab w:val="right" w:leader="dot" w:pos="8958"/>
        </w:tabs>
      </w:pPr>
      <w:r>
        <w:rPr>
          <w:rFonts w:eastAsia="黑体"/>
          <w:kern w:val="0"/>
          <w:szCs w:val="32"/>
        </w:rPr>
        <w:fldChar w:fldCharType="begin"/>
      </w:r>
      <w:r>
        <w:rPr>
          <w:rFonts w:eastAsia="黑体"/>
          <w:kern w:val="0"/>
          <w:szCs w:val="32"/>
        </w:rPr>
        <w:instrText xml:space="preserve"> HYPERLINK \l _Toc16607 </w:instrText>
      </w:r>
      <w:r>
        <w:rPr>
          <w:rFonts w:eastAsia="黑体"/>
          <w:kern w:val="0"/>
          <w:szCs w:val="32"/>
        </w:rPr>
        <w:fldChar w:fldCharType="separate"/>
      </w:r>
      <w:r>
        <w:rPr>
          <w:rFonts w:hint="eastAsia"/>
          <w:lang w:eastAsia="en-US"/>
        </w:rPr>
        <w:t>第八章 参考文献</w:t>
      </w:r>
      <w:r>
        <w:tab/>
      </w:r>
      <w:r>
        <w:fldChar w:fldCharType="begin"/>
      </w:r>
      <w:r>
        <w:instrText xml:space="preserve"> PAGEREF _Toc16607 \h </w:instrText>
      </w:r>
      <w:r>
        <w:fldChar w:fldCharType="separate"/>
      </w:r>
      <w:r>
        <w:t>82</w:t>
      </w:r>
      <w:r>
        <w:fldChar w:fldCharType="end"/>
      </w:r>
      <w:r>
        <w:rPr>
          <w:rFonts w:eastAsia="黑体"/>
          <w:kern w:val="0"/>
          <w:szCs w:val="32"/>
        </w:rPr>
        <w:fldChar w:fldCharType="end"/>
      </w:r>
    </w:p>
    <w:p w14:paraId="1181F65A">
      <w:pPr>
        <w:pStyle w:val="22"/>
        <w:tabs>
          <w:tab w:val="right" w:leader="dot" w:pos="8958"/>
        </w:tabs>
      </w:pPr>
      <w:r>
        <w:rPr>
          <w:rFonts w:eastAsia="黑体"/>
          <w:kern w:val="0"/>
          <w:szCs w:val="32"/>
        </w:rPr>
        <w:fldChar w:fldCharType="begin"/>
      </w:r>
      <w:r>
        <w:rPr>
          <w:rFonts w:eastAsia="黑体"/>
          <w:kern w:val="0"/>
          <w:szCs w:val="32"/>
        </w:rPr>
        <w:instrText xml:space="preserve"> HYPERLINK \l _Toc4379 </w:instrText>
      </w:r>
      <w:r>
        <w:rPr>
          <w:rFonts w:eastAsia="黑体"/>
          <w:kern w:val="0"/>
          <w:szCs w:val="32"/>
        </w:rPr>
        <w:fldChar w:fldCharType="separate"/>
      </w:r>
      <w:r>
        <w:rPr>
          <w:rFonts w:hint="eastAsia"/>
          <w:lang w:val="en-US" w:eastAsia="en-US"/>
        </w:rPr>
        <w:t xml:space="preserve">第九章 附录  </w:t>
      </w:r>
      <w:r>
        <w:rPr>
          <w:rFonts w:hint="eastAsia"/>
          <w:lang w:val="en-US" w:eastAsia="zh-CN"/>
        </w:rPr>
        <w:t>A医疗集团</w:t>
      </w:r>
      <w:r>
        <w:rPr>
          <w:rFonts w:hint="eastAsia"/>
          <w:lang w:val="en-US" w:eastAsia="en-US"/>
        </w:rPr>
        <w:t>医疗收入质量优化方案可行性访谈问卷</w:t>
      </w:r>
      <w:r>
        <w:tab/>
      </w:r>
      <w:r>
        <w:fldChar w:fldCharType="begin"/>
      </w:r>
      <w:r>
        <w:instrText xml:space="preserve"> PAGEREF _Toc4379 \h </w:instrText>
      </w:r>
      <w:r>
        <w:fldChar w:fldCharType="separate"/>
      </w:r>
      <w:r>
        <w:t>85</w:t>
      </w:r>
      <w:r>
        <w:fldChar w:fldCharType="end"/>
      </w:r>
      <w:r>
        <w:rPr>
          <w:rFonts w:eastAsia="黑体"/>
          <w:kern w:val="0"/>
          <w:szCs w:val="32"/>
        </w:rPr>
        <w:fldChar w:fldCharType="end"/>
      </w:r>
    </w:p>
    <w:p w14:paraId="1582D64D">
      <w:pPr>
        <w:pStyle w:val="27"/>
        <w:tabs>
          <w:tab w:val="right" w:leader="dot" w:pos="8958"/>
        </w:tabs>
      </w:pPr>
      <w:r>
        <w:rPr>
          <w:rFonts w:eastAsia="黑体"/>
          <w:kern w:val="0"/>
          <w:szCs w:val="32"/>
        </w:rPr>
        <w:fldChar w:fldCharType="begin"/>
      </w:r>
      <w:r>
        <w:rPr>
          <w:rFonts w:eastAsia="黑体"/>
          <w:kern w:val="0"/>
          <w:szCs w:val="32"/>
        </w:rPr>
        <w:instrText xml:space="preserve"> HYPERLINK \l _Toc15155 </w:instrText>
      </w:r>
      <w:r>
        <w:rPr>
          <w:rFonts w:eastAsia="黑体"/>
          <w:kern w:val="0"/>
          <w:szCs w:val="32"/>
        </w:rPr>
        <w:fldChar w:fldCharType="separate"/>
      </w:r>
      <w:r>
        <w:rPr>
          <w:rFonts w:hint="eastAsia" w:ascii="TNR" w:hAnsi="TNR" w:eastAsia="黑体" w:cs="Times New Roman"/>
          <w:bCs/>
          <w:i w:val="0"/>
          <w:szCs w:val="26"/>
          <w:lang w:val="en-US" w:eastAsia="en-US" w:bidi="ar-SA"/>
        </w:rPr>
        <w:t>一、访谈目的</w:t>
      </w:r>
      <w:r>
        <w:tab/>
      </w:r>
      <w:r>
        <w:fldChar w:fldCharType="begin"/>
      </w:r>
      <w:r>
        <w:instrText xml:space="preserve"> PAGEREF _Toc15155 \h </w:instrText>
      </w:r>
      <w:r>
        <w:fldChar w:fldCharType="separate"/>
      </w:r>
      <w:r>
        <w:t>85</w:t>
      </w:r>
      <w:r>
        <w:fldChar w:fldCharType="end"/>
      </w:r>
      <w:r>
        <w:rPr>
          <w:rFonts w:eastAsia="黑体"/>
          <w:kern w:val="0"/>
          <w:szCs w:val="32"/>
        </w:rPr>
        <w:fldChar w:fldCharType="end"/>
      </w:r>
    </w:p>
    <w:p w14:paraId="28239D80">
      <w:pPr>
        <w:pStyle w:val="27"/>
        <w:tabs>
          <w:tab w:val="right" w:leader="dot" w:pos="8958"/>
        </w:tabs>
      </w:pPr>
      <w:r>
        <w:rPr>
          <w:rFonts w:eastAsia="黑体"/>
          <w:kern w:val="0"/>
          <w:szCs w:val="32"/>
        </w:rPr>
        <w:fldChar w:fldCharType="begin"/>
      </w:r>
      <w:r>
        <w:rPr>
          <w:rFonts w:eastAsia="黑体"/>
          <w:kern w:val="0"/>
          <w:szCs w:val="32"/>
        </w:rPr>
        <w:instrText xml:space="preserve"> HYPERLINK \l _Toc11318 </w:instrText>
      </w:r>
      <w:r>
        <w:rPr>
          <w:rFonts w:eastAsia="黑体"/>
          <w:kern w:val="0"/>
          <w:szCs w:val="32"/>
        </w:rPr>
        <w:fldChar w:fldCharType="separate"/>
      </w:r>
      <w:r>
        <w:rPr>
          <w:rFonts w:hint="eastAsia" w:ascii="TNR" w:hAnsi="TNR" w:eastAsia="黑体" w:cs="Times New Roman"/>
          <w:bCs/>
          <w:i w:val="0"/>
          <w:szCs w:val="26"/>
          <w:lang w:val="en-US" w:eastAsia="en-US" w:bidi="ar-SA"/>
        </w:rPr>
        <w:t>二、访谈对象（</w:t>
      </w:r>
      <w:r>
        <w:rPr>
          <w:rFonts w:hint="default" w:ascii="Times New Roman" w:hAnsi="Times New Roman" w:eastAsia="黑体" w:cs="Times New Roman"/>
          <w:bCs/>
          <w:i w:val="0"/>
          <w:szCs w:val="26"/>
          <w:lang w:val="en-US" w:eastAsia="zh-CN" w:bidi="ar-SA"/>
        </w:rPr>
        <w:t>15</w:t>
      </w:r>
      <w:r>
        <w:rPr>
          <w:rFonts w:hint="eastAsia" w:ascii="TNR" w:hAnsi="TNR" w:eastAsia="黑体" w:cs="Times New Roman"/>
          <w:bCs/>
          <w:i w:val="0"/>
          <w:szCs w:val="26"/>
          <w:lang w:val="en-US" w:eastAsia="en-US" w:bidi="ar-SA"/>
        </w:rPr>
        <w:t>人）</w:t>
      </w:r>
      <w:r>
        <w:tab/>
      </w:r>
      <w:r>
        <w:fldChar w:fldCharType="begin"/>
      </w:r>
      <w:r>
        <w:instrText xml:space="preserve"> PAGEREF _Toc11318 \h </w:instrText>
      </w:r>
      <w:r>
        <w:fldChar w:fldCharType="separate"/>
      </w:r>
      <w:r>
        <w:t>85</w:t>
      </w:r>
      <w:r>
        <w:fldChar w:fldCharType="end"/>
      </w:r>
      <w:r>
        <w:rPr>
          <w:rFonts w:eastAsia="黑体"/>
          <w:kern w:val="0"/>
          <w:szCs w:val="32"/>
        </w:rPr>
        <w:fldChar w:fldCharType="end"/>
      </w:r>
    </w:p>
    <w:p w14:paraId="4D7EF5DD">
      <w:pPr>
        <w:pStyle w:val="27"/>
        <w:tabs>
          <w:tab w:val="right" w:leader="dot" w:pos="8958"/>
        </w:tabs>
      </w:pPr>
      <w:r>
        <w:rPr>
          <w:rFonts w:eastAsia="黑体"/>
          <w:kern w:val="0"/>
          <w:szCs w:val="32"/>
        </w:rPr>
        <w:fldChar w:fldCharType="begin"/>
      </w:r>
      <w:r>
        <w:rPr>
          <w:rFonts w:eastAsia="黑体"/>
          <w:kern w:val="0"/>
          <w:szCs w:val="32"/>
        </w:rPr>
        <w:instrText xml:space="preserve"> HYPERLINK \l _Toc3129 </w:instrText>
      </w:r>
      <w:r>
        <w:rPr>
          <w:rFonts w:eastAsia="黑体"/>
          <w:kern w:val="0"/>
          <w:szCs w:val="32"/>
        </w:rPr>
        <w:fldChar w:fldCharType="separate"/>
      </w:r>
      <w:r>
        <w:rPr>
          <w:rFonts w:hint="eastAsia" w:ascii="TNR" w:hAnsi="TNR" w:eastAsia="黑体" w:cs="Times New Roman"/>
          <w:bCs/>
          <w:i w:val="0"/>
          <w:szCs w:val="26"/>
          <w:lang w:val="en-US" w:eastAsia="en-US" w:bidi="ar-SA"/>
        </w:rPr>
        <w:t>三、访谈问卷（科主任版）</w:t>
      </w:r>
      <w:r>
        <w:tab/>
      </w:r>
      <w:r>
        <w:fldChar w:fldCharType="begin"/>
      </w:r>
      <w:r>
        <w:instrText xml:space="preserve"> PAGEREF _Toc3129 \h </w:instrText>
      </w:r>
      <w:r>
        <w:fldChar w:fldCharType="separate"/>
      </w:r>
      <w:r>
        <w:t>85</w:t>
      </w:r>
      <w:r>
        <w:fldChar w:fldCharType="end"/>
      </w:r>
      <w:r>
        <w:rPr>
          <w:rFonts w:eastAsia="黑体"/>
          <w:kern w:val="0"/>
          <w:szCs w:val="32"/>
        </w:rPr>
        <w:fldChar w:fldCharType="end"/>
      </w:r>
    </w:p>
    <w:p w14:paraId="1CF148FE">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_Toc4151 </w:instrText>
      </w:r>
      <w:r>
        <w:rPr>
          <w:rFonts w:eastAsia="黑体"/>
          <w:kern w:val="0"/>
          <w:szCs w:val="32"/>
        </w:rPr>
        <w:fldChar w:fldCharType="separate"/>
      </w:r>
      <w:r>
        <w:rPr>
          <w:rFonts w:hint="eastAsia" w:ascii="TNR" w:hAnsi="TNR" w:eastAsia="黑体" w:cs="Times New Roman"/>
          <w:bCs/>
          <w:i w:val="0"/>
          <w:szCs w:val="22"/>
          <w:lang w:val="en-US" w:eastAsia="en-US" w:bidi="ar-SA"/>
        </w:rPr>
        <w:t>第一部分：基本信息</w:t>
      </w:r>
      <w:r>
        <w:tab/>
      </w:r>
      <w:r>
        <w:fldChar w:fldCharType="begin"/>
      </w:r>
      <w:r>
        <w:instrText xml:space="preserve"> PAGEREF _Toc4151 \h </w:instrText>
      </w:r>
      <w:r>
        <w:fldChar w:fldCharType="separate"/>
      </w:r>
      <w:r>
        <w:t>85</w:t>
      </w:r>
      <w:r>
        <w:fldChar w:fldCharType="end"/>
      </w:r>
      <w:r>
        <w:rPr>
          <w:rFonts w:eastAsia="黑体"/>
          <w:kern w:val="0"/>
          <w:szCs w:val="32"/>
        </w:rPr>
        <w:fldChar w:fldCharType="end"/>
      </w:r>
    </w:p>
    <w:p w14:paraId="3C743EA9">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_Toc8344 </w:instrText>
      </w:r>
      <w:r>
        <w:rPr>
          <w:rFonts w:eastAsia="黑体"/>
          <w:kern w:val="0"/>
          <w:szCs w:val="32"/>
        </w:rPr>
        <w:fldChar w:fldCharType="separate"/>
      </w:r>
      <w:r>
        <w:rPr>
          <w:rFonts w:hint="eastAsia" w:ascii="TNR" w:hAnsi="TNR" w:eastAsia="黑体" w:cs="Times New Roman"/>
          <w:bCs/>
          <w:i w:val="0"/>
          <w:szCs w:val="22"/>
          <w:lang w:val="en-US" w:eastAsia="en-US" w:bidi="ar-SA"/>
        </w:rPr>
        <w:t>第二部分：现状</w:t>
      </w:r>
      <w:r>
        <w:rPr>
          <w:rFonts w:hint="eastAsia" w:ascii="TNR" w:hAnsi="TNR" w:eastAsia="黑体" w:cs="Times New Roman"/>
          <w:bCs/>
          <w:i w:val="0"/>
          <w:kern w:val="2"/>
          <w:szCs w:val="22"/>
          <w:lang w:val="en-US" w:eastAsia="en-US" w:bidi="ar-SA"/>
        </w:rPr>
        <w:t>认知（约</w:t>
      </w:r>
      <w:r>
        <w:rPr>
          <w:rFonts w:hint="eastAsia" w:ascii="Times New Roman" w:hAnsi="Times New Roman" w:eastAsia="黑体" w:cs="Times New Roman"/>
          <w:bCs/>
          <w:i w:val="0"/>
          <w:szCs w:val="26"/>
          <w:lang w:val="en-US" w:eastAsia="en-US" w:bidi="ar-SA"/>
        </w:rPr>
        <w:t>5</w:t>
      </w:r>
      <w:r>
        <w:rPr>
          <w:rFonts w:hint="eastAsia" w:ascii="TNR" w:hAnsi="TNR" w:eastAsia="黑体" w:cs="Times New Roman"/>
          <w:bCs/>
          <w:i w:val="0"/>
          <w:kern w:val="2"/>
          <w:szCs w:val="22"/>
          <w:lang w:val="en-US" w:eastAsia="en-US" w:bidi="ar-SA"/>
        </w:rPr>
        <w:t>分钟）</w:t>
      </w:r>
      <w:r>
        <w:tab/>
      </w:r>
      <w:r>
        <w:fldChar w:fldCharType="begin"/>
      </w:r>
      <w:r>
        <w:instrText xml:space="preserve"> PAGEREF _Toc8344 \h </w:instrText>
      </w:r>
      <w:r>
        <w:fldChar w:fldCharType="separate"/>
      </w:r>
      <w:r>
        <w:t>86</w:t>
      </w:r>
      <w:r>
        <w:fldChar w:fldCharType="end"/>
      </w:r>
      <w:r>
        <w:rPr>
          <w:rFonts w:eastAsia="黑体"/>
          <w:kern w:val="0"/>
          <w:szCs w:val="32"/>
        </w:rPr>
        <w:fldChar w:fldCharType="end"/>
      </w:r>
    </w:p>
    <w:p w14:paraId="199CDCE0">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_Toc16663 </w:instrText>
      </w:r>
      <w:r>
        <w:rPr>
          <w:rFonts w:eastAsia="黑体"/>
          <w:kern w:val="0"/>
          <w:szCs w:val="32"/>
        </w:rPr>
        <w:fldChar w:fldCharType="separate"/>
      </w:r>
      <w:r>
        <w:rPr>
          <w:rFonts w:hint="eastAsia" w:ascii="TNR" w:hAnsi="TNR" w:eastAsia="黑体" w:cs="Times New Roman"/>
          <w:bCs/>
          <w:i w:val="0"/>
          <w:szCs w:val="22"/>
          <w:lang w:val="en-US" w:eastAsia="en-US" w:bidi="ar-SA"/>
        </w:rPr>
        <w:t>第三部分：盈余留用机制（核心问题，约</w:t>
      </w:r>
      <w:r>
        <w:rPr>
          <w:rFonts w:hint="eastAsia" w:ascii="Times New Roman" w:hAnsi="Times New Roman" w:eastAsia="黑体" w:cs="Times New Roman"/>
          <w:bCs/>
          <w:i w:val="0"/>
          <w:szCs w:val="26"/>
          <w:lang w:val="en-US" w:eastAsia="en-US" w:bidi="ar-SA"/>
        </w:rPr>
        <w:t>10</w:t>
      </w:r>
      <w:r>
        <w:rPr>
          <w:rFonts w:hint="eastAsia" w:ascii="TNR" w:hAnsi="TNR" w:eastAsia="黑体" w:cs="Times New Roman"/>
          <w:bCs/>
          <w:i w:val="0"/>
          <w:szCs w:val="22"/>
          <w:lang w:val="en-US" w:eastAsia="en-US" w:bidi="ar-SA"/>
        </w:rPr>
        <w:t>分钟）</w:t>
      </w:r>
      <w:r>
        <w:tab/>
      </w:r>
      <w:r>
        <w:fldChar w:fldCharType="begin"/>
      </w:r>
      <w:r>
        <w:instrText xml:space="preserve"> PAGEREF _Toc16663 \h </w:instrText>
      </w:r>
      <w:r>
        <w:fldChar w:fldCharType="separate"/>
      </w:r>
      <w:r>
        <w:t>86</w:t>
      </w:r>
      <w:r>
        <w:fldChar w:fldCharType="end"/>
      </w:r>
      <w:r>
        <w:rPr>
          <w:rFonts w:eastAsia="黑体"/>
          <w:kern w:val="0"/>
          <w:szCs w:val="32"/>
        </w:rPr>
        <w:fldChar w:fldCharType="end"/>
      </w:r>
    </w:p>
    <w:p w14:paraId="2B78A98E">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_Toc13988 </w:instrText>
      </w:r>
      <w:r>
        <w:rPr>
          <w:rFonts w:eastAsia="黑体"/>
          <w:kern w:val="0"/>
          <w:szCs w:val="32"/>
        </w:rPr>
        <w:fldChar w:fldCharType="separate"/>
      </w:r>
      <w:r>
        <w:rPr>
          <w:rFonts w:hint="eastAsia" w:ascii="TNR" w:hAnsi="TNR" w:eastAsia="黑体" w:cs="Times New Roman"/>
          <w:bCs/>
          <w:i w:val="0"/>
          <w:szCs w:val="22"/>
          <w:lang w:val="en-US" w:eastAsia="en-US" w:bidi="ar-SA"/>
        </w:rPr>
        <w:t>第四部分：高倍率病例分类治理（约</w:t>
      </w:r>
      <w:r>
        <w:rPr>
          <w:rFonts w:hint="eastAsia" w:ascii="Times New Roman" w:hAnsi="Times New Roman" w:eastAsia="黑体" w:cs="Times New Roman"/>
          <w:bCs/>
          <w:i w:val="0"/>
          <w:szCs w:val="26"/>
          <w:lang w:val="en-US" w:eastAsia="en-US" w:bidi="ar-SA"/>
        </w:rPr>
        <w:t>8</w:t>
      </w:r>
      <w:r>
        <w:rPr>
          <w:rFonts w:hint="eastAsia" w:ascii="TNR" w:hAnsi="TNR" w:eastAsia="黑体" w:cs="Times New Roman"/>
          <w:bCs/>
          <w:i w:val="0"/>
          <w:szCs w:val="22"/>
          <w:lang w:val="en-US" w:eastAsia="en-US" w:bidi="ar-SA"/>
        </w:rPr>
        <w:t>分钟）</w:t>
      </w:r>
      <w:r>
        <w:tab/>
      </w:r>
      <w:r>
        <w:fldChar w:fldCharType="begin"/>
      </w:r>
      <w:r>
        <w:instrText xml:space="preserve"> PAGEREF _Toc13988 \h </w:instrText>
      </w:r>
      <w:r>
        <w:fldChar w:fldCharType="separate"/>
      </w:r>
      <w:r>
        <w:t>87</w:t>
      </w:r>
      <w:r>
        <w:fldChar w:fldCharType="end"/>
      </w:r>
      <w:r>
        <w:rPr>
          <w:rFonts w:eastAsia="黑体"/>
          <w:kern w:val="0"/>
          <w:szCs w:val="32"/>
        </w:rPr>
        <w:fldChar w:fldCharType="end"/>
      </w:r>
    </w:p>
    <w:p w14:paraId="09F2D7B2">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_Toc11537 </w:instrText>
      </w:r>
      <w:r>
        <w:rPr>
          <w:rFonts w:eastAsia="黑体"/>
          <w:kern w:val="0"/>
          <w:szCs w:val="32"/>
        </w:rPr>
        <w:fldChar w:fldCharType="separate"/>
      </w:r>
      <w:r>
        <w:rPr>
          <w:rFonts w:hint="eastAsia" w:ascii="TNR" w:hAnsi="TNR" w:eastAsia="黑体" w:cs="Times New Roman"/>
          <w:bCs/>
          <w:i w:val="0"/>
          <w:szCs w:val="22"/>
          <w:lang w:val="en-US" w:eastAsia="en-US" w:bidi="ar-SA"/>
        </w:rPr>
        <w:t>第五部分：学科画像与资源配置（约</w:t>
      </w:r>
      <w:r>
        <w:rPr>
          <w:rFonts w:hint="eastAsia" w:ascii="Times New Roman" w:hAnsi="Times New Roman" w:eastAsia="黑体" w:cs="Times New Roman"/>
          <w:bCs/>
          <w:i w:val="0"/>
          <w:szCs w:val="26"/>
          <w:lang w:val="en-US" w:eastAsia="en-US" w:bidi="ar-SA"/>
        </w:rPr>
        <w:t>5</w:t>
      </w:r>
      <w:r>
        <w:rPr>
          <w:rFonts w:hint="eastAsia" w:ascii="TNR" w:hAnsi="TNR" w:eastAsia="黑体" w:cs="Times New Roman"/>
          <w:bCs/>
          <w:i w:val="0"/>
          <w:szCs w:val="22"/>
          <w:lang w:val="en-US" w:eastAsia="en-US" w:bidi="ar-SA"/>
        </w:rPr>
        <w:t>分钟）</w:t>
      </w:r>
      <w:r>
        <w:tab/>
      </w:r>
      <w:r>
        <w:fldChar w:fldCharType="begin"/>
      </w:r>
      <w:r>
        <w:instrText xml:space="preserve"> PAGEREF _Toc11537 \h </w:instrText>
      </w:r>
      <w:r>
        <w:fldChar w:fldCharType="separate"/>
      </w:r>
      <w:r>
        <w:t>88</w:t>
      </w:r>
      <w:r>
        <w:fldChar w:fldCharType="end"/>
      </w:r>
      <w:r>
        <w:rPr>
          <w:rFonts w:eastAsia="黑体"/>
          <w:kern w:val="0"/>
          <w:szCs w:val="32"/>
        </w:rPr>
        <w:fldChar w:fldCharType="end"/>
      </w:r>
    </w:p>
    <w:p w14:paraId="206CB9A7">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_Toc28670 </w:instrText>
      </w:r>
      <w:r>
        <w:rPr>
          <w:rFonts w:eastAsia="黑体"/>
          <w:kern w:val="0"/>
          <w:szCs w:val="32"/>
        </w:rPr>
        <w:fldChar w:fldCharType="separate"/>
      </w:r>
      <w:r>
        <w:rPr>
          <w:rFonts w:hint="eastAsia" w:ascii="TNR" w:hAnsi="TNR" w:eastAsia="黑体" w:cs="Times New Roman"/>
          <w:bCs/>
          <w:i w:val="0"/>
          <w:szCs w:val="22"/>
          <w:lang w:val="en-US" w:eastAsia="en-US" w:bidi="ar-SA"/>
        </w:rPr>
        <w:t>第六部分：综合评价（约</w:t>
      </w:r>
      <w:r>
        <w:rPr>
          <w:rFonts w:hint="eastAsia" w:ascii="Times New Roman" w:hAnsi="Times New Roman" w:eastAsia="黑体" w:cs="Times New Roman"/>
          <w:bCs/>
          <w:i w:val="0"/>
          <w:szCs w:val="26"/>
          <w:lang w:val="en-US" w:eastAsia="en-US" w:bidi="ar-SA"/>
        </w:rPr>
        <w:t>5</w:t>
      </w:r>
      <w:r>
        <w:rPr>
          <w:rFonts w:hint="eastAsia" w:ascii="TNR" w:hAnsi="TNR" w:eastAsia="黑体" w:cs="Times New Roman"/>
          <w:bCs/>
          <w:i w:val="0"/>
          <w:szCs w:val="22"/>
          <w:lang w:val="en-US" w:eastAsia="en-US" w:bidi="ar-SA"/>
        </w:rPr>
        <w:t>分钟）</w:t>
      </w:r>
      <w:r>
        <w:tab/>
      </w:r>
      <w:r>
        <w:fldChar w:fldCharType="begin"/>
      </w:r>
      <w:r>
        <w:instrText xml:space="preserve"> PAGEREF _Toc28670 \h </w:instrText>
      </w:r>
      <w:r>
        <w:fldChar w:fldCharType="separate"/>
      </w:r>
      <w:r>
        <w:t>89</w:t>
      </w:r>
      <w:r>
        <w:fldChar w:fldCharType="end"/>
      </w:r>
      <w:r>
        <w:rPr>
          <w:rFonts w:eastAsia="黑体"/>
          <w:kern w:val="0"/>
          <w:szCs w:val="32"/>
        </w:rPr>
        <w:fldChar w:fldCharType="end"/>
      </w:r>
    </w:p>
    <w:p w14:paraId="4B3A2946">
      <w:pPr>
        <w:pStyle w:val="27"/>
        <w:tabs>
          <w:tab w:val="right" w:leader="dot" w:pos="8958"/>
        </w:tabs>
      </w:pPr>
      <w:r>
        <w:rPr>
          <w:rFonts w:eastAsia="黑体"/>
          <w:kern w:val="0"/>
          <w:szCs w:val="32"/>
        </w:rPr>
        <w:fldChar w:fldCharType="begin"/>
      </w:r>
      <w:r>
        <w:rPr>
          <w:rFonts w:eastAsia="黑体"/>
          <w:kern w:val="0"/>
          <w:szCs w:val="32"/>
        </w:rPr>
        <w:instrText xml:space="preserve"> HYPERLINK \l _Toc29259 </w:instrText>
      </w:r>
      <w:r>
        <w:rPr>
          <w:rFonts w:eastAsia="黑体"/>
          <w:kern w:val="0"/>
          <w:szCs w:val="32"/>
        </w:rPr>
        <w:fldChar w:fldCharType="separate"/>
      </w:r>
      <w:r>
        <w:rPr>
          <w:rFonts w:hint="eastAsia" w:ascii="TNR" w:hAnsi="TNR" w:eastAsia="黑体" w:cs="Times New Roman"/>
          <w:bCs/>
          <w:i w:val="0"/>
          <w:szCs w:val="26"/>
          <w:lang w:val="en-US" w:eastAsia="en-US" w:bidi="ar-SA"/>
        </w:rPr>
        <w:t>四、访谈实施指南</w:t>
      </w:r>
      <w:r>
        <w:tab/>
      </w:r>
      <w:r>
        <w:fldChar w:fldCharType="begin"/>
      </w:r>
      <w:r>
        <w:instrText xml:space="preserve"> PAGEREF _Toc29259 \h </w:instrText>
      </w:r>
      <w:r>
        <w:fldChar w:fldCharType="separate"/>
      </w:r>
      <w:r>
        <w:t>89</w:t>
      </w:r>
      <w:r>
        <w:fldChar w:fldCharType="end"/>
      </w:r>
      <w:r>
        <w:rPr>
          <w:rFonts w:eastAsia="黑体"/>
          <w:kern w:val="0"/>
          <w:szCs w:val="32"/>
        </w:rPr>
        <w:fldChar w:fldCharType="end"/>
      </w:r>
    </w:p>
    <w:p w14:paraId="4238BA74">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_Toc4374 </w:instrText>
      </w:r>
      <w:r>
        <w:rPr>
          <w:rFonts w:eastAsia="黑体"/>
          <w:kern w:val="0"/>
          <w:szCs w:val="32"/>
        </w:rPr>
        <w:fldChar w:fldCharType="separate"/>
      </w:r>
      <w:r>
        <w:rPr>
          <w:rFonts w:hint="eastAsia" w:ascii="TNR" w:hAnsi="TNR" w:eastAsia="黑体" w:cs="Times New Roman"/>
          <w:bCs/>
          <w:i w:val="0"/>
          <w:szCs w:val="22"/>
          <w:lang w:val="en-US" w:eastAsia="en-US" w:bidi="ar-SA"/>
        </w:rPr>
        <w:t>时间安排</w:t>
      </w:r>
      <w:r>
        <w:tab/>
      </w:r>
      <w:r>
        <w:fldChar w:fldCharType="begin"/>
      </w:r>
      <w:r>
        <w:instrText xml:space="preserve"> PAGEREF _Toc4374 \h </w:instrText>
      </w:r>
      <w:r>
        <w:fldChar w:fldCharType="separate"/>
      </w:r>
      <w:r>
        <w:t>89</w:t>
      </w:r>
      <w:r>
        <w:fldChar w:fldCharType="end"/>
      </w:r>
      <w:r>
        <w:rPr>
          <w:rFonts w:eastAsia="黑体"/>
          <w:kern w:val="0"/>
          <w:szCs w:val="32"/>
        </w:rPr>
        <w:fldChar w:fldCharType="end"/>
      </w:r>
    </w:p>
    <w:p w14:paraId="580C6F3D">
      <w:pPr>
        <w:pStyle w:val="15"/>
        <w:tabs>
          <w:tab w:val="right" w:leader="dot" w:pos="8958"/>
          <w:tab w:val="clear" w:pos="8493"/>
        </w:tabs>
      </w:pPr>
      <w:r>
        <w:rPr>
          <w:rFonts w:eastAsia="黑体"/>
          <w:kern w:val="0"/>
          <w:szCs w:val="32"/>
        </w:rPr>
        <w:fldChar w:fldCharType="begin"/>
      </w:r>
      <w:r>
        <w:rPr>
          <w:rFonts w:eastAsia="黑体"/>
          <w:kern w:val="0"/>
          <w:szCs w:val="32"/>
        </w:rPr>
        <w:instrText xml:space="preserve"> HYPERLINK \l _Toc28370 </w:instrText>
      </w:r>
      <w:r>
        <w:rPr>
          <w:rFonts w:eastAsia="黑体"/>
          <w:kern w:val="0"/>
          <w:szCs w:val="32"/>
        </w:rPr>
        <w:fldChar w:fldCharType="separate"/>
      </w:r>
      <w:r>
        <w:rPr>
          <w:rFonts w:hint="eastAsia" w:ascii="TNR" w:hAnsi="TNR" w:eastAsia="黑体" w:cs="Times New Roman"/>
          <w:bCs/>
          <w:i w:val="0"/>
          <w:szCs w:val="22"/>
          <w:lang w:val="en-US" w:eastAsia="en-US" w:bidi="ar-SA"/>
        </w:rPr>
        <w:t>数据分析方法</w:t>
      </w:r>
      <w:r>
        <w:tab/>
      </w:r>
      <w:r>
        <w:fldChar w:fldCharType="begin"/>
      </w:r>
      <w:r>
        <w:instrText xml:space="preserve"> PAGEREF _Toc28370 \h </w:instrText>
      </w:r>
      <w:r>
        <w:fldChar w:fldCharType="separate"/>
      </w:r>
      <w:r>
        <w:t>90</w:t>
      </w:r>
      <w:r>
        <w:fldChar w:fldCharType="end"/>
      </w:r>
      <w:r>
        <w:rPr>
          <w:rFonts w:eastAsia="黑体"/>
          <w:kern w:val="0"/>
          <w:szCs w:val="32"/>
        </w:rPr>
        <w:fldChar w:fldCharType="end"/>
      </w:r>
    </w:p>
    <w:p w14:paraId="4CAD6E03">
      <w:pPr>
        <w:pStyle w:val="27"/>
        <w:tabs>
          <w:tab w:val="right" w:leader="dot" w:pos="8958"/>
        </w:tabs>
      </w:pPr>
      <w:r>
        <w:rPr>
          <w:rFonts w:eastAsia="黑体"/>
          <w:kern w:val="0"/>
          <w:szCs w:val="32"/>
        </w:rPr>
        <w:fldChar w:fldCharType="begin"/>
      </w:r>
      <w:r>
        <w:rPr>
          <w:rFonts w:eastAsia="黑体"/>
          <w:kern w:val="0"/>
          <w:szCs w:val="32"/>
        </w:rPr>
        <w:instrText xml:space="preserve"> HYPERLINK \l _Toc26038 </w:instrText>
      </w:r>
      <w:r>
        <w:rPr>
          <w:rFonts w:eastAsia="黑体"/>
          <w:kern w:val="0"/>
          <w:szCs w:val="32"/>
        </w:rPr>
        <w:fldChar w:fldCharType="separate"/>
      </w:r>
      <w:r>
        <w:rPr>
          <w:rFonts w:hint="eastAsia" w:ascii="TNR" w:hAnsi="TNR" w:eastAsia="黑体" w:cs="Times New Roman"/>
          <w:bCs/>
          <w:i w:val="0"/>
          <w:szCs w:val="26"/>
          <w:lang w:val="en-US" w:eastAsia="en-US" w:bidi="ar-SA"/>
        </w:rPr>
        <w:t>五、访谈结果</w:t>
      </w:r>
      <w:r>
        <w:tab/>
      </w:r>
      <w:r>
        <w:fldChar w:fldCharType="begin"/>
      </w:r>
      <w:r>
        <w:instrText xml:space="preserve"> PAGEREF _Toc26038 \h </w:instrText>
      </w:r>
      <w:r>
        <w:fldChar w:fldCharType="separate"/>
      </w:r>
      <w:r>
        <w:t>90</w:t>
      </w:r>
      <w:r>
        <w:fldChar w:fldCharType="end"/>
      </w:r>
      <w:r>
        <w:rPr>
          <w:rFonts w:eastAsia="黑体"/>
          <w:kern w:val="0"/>
          <w:szCs w:val="32"/>
        </w:rPr>
        <w:fldChar w:fldCharType="end"/>
      </w:r>
    </w:p>
    <w:p w14:paraId="709B2C3A">
      <w:pPr>
        <w:pStyle w:val="27"/>
        <w:tabs>
          <w:tab w:val="right" w:leader="dot" w:pos="8958"/>
        </w:tabs>
      </w:pPr>
      <w:r>
        <w:rPr>
          <w:rFonts w:eastAsia="黑体"/>
          <w:kern w:val="0"/>
          <w:szCs w:val="32"/>
        </w:rPr>
        <w:fldChar w:fldCharType="begin"/>
      </w:r>
      <w:r>
        <w:rPr>
          <w:rFonts w:eastAsia="黑体"/>
          <w:kern w:val="0"/>
          <w:szCs w:val="32"/>
        </w:rPr>
        <w:instrText xml:space="preserve"> HYPERLINK \l _Toc21870 </w:instrText>
      </w:r>
      <w:r>
        <w:rPr>
          <w:rFonts w:eastAsia="黑体"/>
          <w:kern w:val="0"/>
          <w:szCs w:val="32"/>
        </w:rPr>
        <w:fldChar w:fldCharType="separate"/>
      </w:r>
      <w:r>
        <w:rPr>
          <w:rFonts w:hint="eastAsia" w:ascii="TNR" w:hAnsi="TNR" w:eastAsia="黑体" w:cs="Times New Roman"/>
          <w:bCs/>
          <w:i w:val="0"/>
          <w:szCs w:val="26"/>
          <w:lang w:val="en-US" w:eastAsia="en-US" w:bidi="ar-SA"/>
        </w:rPr>
        <w:t>六、访谈材料清单</w:t>
      </w:r>
      <w:r>
        <w:tab/>
      </w:r>
      <w:r>
        <w:fldChar w:fldCharType="begin"/>
      </w:r>
      <w:r>
        <w:instrText xml:space="preserve"> PAGEREF _Toc21870 \h </w:instrText>
      </w:r>
      <w:r>
        <w:fldChar w:fldCharType="separate"/>
      </w:r>
      <w:r>
        <w:t>91</w:t>
      </w:r>
      <w:r>
        <w:fldChar w:fldCharType="end"/>
      </w:r>
      <w:r>
        <w:rPr>
          <w:rFonts w:eastAsia="黑体"/>
          <w:kern w:val="0"/>
          <w:szCs w:val="32"/>
        </w:rPr>
        <w:fldChar w:fldCharType="end"/>
      </w:r>
    </w:p>
    <w:p w14:paraId="71DB4340">
      <w:pPr>
        <w:pStyle w:val="22"/>
        <w:tabs>
          <w:tab w:val="right" w:leader="dot" w:pos="8958"/>
        </w:tabs>
        <w:rPr>
          <w:rFonts w:eastAsia="黑体"/>
          <w:kern w:val="0"/>
          <w:szCs w:val="32"/>
        </w:rPr>
        <w:sectPr>
          <w:headerReference r:id="rId12" w:type="default"/>
          <w:footerReference r:id="rId13" w:type="default"/>
          <w:pgSz w:w="11906" w:h="16838"/>
          <w:pgMar w:top="1701" w:right="1474" w:bottom="1418" w:left="1474" w:header="1134" w:footer="992" w:gutter="0"/>
          <w:pgNumType w:fmt="upperRoman"/>
          <w:cols w:space="720" w:num="1"/>
          <w:docGrid w:type="lines" w:linePitch="326" w:charSpace="0"/>
        </w:sectPr>
      </w:pPr>
      <w:r>
        <w:rPr>
          <w:rFonts w:eastAsia="黑体"/>
          <w:kern w:val="0"/>
          <w:szCs w:val="32"/>
        </w:rPr>
        <w:fldChar w:fldCharType="begin"/>
      </w:r>
      <w:r>
        <w:rPr>
          <w:rFonts w:eastAsia="黑体"/>
          <w:kern w:val="0"/>
          <w:szCs w:val="32"/>
        </w:rPr>
        <w:instrText xml:space="preserve"> HYPERLINK \l _Toc15115 </w:instrText>
      </w:r>
      <w:r>
        <w:rPr>
          <w:rFonts w:eastAsia="黑体"/>
          <w:kern w:val="0"/>
          <w:szCs w:val="32"/>
        </w:rPr>
        <w:fldChar w:fldCharType="separate"/>
      </w:r>
      <w:r>
        <w:rPr>
          <w:rFonts w:hint="eastAsia"/>
        </w:rPr>
        <w:t xml:space="preserve">第十章 </w:t>
      </w:r>
      <w:r>
        <w:t>致 谢</w:t>
      </w:r>
      <w:r>
        <w:tab/>
      </w:r>
      <w:r>
        <w:fldChar w:fldCharType="begin"/>
      </w:r>
      <w:r>
        <w:instrText xml:space="preserve"> PAGEREF _Toc15115 \h </w:instrText>
      </w:r>
      <w:r>
        <w:fldChar w:fldCharType="separate"/>
      </w:r>
      <w:r>
        <w:t>92</w:t>
      </w:r>
      <w:r>
        <w:fldChar w:fldCharType="end"/>
      </w:r>
      <w:r>
        <w:rPr>
          <w:rFonts w:eastAsia="黑体"/>
          <w:kern w:val="0"/>
          <w:szCs w:val="32"/>
        </w:rPr>
        <w:fldChar w:fldCharType="end"/>
      </w:r>
    </w:p>
    <w:p w14:paraId="176EEEB7">
      <w:pPr>
        <w:sectPr>
          <w:type w:val="continuous"/>
          <w:pgSz w:w="11906" w:h="16838"/>
          <w:pgMar w:top="1701" w:right="1474" w:bottom="1418" w:left="1474" w:header="1134" w:footer="992" w:gutter="0"/>
          <w:pgNumType w:fmt="upperRoman"/>
          <w:cols w:space="720" w:num="1"/>
          <w:docGrid w:type="lines" w:linePitch="326" w:charSpace="0"/>
        </w:sectPr>
      </w:pPr>
    </w:p>
    <w:p w14:paraId="5E8DA5A7"/>
    <w:p w14:paraId="6CBB426E">
      <w:pPr>
        <w:adjustRightInd w:val="0"/>
        <w:snapToGrid w:val="0"/>
        <w:spacing w:before="480" w:after="163" w:afterLines="50" w:line="240" w:lineRule="auto"/>
        <w:ind w:firstLine="0" w:firstLineChars="0"/>
        <w:jc w:val="center"/>
      </w:pPr>
      <w:r>
        <w:rPr>
          <w:rFonts w:eastAsia="黑体"/>
          <w:b/>
          <w:kern w:val="0"/>
          <w:sz w:val="32"/>
          <w:szCs w:val="32"/>
        </w:rPr>
        <w:fldChar w:fldCharType="end"/>
      </w:r>
    </w:p>
    <w:p w14:paraId="127E485B">
      <w:pPr>
        <w:snapToGrid w:val="0"/>
        <w:ind w:firstLine="472" w:firstLineChars="196"/>
        <w:jc w:val="left"/>
        <w:rPr>
          <w:b/>
          <w:color w:val="0070C0"/>
        </w:rPr>
      </w:pPr>
      <w:bookmarkStart w:id="6" w:name="_Toc292178196"/>
      <w:bookmarkStart w:id="7" w:name="_Toc345588838"/>
    </w:p>
    <w:p w14:paraId="605052FF">
      <w:pPr>
        <w:ind w:firstLine="480"/>
        <w:rPr>
          <w:rFonts w:hint="eastAsia"/>
        </w:rPr>
        <w:sectPr>
          <w:type w:val="continuous"/>
          <w:pgSz w:w="11906" w:h="16838"/>
          <w:pgMar w:top="1701" w:right="1474" w:bottom="1418" w:left="1474" w:header="1134" w:footer="992" w:gutter="0"/>
          <w:pgNumType w:fmt="upperRoman"/>
          <w:cols w:space="720" w:num="1"/>
          <w:docGrid w:type="lines" w:linePitch="326" w:charSpace="0"/>
        </w:sectPr>
      </w:pPr>
    </w:p>
    <w:p w14:paraId="7F66243B">
      <w:pPr>
        <w:pStyle w:val="2"/>
        <w:adjustRightInd w:val="0"/>
        <w:snapToGrid w:val="0"/>
        <w:spacing w:before="480" w:after="0" w:line="240" w:lineRule="auto"/>
        <w:rPr>
          <w:b w:val="0"/>
          <w:sz w:val="32"/>
          <w:szCs w:val="32"/>
        </w:rPr>
      </w:pPr>
      <w:r>
        <w:rPr>
          <w:b w:val="0"/>
          <w:sz w:val="32"/>
          <w:szCs w:val="32"/>
        </w:rPr>
        <w:t xml:space="preserve">  </w:t>
      </w:r>
      <w:bookmarkEnd w:id="6"/>
      <w:bookmarkEnd w:id="7"/>
      <w:bookmarkStart w:id="8" w:name="_Toc22690"/>
      <w:r>
        <w:rPr>
          <w:rFonts w:hint="eastAsia"/>
          <w:b w:val="0"/>
          <w:sz w:val="32"/>
          <w:szCs w:val="32"/>
        </w:rPr>
        <w:t>绪论</w:t>
      </w:r>
      <w:bookmarkEnd w:id="8"/>
    </w:p>
    <w:p w14:paraId="498D4CB9">
      <w:pPr>
        <w:pStyle w:val="3"/>
        <w:numPr>
          <w:ilvl w:val="1"/>
          <w:numId w:val="3"/>
        </w:numPr>
        <w:bidi w:val="0"/>
        <w:ind w:left="567" w:leftChars="0" w:hanging="567" w:firstLineChars="0"/>
        <w:rPr>
          <w:rFonts w:hint="eastAsia"/>
        </w:rPr>
      </w:pPr>
      <w:bookmarkStart w:id="9" w:name="_Toc12651"/>
      <w:r>
        <w:rPr>
          <w:rFonts w:hint="eastAsia"/>
        </w:rPr>
        <w:t>研究背景：从</w:t>
      </w:r>
      <w:r>
        <w:rPr>
          <w:rFonts w:hint="eastAsia"/>
          <w:lang w:eastAsia="zh-CN"/>
        </w:rPr>
        <w:t>“战略调整</w:t>
      </w:r>
      <w:r>
        <w:rPr>
          <w:rFonts w:hint="eastAsia"/>
          <w:lang w:val="en-US" w:eastAsia="zh-CN"/>
        </w:rPr>
        <w:t>转型</w:t>
      </w:r>
      <w:r>
        <w:rPr>
          <w:rFonts w:hint="eastAsia"/>
        </w:rPr>
        <w:t>神话</w:t>
      </w:r>
      <w:r>
        <w:rPr>
          <w:rFonts w:hint="eastAsia"/>
          <w:lang w:eastAsia="zh-CN"/>
        </w:rPr>
        <w:t>”</w:t>
      </w:r>
      <w:r>
        <w:rPr>
          <w:rFonts w:hint="eastAsia"/>
        </w:rPr>
        <w:t>到</w:t>
      </w:r>
      <w:r>
        <w:rPr>
          <w:rFonts w:hint="eastAsia"/>
          <w:lang w:eastAsia="zh-CN"/>
        </w:rPr>
        <w:t>“</w:t>
      </w:r>
      <w:r>
        <w:rPr>
          <w:rFonts w:hint="eastAsia"/>
        </w:rPr>
        <w:t>增收不增利</w:t>
      </w:r>
      <w:r>
        <w:rPr>
          <w:rFonts w:hint="eastAsia"/>
          <w:lang w:eastAsia="zh-CN"/>
        </w:rPr>
        <w:t>”</w:t>
      </w:r>
      <w:r>
        <w:rPr>
          <w:rFonts w:hint="eastAsia"/>
        </w:rPr>
        <w:t>的战略困局</w:t>
      </w:r>
      <w:bookmarkEnd w:id="9"/>
    </w:p>
    <w:p w14:paraId="0F9930C2">
      <w:pPr>
        <w:pStyle w:val="4"/>
        <w:bidi w:val="0"/>
        <w:rPr>
          <w:rFonts w:hint="eastAsia"/>
        </w:rPr>
      </w:pPr>
      <w:bookmarkStart w:id="10" w:name="_Toc31040"/>
      <w:bookmarkStart w:id="11" w:name="_Toc292178198"/>
      <w:bookmarkStart w:id="12" w:name="_Toc345588840"/>
      <w:r>
        <w:rPr>
          <w:rFonts w:hint="eastAsia"/>
          <w:lang w:eastAsia="zh-CN"/>
        </w:rPr>
        <w:t>A医疗集团</w:t>
      </w:r>
      <w:r>
        <w:rPr>
          <w:rFonts w:hint="eastAsia"/>
        </w:rPr>
        <w:t>的</w:t>
      </w:r>
      <w:r>
        <w:rPr>
          <w:rFonts w:hint="eastAsia"/>
          <w:lang w:val="en-US" w:eastAsia="zh-CN"/>
        </w:rPr>
        <w:t>发展</w:t>
      </w:r>
      <w:r>
        <w:rPr>
          <w:rFonts w:hint="eastAsia"/>
        </w:rPr>
        <w:t>与转型</w:t>
      </w:r>
      <w:bookmarkEnd w:id="10"/>
    </w:p>
    <w:p w14:paraId="25A9C267">
      <w:pPr>
        <w:spacing w:before="0" w:after="0" w:line="400" w:lineRule="exact"/>
        <w:ind w:firstLine="480"/>
        <w:jc w:val="both"/>
        <w:rPr>
          <w:rFonts w:hint="eastAsia" w:ascii="宋体" w:hAnsi="宋体" w:cs="宋体"/>
          <w:b w:val="0"/>
          <w:i w:val="0"/>
          <w:sz w:val="24"/>
          <w:lang w:eastAsia="zh-CN"/>
        </w:rPr>
      </w:pPr>
      <w:r>
        <w:rPr>
          <w:rFonts w:hint="eastAsia" w:ascii="宋体" w:hAnsi="宋体" w:cs="宋体"/>
          <w:b w:val="0"/>
          <w:i w:val="0"/>
          <w:sz w:val="24"/>
          <w:lang w:eastAsia="zh-CN"/>
        </w:rPr>
        <w:t>A医疗集团的发展历程可分为三个典型阶段：快速扩张期（通过并购整合形成规模优势，建立产业协同格局）、战略调整期（经历行业周期波动后，从规模导向转向质量导向的整合优化）以及管理转型期（进入治理结构优化与战略升级阶段，启动精细化运营改革）。</w:t>
      </w:r>
    </w:p>
    <w:p w14:paraId="266A894D">
      <w:pPr>
        <w:spacing w:before="0" w:after="0" w:line="400" w:lineRule="exact"/>
        <w:ind w:firstLine="480"/>
        <w:jc w:val="both"/>
        <w:rPr>
          <w:rFonts w:hint="eastAsia" w:ascii="宋体" w:hAnsi="宋体" w:eastAsia="宋体" w:cs="宋体"/>
          <w:b w:val="0"/>
          <w:i w:val="0"/>
          <w:sz w:val="24"/>
        </w:rPr>
      </w:pPr>
      <w:r>
        <w:rPr>
          <w:rFonts w:hint="eastAsia" w:ascii="宋体" w:hAnsi="宋体" w:cs="宋体"/>
          <w:b w:val="0"/>
          <w:i w:val="0"/>
          <w:sz w:val="24"/>
          <w:lang w:eastAsia="zh-CN"/>
        </w:rPr>
        <w:t>在快速扩张期，A医疗集团通过外延式并购迅速布局区域医疗市场，形成跨地域的医院网络与医药产业链协同。然而，随着医疗行业监管趋严与支付改革深化，单纯规模扩张模式面临挑战，A医疗集团进入战略调整与优化整合阶段，重点解决管理精细化不足、协同效应未充分释放等问题。这一阶段的教训表明，缺乏精细化管理和协同效应的单纯规模堆砌，无法在医疗行业持续生存</w:t>
      </w:r>
      <w:r>
        <w:rPr>
          <w:rStyle w:val="51"/>
          <w:rFonts w:hint="eastAsia"/>
          <w:lang w:eastAsia="zh-CN"/>
        </w:rPr>
        <w:t>[2]</w:t>
      </w:r>
      <w:r>
        <w:rPr>
          <w:rFonts w:hint="eastAsia" w:ascii="宋体" w:hAnsi="宋体" w:eastAsia="宋体" w:cs="宋体"/>
          <w:b w:val="0"/>
          <w:i w:val="0"/>
          <w:sz w:val="24"/>
        </w:rPr>
        <w:t>。</w:t>
      </w:r>
    </w:p>
    <w:p w14:paraId="4F804FE0">
      <w:pPr>
        <w:pStyle w:val="29"/>
        <w:keepNext w:val="0"/>
        <w:keepLines w:val="0"/>
        <w:widowControl/>
        <w:suppressLineNumbers w:val="0"/>
        <w:spacing w:before="0" w:beforeAutospacing="1" w:after="0" w:afterAutospacing="1"/>
        <w:ind w:left="0" w:right="0"/>
        <w:rPr>
          <w:rFonts w:hint="eastAsia" w:ascii="宋体" w:hAnsi="宋体" w:eastAsia="宋体" w:cs="宋体"/>
          <w:b w:val="0"/>
          <w:i w:val="0"/>
          <w:sz w:val="24"/>
        </w:rPr>
      </w:pPr>
      <w:r>
        <w:rPr>
          <w:rFonts w:hint="eastAsia" w:ascii="宋体" w:hAnsi="宋体" w:cs="宋体"/>
          <w:b w:val="0"/>
          <w:i w:val="0"/>
          <w:sz w:val="24"/>
          <w:lang w:eastAsia="zh-CN"/>
        </w:rPr>
        <w:t>近年来国内某战略投资者正式完成对A医疗集团的战略</w:t>
      </w:r>
      <w:r>
        <w:rPr>
          <w:rFonts w:hint="eastAsia" w:ascii="宋体" w:hAnsi="宋体" w:cs="宋体"/>
          <w:b w:val="0"/>
          <w:i w:val="0"/>
          <w:sz w:val="24"/>
          <w:lang w:val="en-US" w:eastAsia="zh-CN"/>
        </w:rPr>
        <w:t>投资</w:t>
      </w:r>
      <w:r>
        <w:rPr>
          <w:rFonts w:hint="eastAsia" w:ascii="宋体" w:hAnsi="宋体" w:eastAsia="宋体" w:cs="宋体"/>
          <w:b w:val="0"/>
          <w:i w:val="0"/>
          <w:sz w:val="24"/>
        </w:rPr>
        <w:t>。</w:t>
      </w:r>
      <w:r>
        <w:rPr>
          <w:rFonts w:hint="eastAsia" w:ascii="宋体" w:hAnsi="宋体" w:cs="宋体"/>
          <w:b w:val="0"/>
          <w:i w:val="0"/>
          <w:sz w:val="24"/>
          <w:lang w:val="en-US" w:eastAsia="zh-CN"/>
        </w:rPr>
        <w:t>新的管理方入主后</w:t>
      </w:r>
      <w:r>
        <w:rPr>
          <w:rFonts w:hint="eastAsia" w:ascii="宋体" w:hAnsi="宋体" w:eastAsia="宋体" w:cs="宋体"/>
          <w:b w:val="0"/>
          <w:i w:val="0"/>
          <w:sz w:val="24"/>
        </w:rPr>
        <w:t>，迅速确立了纵向一体化的新战略，并将管理重心从“资本运作”转向“产业运营”。截至研究时点，</w:t>
      </w:r>
      <w:r>
        <w:rPr>
          <w:rFonts w:hint="eastAsia" w:ascii="宋体" w:hAnsi="宋体" w:cs="宋体"/>
          <w:b w:val="0"/>
          <w:i w:val="0"/>
          <w:sz w:val="24"/>
          <w:lang w:eastAsia="zh-CN"/>
        </w:rPr>
        <w:t>A医疗</w:t>
      </w:r>
      <w:r>
        <w:rPr>
          <w:rFonts w:hint="eastAsia" w:ascii="宋体" w:hAnsi="宋体" w:cs="宋体"/>
          <w:b w:val="0"/>
          <w:i w:val="0"/>
          <w:sz w:val="24"/>
          <w:lang w:val="en-US" w:eastAsia="zh-CN"/>
        </w:rPr>
        <w:t>集团内</w:t>
      </w:r>
      <w:r>
        <w:rPr>
          <w:rFonts w:hint="eastAsia" w:ascii="宋体" w:hAnsi="宋体" w:eastAsia="宋体" w:cs="宋体"/>
          <w:b w:val="0"/>
          <w:i w:val="0"/>
          <w:sz w:val="24"/>
        </w:rPr>
        <w:t>已拥有</w:t>
      </w:r>
      <w:r>
        <w:rPr>
          <w:rFonts w:hint="eastAsia" w:ascii="宋体" w:hAnsi="宋体" w:eastAsia="宋体" w:cs="宋体"/>
          <w:b w:val="0"/>
          <w:i w:val="0"/>
          <w:sz w:val="24"/>
          <w:lang w:val="en-US" w:eastAsia="zh-CN"/>
        </w:rPr>
        <w:t>包括H1、H2、H3在内的</w:t>
      </w:r>
      <w:r>
        <w:rPr>
          <w:rFonts w:hint="eastAsia" w:ascii="宋体" w:hAnsi="宋体" w:cs="宋体"/>
          <w:b w:val="0"/>
          <w:i w:val="0"/>
          <w:sz w:val="24"/>
          <w:lang w:val="en-US" w:eastAsia="zh-CN"/>
        </w:rPr>
        <w:t>多家</w:t>
      </w:r>
      <w:r>
        <w:rPr>
          <w:rFonts w:hint="eastAsia" w:ascii="宋体" w:hAnsi="宋体" w:eastAsia="宋体" w:cs="宋体"/>
          <w:b w:val="0"/>
          <w:i w:val="0"/>
          <w:sz w:val="24"/>
          <w:lang w:val="en-US" w:eastAsia="zh-CN"/>
        </w:rPr>
        <w:t>医院，床位</w:t>
      </w:r>
      <w:r>
        <w:rPr>
          <w:rFonts w:hint="eastAsia" w:ascii="宋体" w:hAnsi="宋体" w:cs="宋体"/>
          <w:b w:val="0"/>
          <w:i w:val="0"/>
          <w:sz w:val="24"/>
          <w:lang w:val="en-US" w:eastAsia="zh-CN"/>
        </w:rPr>
        <w:t>达数千张，</w:t>
      </w:r>
      <w:r>
        <w:rPr>
          <w:rFonts w:hint="eastAsia" w:ascii="宋体" w:hAnsi="宋体" w:eastAsia="宋体" w:cs="宋体"/>
          <w:b w:val="0"/>
          <w:i w:val="0"/>
          <w:sz w:val="24"/>
        </w:rPr>
        <w:t>并在</w:t>
      </w:r>
      <w:r>
        <w:rPr>
          <w:rFonts w:hint="eastAsia" w:ascii="宋体" w:hAnsi="宋体" w:cs="宋体"/>
          <w:b w:val="0"/>
          <w:i w:val="0"/>
          <w:sz w:val="24"/>
          <w:lang w:eastAsia="zh-CN"/>
        </w:rPr>
        <w:t>A医疗</w:t>
      </w:r>
      <w:r>
        <w:rPr>
          <w:rFonts w:hint="eastAsia" w:ascii="宋体" w:hAnsi="宋体" w:cs="宋体"/>
          <w:b w:val="0"/>
          <w:i w:val="0"/>
          <w:sz w:val="24"/>
          <w:lang w:val="en-US" w:eastAsia="zh-CN"/>
        </w:rPr>
        <w:t>集团</w:t>
      </w:r>
      <w:r>
        <w:rPr>
          <w:rFonts w:hint="eastAsia" w:ascii="宋体" w:hAnsi="宋体" w:eastAsia="宋体" w:cs="宋体"/>
          <w:b w:val="0"/>
          <w:i w:val="0"/>
          <w:sz w:val="24"/>
        </w:rPr>
        <w:t>赋能下开启了以“收入质量优化”为核心的内涵式增长阶段。</w:t>
      </w:r>
    </w:p>
    <w:p w14:paraId="33FB32CB">
      <w:pPr>
        <w:spacing w:before="0" w:after="0" w:line="400" w:lineRule="exact"/>
        <w:ind w:firstLine="480"/>
        <w:jc w:val="both"/>
        <w:rPr>
          <w:rFonts w:ascii="宋体" w:hAnsi="宋体" w:eastAsia="宋体" w:cs="宋体"/>
          <w:sz w:val="24"/>
          <w:szCs w:val="24"/>
        </w:rPr>
      </w:pPr>
      <w:r>
        <w:rPr>
          <w:rFonts w:ascii="宋体" w:hAnsi="宋体" w:eastAsia="宋体" w:cs="宋体"/>
          <w:sz w:val="24"/>
          <w:szCs w:val="24"/>
        </w:rPr>
        <w:t>正是在这一</w:t>
      </w:r>
      <w:r>
        <w:rPr>
          <w:rFonts w:hint="eastAsia" w:ascii="宋体" w:hAnsi="宋体" w:cs="宋体"/>
          <w:sz w:val="24"/>
          <w:szCs w:val="24"/>
          <w:lang w:eastAsia="zh-CN"/>
        </w:rPr>
        <w:t>“</w:t>
      </w:r>
      <w:r>
        <w:rPr>
          <w:rFonts w:hint="eastAsia" w:ascii="宋体" w:hAnsi="宋体" w:eastAsia="宋体" w:cs="宋体"/>
          <w:sz w:val="24"/>
          <w:szCs w:val="24"/>
        </w:rPr>
        <w:t>战略调整完成</w:t>
      </w:r>
      <w:r>
        <w:rPr>
          <w:rFonts w:ascii="宋体" w:hAnsi="宋体" w:eastAsia="宋体" w:cs="宋体"/>
          <w:sz w:val="24"/>
          <w:szCs w:val="24"/>
        </w:rPr>
        <w:t>后亟待提质增效</w:t>
      </w:r>
      <w:r>
        <w:rPr>
          <w:rFonts w:hint="eastAsia" w:ascii="宋体" w:hAnsi="宋体" w:cs="宋体"/>
          <w:sz w:val="24"/>
          <w:szCs w:val="24"/>
          <w:lang w:eastAsia="zh-CN"/>
        </w:rPr>
        <w:t>”</w:t>
      </w:r>
      <w:r>
        <w:rPr>
          <w:rFonts w:ascii="宋体" w:hAnsi="宋体" w:eastAsia="宋体" w:cs="宋体"/>
          <w:sz w:val="24"/>
          <w:szCs w:val="24"/>
        </w:rPr>
        <w:t>的关键节点，国家DRG/DIP支付改革全面铺开，为集团带来了新的挑战与机遇。2023—2024年，</w:t>
      </w:r>
      <w:r>
        <w:rPr>
          <w:rFonts w:hint="eastAsia" w:ascii="宋体" w:hAnsi="宋体" w:cs="宋体"/>
          <w:sz w:val="24"/>
          <w:szCs w:val="24"/>
          <w:lang w:eastAsia="zh-CN"/>
        </w:rPr>
        <w:t>A医疗集团</w:t>
      </w:r>
      <w:r>
        <w:rPr>
          <w:rFonts w:ascii="宋体" w:hAnsi="宋体" w:eastAsia="宋体" w:cs="宋体"/>
          <w:sz w:val="24"/>
          <w:szCs w:val="24"/>
        </w:rPr>
        <w:t>陷入了典型的</w:t>
      </w:r>
      <w:r>
        <w:rPr>
          <w:rFonts w:hint="eastAsia" w:ascii="宋体" w:hAnsi="宋体" w:cs="宋体"/>
          <w:sz w:val="24"/>
          <w:szCs w:val="24"/>
          <w:lang w:eastAsia="zh-CN"/>
        </w:rPr>
        <w:t>“</w:t>
      </w:r>
      <w:r>
        <w:rPr>
          <w:rFonts w:ascii="宋体" w:hAnsi="宋体" w:eastAsia="宋体" w:cs="宋体"/>
          <w:sz w:val="24"/>
          <w:szCs w:val="24"/>
        </w:rPr>
        <w:t>增收不增利</w:t>
      </w:r>
      <w:r>
        <w:rPr>
          <w:rFonts w:hint="eastAsia" w:ascii="宋体" w:hAnsi="宋体" w:cs="宋体"/>
          <w:sz w:val="24"/>
          <w:szCs w:val="24"/>
          <w:lang w:eastAsia="zh-CN"/>
        </w:rPr>
        <w:t>”</w:t>
      </w:r>
      <w:r>
        <w:rPr>
          <w:rFonts w:ascii="宋体" w:hAnsi="宋体" w:eastAsia="宋体" w:cs="宋体"/>
          <w:sz w:val="24"/>
          <w:szCs w:val="24"/>
        </w:rPr>
        <w:t>困局——营业收入持续增长，但归属母公司净利润增速显著放缓，甚至出现季度性亏损</w:t>
      </w:r>
      <w:r>
        <w:rPr>
          <w:rStyle w:val="51"/>
          <w:rFonts w:hint="eastAsia"/>
        </w:rPr>
        <w:t>[</w:t>
      </w:r>
      <w:r>
        <w:rPr>
          <w:rStyle w:val="51"/>
          <w:rFonts w:hint="eastAsia"/>
          <w:lang w:val="en-US" w:eastAsia="zh-CN"/>
        </w:rPr>
        <w:t>25</w:t>
      </w:r>
      <w:r>
        <w:rPr>
          <w:rStyle w:val="51"/>
          <w:rFonts w:hint="eastAsia"/>
        </w:rPr>
        <w:t>]</w:t>
      </w:r>
      <w:r>
        <w:rPr>
          <w:rFonts w:ascii="宋体" w:hAnsi="宋体" w:eastAsia="宋体" w:cs="宋体"/>
          <w:sz w:val="24"/>
          <w:szCs w:val="24"/>
        </w:rPr>
        <w:t>。2024年前三季度，</w:t>
      </w:r>
      <w:r>
        <w:rPr>
          <w:rFonts w:hint="eastAsia" w:ascii="宋体" w:hAnsi="宋体" w:eastAsia="宋体" w:cs="宋体"/>
          <w:sz w:val="24"/>
          <w:szCs w:val="24"/>
        </w:rPr>
        <w:t>集团营业收入保持稳健增长，但归母净利润同比出现明显下滑</w:t>
      </w:r>
      <w:r>
        <w:rPr>
          <w:rStyle w:val="51"/>
          <w:rFonts w:hint="eastAsia"/>
        </w:rPr>
        <w:t>[</w:t>
      </w:r>
      <w:r>
        <w:rPr>
          <w:rStyle w:val="51"/>
          <w:rFonts w:hint="eastAsia"/>
          <w:lang w:val="en-US" w:eastAsia="zh-CN"/>
        </w:rPr>
        <w:t>25</w:t>
      </w:r>
      <w:r>
        <w:rPr>
          <w:rStyle w:val="51"/>
          <w:rFonts w:hint="eastAsia"/>
        </w:rPr>
        <w:t>]</w:t>
      </w:r>
      <w:r>
        <w:rPr>
          <w:rFonts w:ascii="宋体" w:hAnsi="宋体" w:eastAsia="宋体" w:cs="宋体"/>
          <w:sz w:val="24"/>
          <w:szCs w:val="24"/>
        </w:rPr>
        <w:t>。</w:t>
      </w:r>
    </w:p>
    <w:p w14:paraId="1B13E139">
      <w:pPr>
        <w:spacing w:before="0" w:after="0" w:line="400" w:lineRule="exact"/>
        <w:ind w:firstLine="480"/>
        <w:jc w:val="both"/>
        <w:rPr>
          <w:rFonts w:hint="eastAsia" w:ascii="宋体" w:hAnsi="宋体" w:eastAsia="宋体" w:cs="宋体"/>
          <w:sz w:val="24"/>
          <w:szCs w:val="24"/>
        </w:rPr>
      </w:pPr>
    </w:p>
    <w:p w14:paraId="3FFDE755">
      <w:pPr>
        <w:pStyle w:val="4"/>
        <w:bidi w:val="0"/>
        <w:rPr>
          <w:rFonts w:hint="eastAsia"/>
        </w:rPr>
      </w:pPr>
      <w:bookmarkStart w:id="13" w:name="_Toc21410"/>
      <w:r>
        <w:rPr>
          <w:rFonts w:hint="eastAsia"/>
          <w:lang w:eastAsia="zh-CN"/>
        </w:rPr>
        <w:t>“</w:t>
      </w:r>
      <w:r>
        <w:rPr>
          <w:rFonts w:hint="eastAsia"/>
        </w:rPr>
        <w:t>增收不增利</w:t>
      </w:r>
      <w:r>
        <w:rPr>
          <w:rFonts w:hint="eastAsia"/>
          <w:lang w:eastAsia="zh-CN"/>
        </w:rPr>
        <w:t>”</w:t>
      </w:r>
      <w:r>
        <w:rPr>
          <w:rFonts w:hint="eastAsia"/>
        </w:rPr>
        <w:t>的深层矛盾</w:t>
      </w:r>
      <w:bookmarkEnd w:id="13"/>
    </w:p>
    <w:p w14:paraId="6AB5B7C5">
      <w:pPr>
        <w:spacing w:before="0" w:after="0" w:line="400" w:lineRule="exact"/>
        <w:ind w:firstLine="480"/>
        <w:jc w:val="both"/>
        <w:rPr>
          <w:rFonts w:hint="eastAsia" w:ascii="宋体" w:hAnsi="宋体" w:eastAsia="宋体" w:cs="宋体"/>
          <w:b w:val="0"/>
          <w:i w:val="0"/>
          <w:sz w:val="24"/>
        </w:rPr>
      </w:pPr>
      <w:r>
        <w:rPr>
          <w:rFonts w:hint="eastAsia" w:ascii="宋体" w:hAnsi="宋体" w:cs="宋体"/>
          <w:b w:val="0"/>
          <w:i w:val="0"/>
          <w:sz w:val="24"/>
          <w:lang w:eastAsia="zh-CN"/>
        </w:rPr>
        <w:t>A医疗集团</w:t>
      </w:r>
      <w:r>
        <w:rPr>
          <w:rFonts w:hint="eastAsia" w:ascii="宋体" w:hAnsi="宋体" w:eastAsia="宋体" w:cs="宋体"/>
          <w:b w:val="0"/>
          <w:i w:val="0"/>
          <w:sz w:val="24"/>
          <w:lang w:eastAsia="zh-CN"/>
        </w:rPr>
        <w:t>“</w:t>
      </w:r>
      <w:r>
        <w:rPr>
          <w:rFonts w:hint="eastAsia" w:ascii="宋体" w:hAnsi="宋体" w:eastAsia="宋体" w:cs="宋体"/>
          <w:b w:val="0"/>
          <w:i w:val="0"/>
          <w:sz w:val="24"/>
        </w:rPr>
        <w:t>增收不增利</w:t>
      </w:r>
      <w:r>
        <w:rPr>
          <w:rFonts w:hint="eastAsia" w:ascii="宋体" w:hAnsi="宋体" w:eastAsia="宋体" w:cs="宋体"/>
          <w:b w:val="0"/>
          <w:i w:val="0"/>
          <w:sz w:val="24"/>
          <w:lang w:eastAsia="zh-CN"/>
        </w:rPr>
        <w:t>”</w:t>
      </w:r>
      <w:r>
        <w:rPr>
          <w:rFonts w:hint="eastAsia" w:ascii="宋体" w:hAnsi="宋体" w:eastAsia="宋体" w:cs="宋体"/>
          <w:b w:val="0"/>
          <w:i w:val="0"/>
          <w:sz w:val="24"/>
        </w:rPr>
        <w:t>困局的本质，是医保支付改革与传统扩张模式之间的结构性冲突。</w:t>
      </w:r>
    </w:p>
    <w:p w14:paraId="2F472502">
      <w:pPr>
        <w:spacing w:before="0" w:after="0" w:line="400" w:lineRule="exact"/>
        <w:ind w:firstLine="480"/>
        <w:jc w:val="both"/>
        <w:rPr>
          <w:rFonts w:hint="eastAsia" w:ascii="宋体" w:hAnsi="宋体" w:eastAsia="宋体" w:cs="宋体"/>
          <w:b w:val="0"/>
          <w:i w:val="0"/>
          <w:sz w:val="24"/>
        </w:rPr>
      </w:pPr>
      <w:r>
        <w:rPr>
          <w:rFonts w:hint="eastAsia" w:ascii="Times New Roman" w:hAnsi="Times New Roman" w:eastAsia="宋体" w:cs="Times New Roman"/>
          <w:b/>
          <w:i w:val="0"/>
          <w:sz w:val="24"/>
        </w:rPr>
        <w:t>收入端：</w:t>
      </w:r>
      <w:r>
        <w:rPr>
          <w:rFonts w:ascii="宋体" w:hAnsi="宋体" w:eastAsia="宋体" w:cs="宋体"/>
          <w:sz w:val="24"/>
          <w:szCs w:val="24"/>
        </w:rPr>
        <w:t>在按项目付费（Fee-For-Service, FFS）时代，医院的收入与服务量正相关，</w:t>
      </w:r>
      <w:r>
        <w:rPr>
          <w:rFonts w:hint="eastAsia" w:ascii="宋体" w:hAnsi="宋体" w:cs="宋体"/>
          <w:sz w:val="24"/>
          <w:szCs w:val="24"/>
          <w:lang w:eastAsia="zh-CN"/>
        </w:rPr>
        <w:t>“</w:t>
      </w:r>
      <w:r>
        <w:rPr>
          <w:rFonts w:ascii="宋体" w:hAnsi="宋体" w:eastAsia="宋体" w:cs="宋体"/>
          <w:sz w:val="24"/>
          <w:szCs w:val="24"/>
        </w:rPr>
        <w:t>多收患者、多做检查、多开药品</w:t>
      </w:r>
      <w:r>
        <w:rPr>
          <w:rFonts w:hint="eastAsia" w:ascii="宋体" w:hAnsi="宋体" w:cs="宋体"/>
          <w:sz w:val="24"/>
          <w:szCs w:val="24"/>
          <w:lang w:eastAsia="zh-CN"/>
        </w:rPr>
        <w:t>”</w:t>
      </w:r>
      <w:r>
        <w:rPr>
          <w:rFonts w:ascii="宋体" w:hAnsi="宋体" w:eastAsia="宋体" w:cs="宋体"/>
          <w:sz w:val="24"/>
          <w:szCs w:val="24"/>
        </w:rPr>
        <w:t>是增收的有效路径。然而，DRG/DIP改革将支付标准从</w:t>
      </w:r>
      <w:r>
        <w:rPr>
          <w:rFonts w:hint="eastAsia" w:ascii="宋体" w:hAnsi="宋体" w:cs="宋体"/>
          <w:sz w:val="24"/>
          <w:szCs w:val="24"/>
          <w:lang w:eastAsia="zh-CN"/>
        </w:rPr>
        <w:t>“</w:t>
      </w:r>
      <w:r>
        <w:rPr>
          <w:rFonts w:ascii="宋体" w:hAnsi="宋体" w:eastAsia="宋体" w:cs="宋体"/>
          <w:sz w:val="24"/>
          <w:szCs w:val="24"/>
        </w:rPr>
        <w:t>实际消耗</w:t>
      </w:r>
      <w:r>
        <w:rPr>
          <w:rFonts w:hint="eastAsia" w:ascii="宋体" w:hAnsi="宋体" w:cs="宋体"/>
          <w:sz w:val="24"/>
          <w:szCs w:val="24"/>
          <w:lang w:eastAsia="zh-CN"/>
        </w:rPr>
        <w:t>”</w:t>
      </w:r>
      <w:r>
        <w:rPr>
          <w:rFonts w:ascii="宋体" w:hAnsi="宋体" w:eastAsia="宋体" w:cs="宋体"/>
          <w:sz w:val="24"/>
          <w:szCs w:val="24"/>
        </w:rPr>
        <w:t>改为</w:t>
      </w:r>
      <w:r>
        <w:rPr>
          <w:rFonts w:hint="eastAsia" w:ascii="宋体" w:hAnsi="宋体" w:cs="宋体"/>
          <w:sz w:val="24"/>
          <w:szCs w:val="24"/>
          <w:lang w:eastAsia="zh-CN"/>
        </w:rPr>
        <w:t>“</w:t>
      </w:r>
      <w:r>
        <w:rPr>
          <w:rFonts w:ascii="宋体" w:hAnsi="宋体" w:eastAsia="宋体" w:cs="宋体"/>
          <w:sz w:val="24"/>
          <w:szCs w:val="24"/>
        </w:rPr>
        <w:t>病种打包</w:t>
      </w:r>
      <w:r>
        <w:rPr>
          <w:rFonts w:hint="eastAsia" w:ascii="宋体" w:hAnsi="宋体" w:cs="宋体"/>
          <w:sz w:val="24"/>
          <w:szCs w:val="24"/>
          <w:lang w:eastAsia="zh-CN"/>
        </w:rPr>
        <w:t>”</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6</w:t>
      </w:r>
      <w:r>
        <w:rPr>
          <w:rFonts w:hint="default" w:ascii="Times New Roman" w:hAnsi="Times New Roman" w:eastAsia="宋体" w:cs="Times New Roman"/>
          <w:kern w:val="2"/>
          <w:sz w:val="24"/>
          <w:szCs w:val="24"/>
          <w:vertAlign w:val="superscript"/>
        </w:rPr>
        <w:t>]</w:t>
      </w:r>
      <w:r>
        <w:rPr>
          <w:rFonts w:ascii="宋体" w:hAnsi="宋体" w:eastAsia="宋体" w:cs="宋体"/>
          <w:sz w:val="24"/>
          <w:szCs w:val="24"/>
        </w:rPr>
        <w:t>，医院的边际收入被政策性封顶。当病种支付标准低于实际成本时，收治越多、亏损越大，传统的规模扩张路径失效</w:t>
      </w:r>
      <w:r>
        <w:rPr>
          <w:rStyle w:val="51"/>
          <w:rFonts w:hint="eastAsia"/>
          <w:lang w:eastAsia="zh-CN"/>
        </w:rPr>
        <w:t>[1]</w:t>
      </w:r>
      <w:r>
        <w:rPr>
          <w:rFonts w:ascii="宋体" w:hAnsi="宋体" w:eastAsia="宋体" w:cs="宋体"/>
          <w:sz w:val="24"/>
          <w:szCs w:val="24"/>
        </w:rPr>
        <w:t>。</w:t>
      </w:r>
    </w:p>
    <w:p w14:paraId="3D2EF488">
      <w:pPr>
        <w:spacing w:before="0" w:after="0" w:line="400" w:lineRule="exact"/>
        <w:ind w:firstLine="480"/>
        <w:jc w:val="both"/>
      </w:pPr>
      <w:r>
        <w:rPr>
          <w:rFonts w:hint="eastAsia" w:ascii="Times New Roman" w:hAnsi="Times New Roman" w:eastAsia="宋体" w:cs="Times New Roman"/>
          <w:b/>
          <w:i w:val="0"/>
          <w:sz w:val="24"/>
        </w:rPr>
        <w:t>成本端：</w:t>
      </w:r>
      <w:r>
        <w:rPr>
          <w:rFonts w:hint="eastAsia" w:ascii="宋体" w:hAnsi="宋体" w:cs="宋体"/>
          <w:b w:val="0"/>
          <w:i w:val="0"/>
          <w:sz w:val="24"/>
          <w:lang w:eastAsia="zh-CN"/>
        </w:rPr>
        <w:t>A医疗集团</w:t>
      </w:r>
      <w:r>
        <w:rPr>
          <w:rFonts w:hint="eastAsia" w:ascii="宋体" w:hAnsi="宋体" w:eastAsia="宋体" w:cs="宋体"/>
          <w:b w:val="0"/>
          <w:i w:val="0"/>
          <w:sz w:val="24"/>
        </w:rPr>
        <w:t>的成本结构呈现</w:t>
      </w:r>
      <w:r>
        <w:rPr>
          <w:rFonts w:hint="eastAsia" w:ascii="宋体" w:hAnsi="宋体" w:eastAsia="宋体" w:cs="宋体"/>
          <w:b w:val="0"/>
          <w:i w:val="0"/>
          <w:sz w:val="24"/>
          <w:lang w:eastAsia="zh-CN"/>
        </w:rPr>
        <w:t>“</w:t>
      </w:r>
      <w:r>
        <w:rPr>
          <w:rFonts w:hint="eastAsia" w:ascii="宋体" w:hAnsi="宋体" w:eastAsia="宋体" w:cs="宋体"/>
          <w:b w:val="0"/>
          <w:i w:val="0"/>
          <w:sz w:val="24"/>
        </w:rPr>
        <w:t>刚性上升</w:t>
      </w:r>
      <w:r>
        <w:rPr>
          <w:rFonts w:hint="eastAsia" w:ascii="宋体" w:hAnsi="宋体" w:eastAsia="宋体" w:cs="宋体"/>
          <w:b w:val="0"/>
          <w:i w:val="0"/>
          <w:sz w:val="24"/>
          <w:lang w:eastAsia="zh-CN"/>
        </w:rPr>
        <w:t>”</w:t>
      </w:r>
      <w:r>
        <w:rPr>
          <w:rFonts w:hint="eastAsia" w:ascii="宋体" w:hAnsi="宋体" w:eastAsia="宋体" w:cs="宋体"/>
          <w:b w:val="0"/>
          <w:i w:val="0"/>
          <w:sz w:val="24"/>
        </w:rPr>
        <w:t>特征。人力成本方面，为吸引人才，集团薪酬水平需对标公立医院；</w:t>
      </w:r>
      <w:r>
        <w:rPr>
          <w:rFonts w:hint="eastAsia" w:ascii="Times New Roman" w:hAnsi="Times New Roman" w:eastAsia="宋体"/>
          <w:b w:val="0"/>
          <w:i w:val="0"/>
          <w:sz w:val="24"/>
        </w:rPr>
        <w:t>药耗成本方面，尽管集团建立了供应链平台，但部分医院的集采执行率不足20%，高值耗材仍大量依赖院外采购；管理成本方面，集团化运营带来的总部费用分摊持续上升。</w:t>
      </w:r>
    </w:p>
    <w:p w14:paraId="0FB04EC7">
      <w:pPr>
        <w:spacing w:before="0" w:after="0" w:line="400" w:lineRule="exact"/>
        <w:ind w:firstLine="480"/>
        <w:jc w:val="both"/>
        <w:rPr>
          <w:rFonts w:hint="eastAsia" w:eastAsia="宋体"/>
          <w:b w:val="0"/>
          <w:i w:val="0"/>
          <w:sz w:val="24"/>
          <w:lang w:eastAsia="zh-CN"/>
        </w:rPr>
      </w:pPr>
      <w:r>
        <w:rPr>
          <w:rFonts w:hint="eastAsia" w:ascii="Times New Roman" w:hAnsi="Times New Roman" w:eastAsia="宋体"/>
          <w:b/>
          <w:i w:val="0"/>
          <w:sz w:val="24"/>
        </w:rPr>
        <w:t>利润端</w:t>
      </w:r>
      <w:r>
        <w:rPr>
          <w:rFonts w:hint="eastAsia" w:ascii="Times New Roman" w:hAnsi="Times New Roman" w:eastAsia="宋体"/>
          <w:b w:val="0"/>
          <w:i w:val="0"/>
          <w:sz w:val="24"/>
        </w:rPr>
        <w:t>：收入增长放缓与成本刚性上升的</w:t>
      </w:r>
      <w:r>
        <w:rPr>
          <w:rFonts w:hint="eastAsia" w:eastAsia="宋体"/>
          <w:b w:val="0"/>
          <w:i w:val="0"/>
          <w:sz w:val="24"/>
          <w:lang w:eastAsia="zh-CN"/>
        </w:rPr>
        <w:t>“</w:t>
      </w:r>
      <w:r>
        <w:rPr>
          <w:rFonts w:hint="eastAsia" w:ascii="Times New Roman" w:hAnsi="Times New Roman" w:eastAsia="宋体"/>
          <w:b w:val="0"/>
          <w:i w:val="0"/>
          <w:sz w:val="24"/>
        </w:rPr>
        <w:t>剪刀差</w:t>
      </w:r>
      <w:r>
        <w:rPr>
          <w:rFonts w:hint="eastAsia" w:eastAsia="宋体"/>
          <w:b w:val="0"/>
          <w:i w:val="0"/>
          <w:sz w:val="24"/>
          <w:lang w:eastAsia="zh-CN"/>
        </w:rPr>
        <w:t>”</w:t>
      </w:r>
      <w:r>
        <w:rPr>
          <w:rFonts w:hint="eastAsia" w:ascii="Times New Roman" w:hAnsi="Times New Roman" w:eastAsia="宋体"/>
          <w:b w:val="0"/>
          <w:i w:val="0"/>
          <w:sz w:val="24"/>
        </w:rPr>
        <w:t>，直接挤压了利润空间。更值得警惕的是，集团层面通过供应链</w:t>
      </w:r>
      <w:r>
        <w:rPr>
          <w:rFonts w:hint="eastAsia"/>
          <w:b w:val="0"/>
          <w:i w:val="0"/>
          <w:sz w:val="24"/>
          <w:lang w:eastAsia="zh-CN"/>
        </w:rPr>
        <w:t>集中管理协同收益</w:t>
      </w:r>
      <w:r>
        <w:rPr>
          <w:rFonts w:hint="eastAsia" w:ascii="Times New Roman" w:hAnsi="Times New Roman" w:eastAsia="宋体"/>
          <w:b w:val="0"/>
          <w:i w:val="0"/>
          <w:sz w:val="24"/>
        </w:rPr>
        <w:t>回收实现的利润，在一定程度上</w:t>
      </w:r>
      <w:r>
        <w:rPr>
          <w:rFonts w:hint="eastAsia" w:ascii="Times New Roman" w:hAnsi="Times New Roman" w:eastAsia="宋体"/>
          <w:b w:val="0"/>
          <w:bCs/>
          <w:i w:val="0"/>
          <w:sz w:val="24"/>
        </w:rPr>
        <w:t>掩盖</w:t>
      </w:r>
      <w:r>
        <w:rPr>
          <w:rFonts w:hint="eastAsia" w:ascii="Times New Roman" w:hAnsi="Times New Roman" w:eastAsia="宋体"/>
          <w:b w:val="0"/>
          <w:i w:val="0"/>
          <w:sz w:val="24"/>
        </w:rPr>
        <w:t>了院区层面医保亏损的真实严重性——当</w:t>
      </w:r>
      <w:r>
        <w:rPr>
          <w:rFonts w:hint="eastAsia" w:eastAsia="宋体"/>
          <w:b w:val="0"/>
          <w:i w:val="0"/>
          <w:sz w:val="24"/>
          <w:lang w:eastAsia="zh-CN"/>
        </w:rPr>
        <w:t>“</w:t>
      </w:r>
      <w:r>
        <w:rPr>
          <w:rFonts w:hint="eastAsia" w:ascii="Times New Roman" w:hAnsi="Times New Roman" w:eastAsia="宋体"/>
          <w:b w:val="0"/>
          <w:i w:val="0"/>
          <w:sz w:val="24"/>
        </w:rPr>
        <w:t>蓄水池效应</w:t>
      </w:r>
      <w:r>
        <w:rPr>
          <w:rFonts w:hint="eastAsia" w:eastAsia="宋体"/>
          <w:b w:val="0"/>
          <w:i w:val="0"/>
          <w:sz w:val="24"/>
          <w:lang w:eastAsia="zh-CN"/>
        </w:rPr>
        <w:t>”</w:t>
      </w:r>
      <w:r>
        <w:rPr>
          <w:rFonts w:hint="eastAsia" w:ascii="Times New Roman" w:hAnsi="Times New Roman" w:eastAsia="宋体"/>
          <w:b w:val="0"/>
          <w:i w:val="0"/>
          <w:sz w:val="24"/>
        </w:rPr>
        <w:t>被误读为</w:t>
      </w:r>
      <w:r>
        <w:rPr>
          <w:rFonts w:hint="eastAsia" w:eastAsia="宋体"/>
          <w:b w:val="0"/>
          <w:i w:val="0"/>
          <w:sz w:val="24"/>
          <w:lang w:eastAsia="zh-CN"/>
        </w:rPr>
        <w:t>“</w:t>
      </w:r>
      <w:r>
        <w:rPr>
          <w:rFonts w:hint="eastAsia" w:ascii="Times New Roman" w:hAnsi="Times New Roman" w:eastAsia="宋体"/>
          <w:b w:val="0"/>
          <w:i w:val="0"/>
          <w:sz w:val="24"/>
        </w:rPr>
        <w:t>核心竞争力</w:t>
      </w:r>
      <w:r>
        <w:rPr>
          <w:rFonts w:hint="eastAsia" w:eastAsia="宋体"/>
          <w:b w:val="0"/>
          <w:i w:val="0"/>
          <w:sz w:val="24"/>
          <w:lang w:eastAsia="zh-CN"/>
        </w:rPr>
        <w:t>”</w:t>
      </w:r>
      <w:r>
        <w:rPr>
          <w:rFonts w:hint="eastAsia" w:ascii="Times New Roman" w:hAnsi="Times New Roman" w:eastAsia="宋体"/>
          <w:b w:val="0"/>
          <w:i w:val="0"/>
          <w:sz w:val="24"/>
        </w:rPr>
        <w:t>时，管理层可能丧失对临床效率低下的警觉</w:t>
      </w:r>
      <w:r>
        <w:rPr>
          <w:rFonts w:hint="eastAsia" w:eastAsia="宋体"/>
          <w:b w:val="0"/>
          <w:i w:val="0"/>
          <w:sz w:val="24"/>
          <w:lang w:eastAsia="zh-CN"/>
        </w:rPr>
        <w:t>。</w:t>
      </w:r>
      <w:r>
        <w:rPr>
          <w:rFonts w:ascii="宋体" w:hAnsi="宋体" w:eastAsia="宋体" w:cs="宋体"/>
          <w:sz w:val="24"/>
          <w:szCs w:val="24"/>
        </w:rPr>
        <w:t>这一现象凸显了对</w:t>
      </w:r>
      <w:r>
        <w:rPr>
          <w:rFonts w:hint="eastAsia" w:ascii="宋体" w:hAnsi="宋体" w:cs="宋体"/>
          <w:sz w:val="24"/>
          <w:szCs w:val="24"/>
          <w:lang w:eastAsia="zh-CN"/>
        </w:rPr>
        <w:t>“</w:t>
      </w:r>
      <w:r>
        <w:rPr>
          <w:rFonts w:ascii="宋体" w:hAnsi="宋体" w:eastAsia="宋体" w:cs="宋体"/>
          <w:sz w:val="24"/>
          <w:szCs w:val="24"/>
        </w:rPr>
        <w:t>收入质量</w:t>
      </w:r>
      <w:r>
        <w:rPr>
          <w:rFonts w:hint="eastAsia" w:ascii="宋体" w:hAnsi="宋体" w:cs="宋体"/>
          <w:sz w:val="24"/>
          <w:szCs w:val="24"/>
          <w:lang w:eastAsia="zh-CN"/>
        </w:rPr>
        <w:t>”</w:t>
      </w:r>
      <w:r>
        <w:rPr>
          <w:rFonts w:ascii="宋体" w:hAnsi="宋体" w:eastAsia="宋体" w:cs="宋体"/>
          <w:sz w:val="24"/>
          <w:szCs w:val="24"/>
        </w:rPr>
        <w:t>而非</w:t>
      </w:r>
      <w:r>
        <w:rPr>
          <w:rFonts w:hint="eastAsia" w:ascii="宋体" w:hAnsi="宋体" w:cs="宋体"/>
          <w:sz w:val="24"/>
          <w:szCs w:val="24"/>
          <w:lang w:eastAsia="zh-CN"/>
        </w:rPr>
        <w:t>“</w:t>
      </w:r>
      <w:r>
        <w:rPr>
          <w:rFonts w:ascii="宋体" w:hAnsi="宋体" w:eastAsia="宋体" w:cs="宋体"/>
          <w:sz w:val="24"/>
          <w:szCs w:val="24"/>
        </w:rPr>
        <w:t>收入规模</w:t>
      </w:r>
      <w:r>
        <w:rPr>
          <w:rFonts w:hint="eastAsia" w:ascii="宋体" w:hAnsi="宋体" w:cs="宋体"/>
          <w:sz w:val="24"/>
          <w:szCs w:val="24"/>
          <w:lang w:eastAsia="zh-CN"/>
        </w:rPr>
        <w:t>”</w:t>
      </w:r>
      <w:r>
        <w:rPr>
          <w:rFonts w:ascii="宋体" w:hAnsi="宋体" w:eastAsia="宋体" w:cs="宋体"/>
          <w:sz w:val="24"/>
          <w:szCs w:val="24"/>
        </w:rPr>
        <w:t>进行深入研究的迫切必要性</w:t>
      </w:r>
      <w:r>
        <w:rPr>
          <w:rFonts w:hint="eastAsia" w:ascii="宋体" w:hAnsi="宋体" w:cs="宋体"/>
          <w:sz w:val="24"/>
          <w:szCs w:val="24"/>
          <w:lang w:eastAsia="zh-CN"/>
        </w:rPr>
        <w:t>。</w:t>
      </w:r>
    </w:p>
    <w:p w14:paraId="176EB0E6">
      <w:pPr>
        <w:spacing w:before="0" w:after="0" w:line="400" w:lineRule="exact"/>
        <w:ind w:firstLine="480"/>
        <w:jc w:val="both"/>
        <w:rPr>
          <w:rFonts w:hint="eastAsia" w:eastAsia="宋体"/>
          <w:b w:val="0"/>
          <w:i w:val="0"/>
          <w:sz w:val="24"/>
          <w:lang w:eastAsia="zh-CN"/>
        </w:rPr>
      </w:pPr>
    </w:p>
    <w:p w14:paraId="389110DF">
      <w:pPr>
        <w:pStyle w:val="4"/>
        <w:bidi w:val="0"/>
        <w:rPr>
          <w:rFonts w:hint="eastAsia"/>
        </w:rPr>
      </w:pPr>
      <w:bookmarkStart w:id="14" w:name="_Toc30087"/>
      <w:r>
        <w:rPr>
          <w:rFonts w:hint="eastAsia"/>
        </w:rPr>
        <w:t>DRG/DIP改革与管理转型：双重转折点</w:t>
      </w:r>
      <w:bookmarkEnd w:id="14"/>
    </w:p>
    <w:p w14:paraId="2ED44AB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lang w:val="en-US" w:eastAsia="zh-CN"/>
        </w:rPr>
        <w:t>2</w:t>
      </w:r>
      <w:r>
        <w:rPr>
          <w:rFonts w:hint="eastAsia" w:ascii="宋体" w:hAnsi="宋体" w:eastAsia="宋体" w:cs="宋体"/>
          <w:b w:val="0"/>
          <w:i w:val="0"/>
          <w:sz w:val="24"/>
        </w:rPr>
        <w:t>024年对</w:t>
      </w:r>
      <w:r>
        <w:rPr>
          <w:rFonts w:hint="eastAsia" w:ascii="宋体" w:hAnsi="宋体" w:cs="宋体"/>
          <w:b w:val="0"/>
          <w:i w:val="0"/>
          <w:sz w:val="24"/>
          <w:lang w:eastAsia="zh-CN"/>
        </w:rPr>
        <w:t>A医疗集团</w:t>
      </w:r>
      <w:r>
        <w:rPr>
          <w:rFonts w:hint="eastAsia" w:ascii="宋体" w:hAnsi="宋体" w:eastAsia="宋体" w:cs="宋体"/>
          <w:b w:val="0"/>
          <w:i w:val="0"/>
          <w:sz w:val="24"/>
        </w:rPr>
        <w:t>而言构成了一个罕见的</w:t>
      </w:r>
      <w:r>
        <w:rPr>
          <w:rFonts w:hint="eastAsia" w:ascii="宋体" w:hAnsi="宋体" w:cs="宋体"/>
          <w:b w:val="0"/>
          <w:i w:val="0"/>
          <w:sz w:val="24"/>
          <w:lang w:eastAsia="zh-CN"/>
        </w:rPr>
        <w:t>“</w:t>
      </w:r>
      <w:r>
        <w:rPr>
          <w:rFonts w:hint="eastAsia" w:ascii="宋体" w:hAnsi="宋体" w:eastAsia="宋体" w:cs="宋体"/>
          <w:b w:val="0"/>
          <w:i w:val="0"/>
          <w:sz w:val="24"/>
        </w:rPr>
        <w:t>双重转折点</w:t>
      </w:r>
      <w:r>
        <w:rPr>
          <w:rFonts w:hint="eastAsia" w:ascii="宋体" w:hAnsi="宋体" w:cs="宋体"/>
          <w:b w:val="0"/>
          <w:i w:val="0"/>
          <w:sz w:val="24"/>
          <w:lang w:eastAsia="zh-CN"/>
        </w:rPr>
        <w:t>”</w:t>
      </w:r>
      <w:r>
        <w:rPr>
          <w:rFonts w:hint="eastAsia" w:ascii="宋体" w:hAnsi="宋体" w:eastAsia="宋体" w:cs="宋体"/>
          <w:b w:val="0"/>
          <w:i w:val="0"/>
          <w:sz w:val="24"/>
        </w:rPr>
        <w:t>——外部政策环境与内部管理逻辑在同一时间节点发生根本性变化，二者的叠加效应深刻重塑了集团的运营格局。</w:t>
      </w:r>
    </w:p>
    <w:p w14:paraId="321C3B24">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外部维度：</w:t>
      </w:r>
      <w:r>
        <w:rPr>
          <w:rFonts w:hint="eastAsia" w:ascii="宋体" w:hAnsi="宋体" w:eastAsia="宋体" w:cs="宋体"/>
          <w:b w:val="0"/>
          <w:i w:val="0"/>
          <w:sz w:val="24"/>
        </w:rPr>
        <w:t>医保支付政策系统性收紧。2021年11月，国家医疗保障局印发《DRG/DIP支付方式改革三年行动计划》</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9</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，明确提出到2024年底实现统筹地区、医疗机构、病种和医保基金</w:t>
      </w:r>
      <w:r>
        <w:rPr>
          <w:rFonts w:hint="eastAsia" w:ascii="宋体" w:hAnsi="宋体" w:cs="宋体"/>
          <w:b w:val="0"/>
          <w:i w:val="0"/>
          <w:sz w:val="24"/>
          <w:lang w:eastAsia="zh-CN"/>
        </w:rPr>
        <w:t>“</w:t>
      </w:r>
      <w:r>
        <w:rPr>
          <w:rFonts w:hint="eastAsia" w:ascii="宋体" w:hAnsi="宋体" w:eastAsia="宋体" w:cs="宋体"/>
          <w:b w:val="0"/>
          <w:i w:val="0"/>
          <w:sz w:val="24"/>
        </w:rPr>
        <w:t>四个全覆盖</w:t>
      </w:r>
      <w:r>
        <w:rPr>
          <w:rFonts w:hint="eastAsia" w:ascii="宋体" w:hAnsi="宋体" w:cs="宋体"/>
          <w:b w:val="0"/>
          <w:i w:val="0"/>
          <w:sz w:val="24"/>
          <w:lang w:eastAsia="zh-CN"/>
        </w:rPr>
        <w:t>”</w:t>
      </w:r>
      <w:r>
        <w:rPr>
          <w:rFonts w:hint="eastAsia" w:ascii="宋体" w:hAnsi="宋体" w:eastAsia="宋体" w:cs="宋体"/>
          <w:b w:val="0"/>
          <w:i w:val="0"/>
          <w:sz w:val="24"/>
        </w:rPr>
        <w:t>。2024年7月，国家医保局进一步发布《按病组和病种分值付费2.0版分组方案》</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30</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，标志着改革进入深水区。与此同时，疫情防控政策调整后，各地医保基金收支压力凸显，清算审核从严，返还率普遍下降。2024年成为DRG/DIP改革真正意义上的</w:t>
      </w:r>
      <w:r>
        <w:rPr>
          <w:rFonts w:hint="eastAsia" w:ascii="宋体" w:hAnsi="宋体" w:cs="宋体"/>
          <w:b w:val="0"/>
          <w:i w:val="0"/>
          <w:sz w:val="24"/>
          <w:lang w:eastAsia="zh-CN"/>
        </w:rPr>
        <w:t>“</w:t>
      </w:r>
      <w:r>
        <w:rPr>
          <w:rFonts w:hint="eastAsia" w:ascii="宋体" w:hAnsi="宋体" w:eastAsia="宋体" w:cs="宋体"/>
          <w:b w:val="0"/>
          <w:i w:val="0"/>
          <w:sz w:val="24"/>
        </w:rPr>
        <w:t>全面落地元年</w:t>
      </w:r>
      <w:r>
        <w:rPr>
          <w:rFonts w:hint="eastAsia" w:ascii="宋体" w:hAnsi="宋体" w:cs="宋体"/>
          <w:b w:val="0"/>
          <w:i w:val="0"/>
          <w:sz w:val="24"/>
          <w:lang w:eastAsia="zh-CN"/>
        </w:rPr>
        <w:t>”</w:t>
      </w:r>
      <w:r>
        <w:rPr>
          <w:rFonts w:hint="eastAsia" w:ascii="宋体" w:hAnsi="宋体" w:eastAsia="宋体" w:cs="宋体"/>
          <w:b w:val="0"/>
          <w:i w:val="0"/>
          <w:sz w:val="24"/>
        </w:rPr>
        <w:t>，对医疗机构的财务冲击从局部试点扩展为系统性压力。</w:t>
      </w:r>
    </w:p>
    <w:p w14:paraId="660EB2D8">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内部维度：</w:t>
      </w:r>
      <w:r>
        <w:rPr>
          <w:rFonts w:hint="eastAsia" w:ascii="宋体" w:hAnsi="宋体" w:cs="宋体"/>
          <w:b w:val="0"/>
          <w:i w:val="0"/>
          <w:sz w:val="24"/>
          <w:lang w:eastAsia="zh-CN"/>
        </w:rPr>
        <w:t>A医疗集团</w:t>
      </w:r>
      <w:r>
        <w:rPr>
          <w:rFonts w:hint="eastAsia" w:ascii="宋体" w:hAnsi="宋体" w:eastAsia="宋体" w:cs="宋体"/>
          <w:b w:val="0"/>
          <w:i w:val="0"/>
          <w:sz w:val="24"/>
        </w:rPr>
        <w:t>启动管理逻辑的根本性调整。2024年初，集团正式将管理模式从</w:t>
      </w:r>
      <w:r>
        <w:rPr>
          <w:rFonts w:hint="eastAsia" w:ascii="宋体" w:hAnsi="宋体" w:cs="宋体"/>
          <w:b w:val="0"/>
          <w:i w:val="0"/>
          <w:sz w:val="24"/>
          <w:lang w:eastAsia="zh-CN"/>
        </w:rPr>
        <w:t>“</w:t>
      </w:r>
      <w:r>
        <w:rPr>
          <w:rFonts w:hint="eastAsia" w:ascii="宋体" w:hAnsi="宋体" w:eastAsia="宋体" w:cs="宋体"/>
          <w:b w:val="0"/>
          <w:i w:val="0"/>
          <w:sz w:val="24"/>
        </w:rPr>
        <w:t>粗放型规模扩张</w:t>
      </w:r>
      <w:r>
        <w:rPr>
          <w:rFonts w:hint="eastAsia" w:ascii="宋体" w:hAnsi="宋体" w:cs="宋体"/>
          <w:b w:val="0"/>
          <w:i w:val="0"/>
          <w:sz w:val="24"/>
          <w:lang w:eastAsia="zh-CN"/>
        </w:rPr>
        <w:t>”</w:t>
      </w:r>
      <w:r>
        <w:rPr>
          <w:rFonts w:hint="eastAsia" w:ascii="宋体" w:hAnsi="宋体" w:eastAsia="宋体" w:cs="宋体"/>
          <w:b w:val="0"/>
          <w:i w:val="0"/>
          <w:sz w:val="24"/>
        </w:rPr>
        <w:t>转向</w:t>
      </w:r>
      <w:r>
        <w:rPr>
          <w:rFonts w:hint="eastAsia" w:ascii="宋体" w:hAnsi="宋体" w:cs="宋体"/>
          <w:b w:val="0"/>
          <w:i w:val="0"/>
          <w:sz w:val="24"/>
          <w:lang w:eastAsia="zh-CN"/>
        </w:rPr>
        <w:t>“</w:t>
      </w:r>
      <w:r>
        <w:rPr>
          <w:rFonts w:hint="eastAsia" w:ascii="宋体" w:hAnsi="宋体" w:eastAsia="宋体" w:cs="宋体"/>
          <w:b w:val="0"/>
          <w:i w:val="0"/>
          <w:sz w:val="24"/>
        </w:rPr>
        <w:t>精细化价值运营</w:t>
      </w:r>
      <w:r>
        <w:rPr>
          <w:rFonts w:hint="eastAsia" w:ascii="宋体" w:hAnsi="宋体" w:cs="宋体"/>
          <w:b w:val="0"/>
          <w:i w:val="0"/>
          <w:sz w:val="24"/>
          <w:lang w:eastAsia="zh-CN"/>
        </w:rPr>
        <w:t>”</w:t>
      </w:r>
      <w:r>
        <w:rPr>
          <w:rFonts w:hint="eastAsia" w:ascii="宋体" w:hAnsi="宋体" w:eastAsia="宋体" w:cs="宋体"/>
          <w:b w:val="0"/>
          <w:i w:val="0"/>
          <w:sz w:val="24"/>
        </w:rPr>
        <w:t>，要求年度预算与三年高质量发展规划严格挂钩，杜绝</w:t>
      </w:r>
      <w:r>
        <w:rPr>
          <w:rFonts w:hint="eastAsia" w:ascii="宋体" w:hAnsi="宋体" w:cs="宋体"/>
          <w:b w:val="0"/>
          <w:i w:val="0"/>
          <w:sz w:val="24"/>
          <w:lang w:eastAsia="zh-CN"/>
        </w:rPr>
        <w:t>“</w:t>
      </w:r>
      <w:r>
        <w:rPr>
          <w:rFonts w:hint="eastAsia" w:ascii="宋体" w:hAnsi="宋体" w:eastAsia="宋体" w:cs="宋体"/>
          <w:b w:val="0"/>
          <w:i w:val="0"/>
          <w:sz w:val="24"/>
        </w:rPr>
        <w:t>战略与预算两张皮</w:t>
      </w:r>
      <w:r>
        <w:rPr>
          <w:rFonts w:hint="eastAsia" w:ascii="宋体" w:hAnsi="宋体" w:cs="宋体"/>
          <w:b w:val="0"/>
          <w:i w:val="0"/>
          <w:sz w:val="24"/>
          <w:lang w:eastAsia="zh-CN"/>
        </w:rPr>
        <w:t>”</w:t>
      </w:r>
      <w:r>
        <w:rPr>
          <w:rFonts w:hint="eastAsia" w:ascii="宋体" w:hAnsi="宋体" w:eastAsia="宋体" w:cs="宋体"/>
          <w:b w:val="0"/>
          <w:i w:val="0"/>
          <w:sz w:val="24"/>
        </w:rPr>
        <w:t>。这是一次管理逻辑和考核体系的根本性调整——从追求收入增长转向追求收入质量，从关注规模指标转向关注效率指标。集团同步推进集采执行强化、临床路径标准化、DRG编码优化和绩效激励重构等一系列管理措施。</w:t>
      </w:r>
    </w:p>
    <w:p w14:paraId="69F762A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双重转折点的叠加效应使得2024年成为一个天然的</w:t>
      </w:r>
      <w:r>
        <w:rPr>
          <w:rFonts w:hint="eastAsia" w:ascii="宋体" w:hAnsi="宋体" w:cs="宋体"/>
          <w:b w:val="0"/>
          <w:i w:val="0"/>
          <w:sz w:val="24"/>
          <w:lang w:eastAsia="zh-CN"/>
        </w:rPr>
        <w:t>“</w:t>
      </w:r>
      <w:r>
        <w:rPr>
          <w:rFonts w:hint="eastAsia" w:ascii="宋体" w:hAnsi="宋体" w:eastAsia="宋体" w:cs="宋体"/>
          <w:b w:val="0"/>
          <w:i w:val="0"/>
          <w:sz w:val="24"/>
        </w:rPr>
        <w:t>准自然实验</w:t>
      </w:r>
      <w:r>
        <w:rPr>
          <w:rFonts w:hint="eastAsia" w:ascii="宋体" w:hAnsi="宋体" w:cs="宋体"/>
          <w:b w:val="0"/>
          <w:i w:val="0"/>
          <w:sz w:val="24"/>
          <w:lang w:eastAsia="zh-CN"/>
        </w:rPr>
        <w:t>”</w:t>
      </w:r>
      <w:r>
        <w:rPr>
          <w:rFonts w:hint="eastAsia" w:ascii="宋体" w:hAnsi="宋体" w:eastAsia="宋体" w:cs="宋体"/>
          <w:b w:val="0"/>
          <w:i w:val="0"/>
          <w:sz w:val="24"/>
        </w:rPr>
        <w:t>（quasi-natural experiment）：外部冲击制造了政策压力，内部变革提供了应对方案，而不同医院的响应速度差异则创造了比较分析的条件。本研究正是利用这一</w:t>
      </w:r>
      <w:r>
        <w:rPr>
          <w:rFonts w:hint="eastAsia" w:ascii="宋体" w:hAnsi="宋体" w:cs="宋体"/>
          <w:b w:val="0"/>
          <w:i w:val="0"/>
          <w:sz w:val="24"/>
          <w:lang w:eastAsia="zh-CN"/>
        </w:rPr>
        <w:t>“</w:t>
      </w:r>
      <w:r>
        <w:rPr>
          <w:rFonts w:hint="eastAsia" w:ascii="宋体" w:hAnsi="宋体" w:eastAsia="宋体" w:cs="宋体"/>
          <w:b w:val="0"/>
          <w:i w:val="0"/>
          <w:sz w:val="24"/>
        </w:rPr>
        <w:t>双重干预叠加</w:t>
      </w:r>
      <w:r>
        <w:rPr>
          <w:rFonts w:hint="eastAsia" w:ascii="宋体" w:hAnsi="宋体" w:cs="宋体"/>
          <w:b w:val="0"/>
          <w:i w:val="0"/>
          <w:sz w:val="24"/>
          <w:lang w:eastAsia="zh-CN"/>
        </w:rPr>
        <w:t>”</w:t>
      </w:r>
      <w:r>
        <w:rPr>
          <w:rFonts w:hint="eastAsia" w:ascii="宋体" w:hAnsi="宋体" w:eastAsia="宋体" w:cs="宋体"/>
          <w:b w:val="0"/>
          <w:i w:val="0"/>
          <w:sz w:val="24"/>
        </w:rPr>
        <w:t>的分析框架，揭示管理响应速度如何决定医院在改革中的财务命运。</w:t>
      </w:r>
    </w:p>
    <w:p w14:paraId="5F445A17">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对于</w:t>
      </w:r>
      <w:r>
        <w:rPr>
          <w:rFonts w:hint="eastAsia" w:ascii="宋体" w:hAnsi="宋体" w:cs="宋体"/>
          <w:b w:val="0"/>
          <w:i w:val="0"/>
          <w:sz w:val="24"/>
          <w:lang w:eastAsia="zh-CN"/>
        </w:rPr>
        <w:t>A医疗集团</w:t>
      </w:r>
      <w:r>
        <w:rPr>
          <w:rFonts w:hint="eastAsia" w:ascii="宋体" w:hAnsi="宋体" w:eastAsia="宋体" w:cs="宋体"/>
          <w:b w:val="0"/>
          <w:i w:val="0"/>
          <w:sz w:val="24"/>
        </w:rPr>
        <w:t>而言，DRG/DIP改革既是</w:t>
      </w:r>
      <w:r>
        <w:rPr>
          <w:rFonts w:hint="eastAsia" w:ascii="宋体" w:hAnsi="宋体" w:cs="宋体"/>
          <w:b w:val="0"/>
          <w:i w:val="0"/>
          <w:sz w:val="24"/>
          <w:lang w:eastAsia="zh-CN"/>
        </w:rPr>
        <w:t>“</w:t>
      </w:r>
      <w:r>
        <w:rPr>
          <w:rFonts w:hint="eastAsia" w:ascii="宋体" w:hAnsi="宋体" w:eastAsia="宋体" w:cs="宋体"/>
          <w:b w:val="0"/>
          <w:i w:val="0"/>
          <w:sz w:val="24"/>
        </w:rPr>
        <w:t>压力测试</w:t>
      </w:r>
      <w:r>
        <w:rPr>
          <w:rFonts w:hint="eastAsia" w:ascii="宋体" w:hAnsi="宋体" w:cs="宋体"/>
          <w:b w:val="0"/>
          <w:i w:val="0"/>
          <w:sz w:val="24"/>
          <w:lang w:eastAsia="zh-CN"/>
        </w:rPr>
        <w:t>”</w:t>
      </w:r>
      <w:r>
        <w:rPr>
          <w:rFonts w:hint="eastAsia" w:ascii="宋体" w:hAnsi="宋体" w:eastAsia="宋体" w:cs="宋体"/>
          <w:b w:val="0"/>
          <w:i w:val="0"/>
          <w:sz w:val="24"/>
        </w:rPr>
        <w:t>，也是</w:t>
      </w:r>
      <w:r>
        <w:rPr>
          <w:rFonts w:hint="eastAsia" w:ascii="宋体" w:hAnsi="宋体" w:cs="宋体"/>
          <w:b w:val="0"/>
          <w:i w:val="0"/>
          <w:sz w:val="24"/>
          <w:lang w:eastAsia="zh-CN"/>
        </w:rPr>
        <w:t>“</w:t>
      </w:r>
      <w:r>
        <w:rPr>
          <w:rFonts w:hint="eastAsia" w:ascii="宋体" w:hAnsi="宋体" w:eastAsia="宋体" w:cs="宋体"/>
          <w:b w:val="0"/>
          <w:i w:val="0"/>
          <w:sz w:val="24"/>
        </w:rPr>
        <w:t>转型契机</w:t>
      </w:r>
      <w:r>
        <w:rPr>
          <w:rFonts w:hint="eastAsia" w:ascii="宋体" w:hAnsi="宋体" w:cs="宋体"/>
          <w:b w:val="0"/>
          <w:i w:val="0"/>
          <w:sz w:val="24"/>
          <w:lang w:eastAsia="zh-CN"/>
        </w:rPr>
        <w:t>”</w:t>
      </w:r>
      <w:r>
        <w:rPr>
          <w:rFonts w:hint="eastAsia" w:ascii="宋体" w:hAnsi="宋体" w:eastAsia="宋体" w:cs="宋体"/>
          <w:b w:val="0"/>
          <w:i w:val="0"/>
          <w:sz w:val="24"/>
        </w:rPr>
        <w:t>。压力测试将暴露长期被规模扩张掩盖的管理短板——那些成本控制粗放、编码管理混乱、绩效激励错位的医院，将在改革中率先承压。转型契机则为具备精细化管理能力的医院提供了</w:t>
      </w:r>
      <w:r>
        <w:rPr>
          <w:rFonts w:hint="eastAsia" w:ascii="宋体" w:hAnsi="宋体" w:cs="宋体"/>
          <w:b w:val="0"/>
          <w:i w:val="0"/>
          <w:sz w:val="24"/>
          <w:lang w:eastAsia="zh-CN"/>
        </w:rPr>
        <w:t>“</w:t>
      </w:r>
      <w:r>
        <w:rPr>
          <w:rFonts w:hint="eastAsia" w:ascii="宋体" w:hAnsi="宋体" w:eastAsia="宋体" w:cs="宋体"/>
          <w:b w:val="0"/>
          <w:i w:val="0"/>
          <w:sz w:val="24"/>
        </w:rPr>
        <w:t>弯道超车</w:t>
      </w:r>
      <w:r>
        <w:rPr>
          <w:rFonts w:hint="eastAsia" w:ascii="宋体" w:hAnsi="宋体" w:cs="宋体"/>
          <w:b w:val="0"/>
          <w:i w:val="0"/>
          <w:sz w:val="24"/>
          <w:lang w:eastAsia="zh-CN"/>
        </w:rPr>
        <w:t>”</w:t>
      </w:r>
      <w:r>
        <w:rPr>
          <w:rFonts w:hint="eastAsia" w:ascii="宋体" w:hAnsi="宋体" w:eastAsia="宋体" w:cs="宋体"/>
          <w:b w:val="0"/>
          <w:i w:val="0"/>
          <w:sz w:val="24"/>
        </w:rPr>
        <w:t>的机会——在病种支付标准统一的环境下，成本控制能力就是核心竞争力。本研究的核心关切正是：在外部政策收紧与内部管理变革的双重作用下，</w:t>
      </w:r>
      <w:r>
        <w:rPr>
          <w:rFonts w:hint="eastAsia" w:ascii="宋体" w:hAnsi="宋体" w:cs="宋体"/>
          <w:b w:val="0"/>
          <w:i w:val="0"/>
          <w:sz w:val="24"/>
          <w:lang w:eastAsia="zh-CN"/>
        </w:rPr>
        <w:t>A医疗集团</w:t>
      </w:r>
      <w:r>
        <w:rPr>
          <w:rFonts w:hint="eastAsia" w:ascii="宋体" w:hAnsi="宋体" w:eastAsia="宋体" w:cs="宋体"/>
          <w:b w:val="0"/>
          <w:i w:val="0"/>
          <w:sz w:val="24"/>
        </w:rPr>
        <w:t>如何将</w:t>
      </w:r>
      <w:r>
        <w:rPr>
          <w:rFonts w:hint="eastAsia" w:ascii="宋体" w:hAnsi="宋体" w:cs="宋体"/>
          <w:b w:val="0"/>
          <w:i w:val="0"/>
          <w:sz w:val="24"/>
          <w:lang w:eastAsia="zh-CN"/>
        </w:rPr>
        <w:t>“</w:t>
      </w:r>
      <w:r>
        <w:rPr>
          <w:rFonts w:hint="eastAsia" w:ascii="宋体" w:hAnsi="宋体" w:eastAsia="宋体" w:cs="宋体"/>
          <w:b w:val="0"/>
          <w:i w:val="0"/>
          <w:sz w:val="24"/>
        </w:rPr>
        <w:t>压力</w:t>
      </w:r>
      <w:r>
        <w:rPr>
          <w:rFonts w:hint="eastAsia" w:ascii="宋体" w:hAnsi="宋体" w:cs="宋体"/>
          <w:b w:val="0"/>
          <w:i w:val="0"/>
          <w:sz w:val="24"/>
          <w:lang w:eastAsia="zh-CN"/>
        </w:rPr>
        <w:t>”</w:t>
      </w:r>
      <w:r>
        <w:rPr>
          <w:rFonts w:hint="eastAsia" w:ascii="宋体" w:hAnsi="宋体" w:eastAsia="宋体" w:cs="宋体"/>
          <w:b w:val="0"/>
          <w:i w:val="0"/>
          <w:sz w:val="24"/>
        </w:rPr>
        <w:t>转化为</w:t>
      </w:r>
      <w:r>
        <w:rPr>
          <w:rFonts w:hint="eastAsia" w:ascii="宋体" w:hAnsi="宋体" w:cs="宋体"/>
          <w:b w:val="0"/>
          <w:i w:val="0"/>
          <w:sz w:val="24"/>
          <w:lang w:eastAsia="zh-CN"/>
        </w:rPr>
        <w:t>“</w:t>
      </w:r>
      <w:r>
        <w:rPr>
          <w:rFonts w:hint="eastAsia" w:ascii="宋体" w:hAnsi="宋体" w:eastAsia="宋体" w:cs="宋体"/>
          <w:b w:val="0"/>
          <w:i w:val="0"/>
          <w:sz w:val="24"/>
        </w:rPr>
        <w:t>动力</w:t>
      </w:r>
      <w:r>
        <w:rPr>
          <w:rFonts w:hint="eastAsia" w:ascii="宋体" w:hAnsi="宋体" w:cs="宋体"/>
          <w:b w:val="0"/>
          <w:i w:val="0"/>
          <w:sz w:val="24"/>
          <w:lang w:eastAsia="zh-CN"/>
        </w:rPr>
        <w:t>”</w:t>
      </w:r>
      <w:r>
        <w:rPr>
          <w:rFonts w:hint="eastAsia" w:ascii="宋体" w:hAnsi="宋体" w:eastAsia="宋体" w:cs="宋体"/>
          <w:b w:val="0"/>
          <w:i w:val="0"/>
          <w:sz w:val="24"/>
        </w:rPr>
        <w:t>，实现医疗收入质量的战略性提升？</w:t>
      </w:r>
    </w:p>
    <w:p w14:paraId="352EEF0B">
      <w:pPr>
        <w:spacing w:before="0" w:after="0" w:line="400" w:lineRule="exact"/>
        <w:ind w:firstLine="480"/>
        <w:jc w:val="both"/>
        <w:rPr>
          <w:rFonts w:hint="eastAsia" w:ascii="宋体" w:hAnsi="宋体" w:eastAsia="宋体" w:cs="宋体"/>
          <w:b w:val="0"/>
          <w:i w:val="0"/>
          <w:sz w:val="24"/>
        </w:rPr>
      </w:pPr>
    </w:p>
    <w:p w14:paraId="51DFF770">
      <w:pPr>
        <w:spacing w:before="0" w:after="0" w:line="400" w:lineRule="exact"/>
        <w:jc w:val="both"/>
        <w:rPr>
          <w:rFonts w:hint="eastAsia" w:eastAsia="宋体"/>
          <w:b w:val="0"/>
          <w:i w:val="0"/>
          <w:sz w:val="24"/>
          <w:lang w:eastAsia="zh-CN"/>
        </w:rPr>
      </w:pPr>
    </w:p>
    <w:bookmarkEnd w:id="11"/>
    <w:bookmarkEnd w:id="12"/>
    <w:p w14:paraId="292F19E7">
      <w:pPr>
        <w:pStyle w:val="3"/>
        <w:bidi w:val="0"/>
        <w:ind w:left="575" w:leftChars="0" w:hanging="575" w:firstLineChars="0"/>
      </w:pPr>
      <w:bookmarkStart w:id="15" w:name="_Toc26794"/>
      <w:r>
        <w:rPr>
          <w:rFonts w:hint="eastAsia"/>
        </w:rPr>
        <w:t>研究问题与意义</w:t>
      </w:r>
      <w:bookmarkEnd w:id="15"/>
    </w:p>
    <w:p w14:paraId="727A0EC6">
      <w:pPr>
        <w:pStyle w:val="4"/>
        <w:bidi w:val="0"/>
      </w:pPr>
      <w:bookmarkStart w:id="16" w:name="_Toc252"/>
      <w:bookmarkStart w:id="17" w:name="_Toc345588841"/>
      <w:bookmarkStart w:id="18" w:name="_Toc292178199"/>
      <w:r>
        <w:rPr>
          <w:rFonts w:hint="eastAsia"/>
        </w:rPr>
        <w:t>核心研究问题</w:t>
      </w:r>
      <w:bookmarkEnd w:id="16"/>
    </w:p>
    <w:p w14:paraId="0FB52DF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本研究聚焦以下三个递进式问题：</w:t>
      </w:r>
    </w:p>
    <w:p w14:paraId="329C2F19">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问题一：</w:t>
      </w:r>
      <w:r>
        <w:rPr>
          <w:rFonts w:hint="eastAsia" w:ascii="宋体" w:hAnsi="宋体" w:eastAsia="宋体" w:cs="宋体"/>
          <w:b w:val="0"/>
          <w:i w:val="0"/>
          <w:sz w:val="24"/>
        </w:rPr>
        <w:t>外部医保支付政策收紧与内部管理转型对</w:t>
      </w:r>
      <w:r>
        <w:rPr>
          <w:rFonts w:hint="eastAsia" w:ascii="宋体" w:hAnsi="宋体" w:cs="宋体"/>
          <w:b w:val="0"/>
          <w:i w:val="0"/>
          <w:sz w:val="24"/>
          <w:lang w:eastAsia="zh-CN"/>
        </w:rPr>
        <w:t>A医疗集团</w:t>
      </w:r>
      <w:r>
        <w:rPr>
          <w:rFonts w:hint="eastAsia" w:ascii="宋体" w:hAnsi="宋体" w:eastAsia="宋体" w:cs="宋体"/>
          <w:b w:val="0"/>
          <w:i w:val="0"/>
          <w:sz w:val="24"/>
        </w:rPr>
        <w:t>医疗收入质量的叠加冲击机制是什么？旨在揭示双重干预下政策变量与管理变量对财务绩效的差异化传导路径。</w:t>
      </w:r>
    </w:p>
    <w:p w14:paraId="7BA275B4">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问题二：</w:t>
      </w:r>
      <w:r>
        <w:rPr>
          <w:rFonts w:hint="eastAsia" w:ascii="宋体" w:hAnsi="宋体" w:cs="宋体"/>
          <w:b w:val="0"/>
          <w:i w:val="0"/>
          <w:sz w:val="24"/>
          <w:lang w:eastAsia="zh-CN"/>
        </w:rPr>
        <w:t>A医疗集团</w:t>
      </w:r>
      <w:r>
        <w:rPr>
          <w:rFonts w:hint="eastAsia" w:ascii="宋体" w:hAnsi="宋体" w:eastAsia="宋体" w:cs="宋体"/>
          <w:b w:val="0"/>
          <w:i w:val="0"/>
          <w:sz w:val="24"/>
        </w:rPr>
        <w:t>内部不同医院在双重干预下为何呈现显著的响应速度分化？旨在识别调节管理响应效果的关键能力要素，包括集采执行率、临床路径覆盖率、DRG编码准确率等。</w:t>
      </w:r>
    </w:p>
    <w:p w14:paraId="7DA4626F">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bCs/>
          <w:i w:val="0"/>
          <w:sz w:val="24"/>
        </w:rPr>
        <w:t>问题三：</w:t>
      </w:r>
      <w:r>
        <w:rPr>
          <w:rFonts w:hint="eastAsia" w:ascii="宋体" w:hAnsi="宋体" w:cs="宋体"/>
          <w:b w:val="0"/>
          <w:i w:val="0"/>
          <w:sz w:val="24"/>
          <w:lang w:eastAsia="zh-CN"/>
        </w:rPr>
        <w:t>A医疗集团</w:t>
      </w:r>
      <w:r>
        <w:rPr>
          <w:rFonts w:hint="eastAsia" w:ascii="宋体" w:hAnsi="宋体" w:eastAsia="宋体" w:cs="宋体"/>
          <w:b w:val="0"/>
          <w:i w:val="0"/>
          <w:sz w:val="24"/>
        </w:rPr>
        <w:t>应如何构建系统性的收入质量优化策略与管理保障体系？旨在提供可操作的管理方案、实施路径和时间表。</w:t>
      </w:r>
    </w:p>
    <w:p w14:paraId="7E7643C5">
      <w:pPr>
        <w:pStyle w:val="4"/>
        <w:bidi w:val="0"/>
        <w:ind w:left="720" w:hanging="720"/>
        <w:rPr>
          <w:rFonts w:hint="eastAsia" w:cs="Times New Roman"/>
          <w:b/>
          <w:bCs/>
        </w:rPr>
      </w:pPr>
      <w:bookmarkStart w:id="19" w:name="_Toc11844"/>
      <w:r>
        <w:rPr>
          <w:rFonts w:hint="eastAsia" w:cs="Times New Roman"/>
          <w:b/>
          <w:bCs/>
        </w:rPr>
        <w:t>研究意义</w:t>
      </w:r>
      <w:bookmarkEnd w:id="19"/>
    </w:p>
    <w:p w14:paraId="0CC8B4A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理论意义：本研究发现并论证了</w:t>
      </w:r>
      <w:r>
        <w:rPr>
          <w:rFonts w:hint="eastAsia" w:ascii="宋体" w:hAnsi="宋体" w:cs="宋体"/>
          <w:b w:val="0"/>
          <w:i w:val="0"/>
          <w:sz w:val="24"/>
          <w:lang w:eastAsia="zh-CN"/>
        </w:rPr>
        <w:t>“</w:t>
      </w:r>
      <w:r>
        <w:rPr>
          <w:rFonts w:hint="eastAsia" w:ascii="宋体" w:hAnsi="宋体" w:eastAsia="宋体" w:cs="宋体"/>
          <w:b w:val="0"/>
          <w:i w:val="0"/>
          <w:sz w:val="24"/>
        </w:rPr>
        <w:t>CMI陷阱</w:t>
      </w:r>
      <w:r>
        <w:rPr>
          <w:rFonts w:hint="eastAsia" w:ascii="宋体" w:hAnsi="宋体" w:cs="宋体"/>
          <w:b w:val="0"/>
          <w:i w:val="0"/>
          <w:sz w:val="24"/>
          <w:lang w:eastAsia="zh-CN"/>
        </w:rPr>
        <w:t>”</w:t>
      </w:r>
      <w:r>
        <w:rPr>
          <w:rFonts w:hint="eastAsia" w:ascii="宋体" w:hAnsi="宋体" w:eastAsia="宋体" w:cs="宋体"/>
          <w:b w:val="0"/>
          <w:i w:val="0"/>
          <w:sz w:val="24"/>
        </w:rPr>
        <w:t>的阶段性特征——高CMI医院在DRG/DIP环境下面临更大的成本压力，但这一陷阱并非永久性结构困境，而是可以通过针对性管理措施实现动态突破。这一发现丰富了DRG/DIP改革效应的学术认知，为学科评价提供了新范式。同时，本研究提出的</w:t>
      </w:r>
      <w:r>
        <w:rPr>
          <w:rFonts w:hint="eastAsia" w:ascii="宋体" w:hAnsi="宋体" w:cs="宋体"/>
          <w:b w:val="0"/>
          <w:i w:val="0"/>
          <w:sz w:val="24"/>
          <w:lang w:eastAsia="zh-CN"/>
        </w:rPr>
        <w:t>“</w:t>
      </w:r>
      <w:r>
        <w:rPr>
          <w:rFonts w:hint="eastAsia" w:ascii="宋体" w:hAnsi="宋体" w:eastAsia="宋体" w:cs="宋体"/>
          <w:b w:val="0"/>
          <w:i w:val="0"/>
          <w:sz w:val="24"/>
        </w:rPr>
        <w:t>双重干预叠加</w:t>
      </w:r>
      <w:r>
        <w:rPr>
          <w:rFonts w:hint="eastAsia" w:ascii="宋体" w:hAnsi="宋体" w:cs="宋体"/>
          <w:b w:val="0"/>
          <w:i w:val="0"/>
          <w:sz w:val="24"/>
          <w:lang w:eastAsia="zh-CN"/>
        </w:rPr>
        <w:t>”</w:t>
      </w:r>
      <w:r>
        <w:rPr>
          <w:rFonts w:hint="eastAsia" w:ascii="宋体" w:hAnsi="宋体" w:eastAsia="宋体" w:cs="宋体"/>
          <w:b w:val="0"/>
          <w:i w:val="0"/>
          <w:sz w:val="24"/>
        </w:rPr>
        <w:t>分析框架，将外部政策冲击与内部管理变革纳入统一的间断时间序列分析模型，为评估复杂干预环境下的组织响应提供了方法论参考。此外，将激励相容理论应用于医疗集团内部治理，拓展了机制设计理论的应用边界</w:t>
      </w:r>
      <w:r>
        <w:rPr>
          <w:rStyle w:val="51"/>
          <w:rFonts w:hint="eastAsia"/>
        </w:rPr>
        <w:t>[7]</w:t>
      </w:r>
      <w:r>
        <w:rPr>
          <w:rFonts w:hint="eastAsia" w:ascii="宋体" w:hAnsi="宋体" w:eastAsia="宋体" w:cs="宋体"/>
          <w:b w:val="0"/>
          <w:i w:val="0"/>
          <w:sz w:val="24"/>
        </w:rPr>
        <w:t>。</w:t>
      </w:r>
    </w:p>
    <w:p w14:paraId="682E146E">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实践意义：本研究为</w:t>
      </w:r>
      <w:r>
        <w:rPr>
          <w:rFonts w:hint="eastAsia" w:ascii="宋体" w:hAnsi="宋体" w:cs="宋体"/>
          <w:b w:val="0"/>
          <w:i w:val="0"/>
          <w:sz w:val="24"/>
          <w:lang w:eastAsia="zh-CN"/>
        </w:rPr>
        <w:t>A医疗集团</w:t>
      </w:r>
      <w:r>
        <w:rPr>
          <w:rFonts w:hint="eastAsia" w:ascii="宋体" w:hAnsi="宋体" w:eastAsia="宋体" w:cs="宋体"/>
          <w:b w:val="0"/>
          <w:i w:val="0"/>
          <w:sz w:val="24"/>
        </w:rPr>
        <w:t>及同类非公医疗集团的战略转型提供了可复制的管理工具，包括</w:t>
      </w:r>
      <w:r>
        <w:rPr>
          <w:rFonts w:hint="eastAsia" w:ascii="宋体" w:hAnsi="宋体" w:cs="宋体"/>
          <w:b w:val="0"/>
          <w:i w:val="0"/>
          <w:sz w:val="24"/>
          <w:lang w:eastAsia="zh-CN"/>
        </w:rPr>
        <w:t>“</w:t>
      </w:r>
      <w:r>
        <w:rPr>
          <w:rFonts w:hint="eastAsia" w:ascii="宋体" w:hAnsi="宋体" w:eastAsia="宋体" w:cs="宋体"/>
          <w:b w:val="0"/>
          <w:i w:val="0"/>
          <w:sz w:val="24"/>
        </w:rPr>
        <w:t>CMI-边际贡献</w:t>
      </w:r>
      <w:r>
        <w:rPr>
          <w:rFonts w:hint="eastAsia" w:ascii="宋体" w:hAnsi="宋体" w:cs="宋体"/>
          <w:b w:val="0"/>
          <w:i w:val="0"/>
          <w:sz w:val="24"/>
          <w:lang w:eastAsia="zh-CN"/>
        </w:rPr>
        <w:t>”</w:t>
      </w:r>
      <w:r>
        <w:rPr>
          <w:rFonts w:hint="eastAsia" w:ascii="宋体" w:hAnsi="宋体" w:eastAsia="宋体" w:cs="宋体"/>
          <w:b w:val="0"/>
          <w:i w:val="0"/>
          <w:sz w:val="24"/>
        </w:rPr>
        <w:t>四象限学科画像模型、</w:t>
      </w:r>
      <w:r>
        <w:rPr>
          <w:rFonts w:hint="eastAsia" w:ascii="宋体" w:hAnsi="宋体" w:cs="宋体"/>
          <w:b w:val="0"/>
          <w:i w:val="0"/>
          <w:sz w:val="24"/>
          <w:lang w:eastAsia="zh-CN"/>
        </w:rPr>
        <w:t>“</w:t>
      </w:r>
      <w:r>
        <w:rPr>
          <w:rFonts w:hint="eastAsia" w:ascii="宋体" w:hAnsi="宋体" w:eastAsia="宋体" w:cs="宋体"/>
          <w:b w:val="0"/>
          <w:i w:val="0"/>
          <w:sz w:val="24"/>
        </w:rPr>
        <w:t>RBRVS+DRG盈余留用</w:t>
      </w:r>
      <w:r>
        <w:rPr>
          <w:rFonts w:hint="eastAsia" w:ascii="宋体" w:hAnsi="宋体" w:cs="宋体"/>
          <w:b w:val="0"/>
          <w:i w:val="0"/>
          <w:sz w:val="24"/>
          <w:lang w:eastAsia="zh-CN"/>
        </w:rPr>
        <w:t>”</w:t>
      </w:r>
      <w:r>
        <w:rPr>
          <w:rFonts w:hint="eastAsia" w:ascii="宋体" w:hAnsi="宋体" w:eastAsia="宋体" w:cs="宋体"/>
          <w:b w:val="0"/>
          <w:i w:val="0"/>
          <w:sz w:val="24"/>
        </w:rPr>
        <w:t>复合绩效体系等。研究量化了管理响应速度的经济价值——在年收入约</w:t>
      </w:r>
      <w:r>
        <w:rPr>
          <w:rFonts w:hint="eastAsia" w:ascii="宋体" w:hAnsi="宋体" w:cs="宋体"/>
          <w:b w:val="0"/>
          <w:i w:val="0"/>
          <w:sz w:val="24"/>
          <w:lang w:eastAsia="zh-CN"/>
        </w:rPr>
        <w:t>5亿—6亿</w:t>
      </w:r>
      <w:r>
        <w:rPr>
          <w:rFonts w:hint="eastAsia" w:ascii="宋体" w:hAnsi="宋体" w:eastAsia="宋体" w:cs="宋体"/>
          <w:b w:val="0"/>
          <w:i w:val="0"/>
          <w:sz w:val="24"/>
        </w:rPr>
        <w:t>元规模下，积极响应型医院（H1）相比滞后响应型医院（H3）全年少损失约3,000万元，为集团管理层提供了</w:t>
      </w:r>
      <w:r>
        <w:rPr>
          <w:rFonts w:hint="eastAsia" w:ascii="宋体" w:hAnsi="宋体" w:cs="宋体"/>
          <w:b w:val="0"/>
          <w:i w:val="0"/>
          <w:sz w:val="24"/>
          <w:lang w:eastAsia="zh-CN"/>
        </w:rPr>
        <w:t>“</w:t>
      </w:r>
      <w:r>
        <w:rPr>
          <w:rFonts w:hint="eastAsia" w:ascii="宋体" w:hAnsi="宋体" w:eastAsia="宋体" w:cs="宋体"/>
          <w:b w:val="0"/>
          <w:i w:val="0"/>
          <w:sz w:val="24"/>
        </w:rPr>
        <w:t>快速响应</w:t>
      </w:r>
      <w:r>
        <w:rPr>
          <w:rFonts w:hint="eastAsia" w:ascii="宋体" w:hAnsi="宋体" w:cs="宋体"/>
          <w:b w:val="0"/>
          <w:i w:val="0"/>
          <w:sz w:val="24"/>
          <w:lang w:eastAsia="zh-CN"/>
        </w:rPr>
        <w:t>”</w:t>
      </w:r>
      <w:r>
        <w:rPr>
          <w:rFonts w:hint="eastAsia" w:ascii="宋体" w:hAnsi="宋体" w:eastAsia="宋体" w:cs="宋体"/>
          <w:b w:val="0"/>
          <w:i w:val="0"/>
          <w:sz w:val="24"/>
        </w:rPr>
        <w:t>的决策依据和管理转型时间表。对推动非公医疗从</w:t>
      </w:r>
      <w:r>
        <w:rPr>
          <w:rFonts w:hint="eastAsia" w:ascii="宋体" w:hAnsi="宋体" w:cs="宋体"/>
          <w:b w:val="0"/>
          <w:i w:val="0"/>
          <w:sz w:val="24"/>
          <w:lang w:eastAsia="zh-CN"/>
        </w:rPr>
        <w:t>“</w:t>
      </w:r>
      <w:r>
        <w:rPr>
          <w:rFonts w:hint="eastAsia" w:ascii="宋体" w:hAnsi="宋体" w:eastAsia="宋体" w:cs="宋体"/>
          <w:b w:val="0"/>
          <w:i w:val="0"/>
          <w:sz w:val="24"/>
        </w:rPr>
        <w:t>规模扩张</w:t>
      </w:r>
      <w:r>
        <w:rPr>
          <w:rFonts w:hint="eastAsia" w:ascii="宋体" w:hAnsi="宋体" w:cs="宋体"/>
          <w:b w:val="0"/>
          <w:i w:val="0"/>
          <w:sz w:val="24"/>
          <w:lang w:eastAsia="zh-CN"/>
        </w:rPr>
        <w:t>”</w:t>
      </w:r>
      <w:r>
        <w:rPr>
          <w:rFonts w:hint="eastAsia" w:ascii="宋体" w:hAnsi="宋体" w:eastAsia="宋体" w:cs="宋体"/>
          <w:b w:val="0"/>
          <w:i w:val="0"/>
          <w:sz w:val="24"/>
        </w:rPr>
        <w:t>向</w:t>
      </w:r>
      <w:r>
        <w:rPr>
          <w:rFonts w:hint="eastAsia" w:ascii="宋体" w:hAnsi="宋体" w:cs="宋体"/>
          <w:b w:val="0"/>
          <w:i w:val="0"/>
          <w:sz w:val="24"/>
          <w:lang w:eastAsia="zh-CN"/>
        </w:rPr>
        <w:t>“</w:t>
      </w:r>
      <w:r>
        <w:rPr>
          <w:rFonts w:hint="eastAsia" w:ascii="宋体" w:hAnsi="宋体" w:eastAsia="宋体" w:cs="宋体"/>
          <w:b w:val="0"/>
          <w:i w:val="0"/>
          <w:sz w:val="24"/>
        </w:rPr>
        <w:t>价值运营</w:t>
      </w:r>
      <w:r>
        <w:rPr>
          <w:rFonts w:hint="eastAsia" w:ascii="宋体" w:hAnsi="宋体" w:cs="宋体"/>
          <w:b w:val="0"/>
          <w:i w:val="0"/>
          <w:sz w:val="24"/>
          <w:lang w:eastAsia="zh-CN"/>
        </w:rPr>
        <w:t>”</w:t>
      </w:r>
      <w:r>
        <w:rPr>
          <w:rFonts w:hint="eastAsia" w:ascii="宋体" w:hAnsi="宋体" w:eastAsia="宋体" w:cs="宋体"/>
          <w:b w:val="0"/>
          <w:i w:val="0"/>
          <w:sz w:val="24"/>
        </w:rPr>
        <w:t>转型具有重要参考价值。此外，本研究对于医疗集团如何通过提高运营透明度、增强盈利可预测性来修复资本市场估值，具有直接的参考意义。</w:t>
      </w:r>
    </w:p>
    <w:bookmarkEnd w:id="17"/>
    <w:bookmarkEnd w:id="18"/>
    <w:p w14:paraId="204326BA">
      <w:pPr>
        <w:pStyle w:val="3"/>
        <w:bidi w:val="0"/>
        <w:rPr>
          <w:rFonts w:hint="eastAsia"/>
        </w:rPr>
      </w:pPr>
      <w:bookmarkStart w:id="20" w:name="_Toc8552"/>
      <w:bookmarkStart w:id="21" w:name="_Toc292178201"/>
      <w:bookmarkStart w:id="22" w:name="_Toc345588843"/>
      <w:r>
        <w:rPr>
          <w:rFonts w:hint="eastAsia"/>
        </w:rPr>
        <w:t>研究方法与技术路线</w:t>
      </w:r>
      <w:bookmarkEnd w:id="20"/>
    </w:p>
    <w:p w14:paraId="3D15329F">
      <w:pPr>
        <w:pStyle w:val="4"/>
        <w:bidi w:val="0"/>
        <w:rPr>
          <w:rFonts w:hint="eastAsia"/>
        </w:rPr>
      </w:pPr>
      <w:bookmarkStart w:id="23" w:name="_Toc32244"/>
      <w:r>
        <w:rPr>
          <w:rFonts w:hint="eastAsia"/>
        </w:rPr>
        <w:t>研究方法</w:t>
      </w:r>
      <w:bookmarkEnd w:id="23"/>
    </w:p>
    <w:p w14:paraId="01980CCE">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（1）案例研究法：以</w:t>
      </w:r>
      <w:r>
        <w:rPr>
          <w:rFonts w:hint="eastAsia" w:ascii="宋体" w:hAnsi="宋体" w:cs="宋体"/>
          <w:b w:val="0"/>
          <w:i w:val="0"/>
          <w:sz w:val="24"/>
          <w:lang w:eastAsia="zh-CN"/>
        </w:rPr>
        <w:t>A医疗集团</w:t>
      </w:r>
      <w:r>
        <w:rPr>
          <w:rFonts w:hint="eastAsia" w:ascii="宋体" w:hAnsi="宋体" w:eastAsia="宋体" w:cs="宋体"/>
          <w:b w:val="0"/>
          <w:i w:val="0"/>
          <w:sz w:val="24"/>
        </w:rPr>
        <w:t>为核心案例，选取H1（中部地区综合医院，DRG支付）、H2（</w:t>
      </w:r>
      <w:r>
        <w:rPr>
          <w:rFonts w:hint="eastAsia" w:ascii="宋体" w:hAnsi="宋体" w:cs="宋体"/>
          <w:b w:val="0"/>
          <w:i w:val="0"/>
          <w:sz w:val="24"/>
          <w:lang w:eastAsia="zh-CN"/>
        </w:rPr>
        <w:t>北部</w:t>
      </w:r>
      <w:r>
        <w:rPr>
          <w:rFonts w:hint="eastAsia" w:ascii="宋体" w:hAnsi="宋体" w:eastAsia="宋体" w:cs="宋体"/>
          <w:b w:val="0"/>
          <w:i w:val="0"/>
          <w:sz w:val="24"/>
        </w:rPr>
        <w:t>地区综合医院，DRG支付）、H3（东部地区专科医院，DIP支付）三家代表性医院进行嵌入式多案例比较</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21</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。三家医院在CMI值（0.7</w:t>
      </w:r>
      <w:r>
        <w:rPr>
          <w:rFonts w:hint="eastAsia" w:ascii="宋体" w:hAnsi="宋体" w:cs="宋体"/>
          <w:b w:val="0"/>
          <w:i w:val="0"/>
          <w:sz w:val="24"/>
          <w:lang w:val="en-US" w:eastAsia="zh-CN"/>
        </w:rPr>
        <w:t>7</w:t>
      </w:r>
      <w:r>
        <w:rPr>
          <w:rFonts w:hint="eastAsia" w:ascii="宋体" w:hAnsi="宋体" w:eastAsia="宋体" w:cs="宋体"/>
          <w:b w:val="0"/>
          <w:i w:val="0"/>
          <w:sz w:val="24"/>
        </w:rPr>
        <w:t>—1.</w:t>
      </w:r>
      <w:r>
        <w:rPr>
          <w:rFonts w:hint="eastAsia" w:ascii="宋体" w:hAnsi="宋体" w:cs="宋体"/>
          <w:b w:val="0"/>
          <w:i w:val="0"/>
          <w:sz w:val="24"/>
          <w:lang w:val="en-US" w:eastAsia="zh-CN"/>
        </w:rPr>
        <w:t>40</w:t>
      </w:r>
      <w:r>
        <w:rPr>
          <w:rFonts w:hint="eastAsia" w:ascii="宋体" w:hAnsi="宋体" w:eastAsia="宋体" w:cs="宋体"/>
          <w:b w:val="0"/>
          <w:i w:val="0"/>
          <w:sz w:val="24"/>
        </w:rPr>
        <w:t>）、集采执行率（8%—42%）、医保盈余率等维度上呈现显著差异，且分属不同支付方式（DRG/DIP）和地区（中部/</w:t>
      </w:r>
      <w:r>
        <w:rPr>
          <w:rFonts w:hint="eastAsia" w:ascii="宋体" w:hAnsi="宋体" w:cs="宋体"/>
          <w:b w:val="0"/>
          <w:i w:val="0"/>
          <w:sz w:val="24"/>
          <w:lang w:val="en-US" w:eastAsia="zh-CN"/>
        </w:rPr>
        <w:t>北部</w:t>
      </w:r>
      <w:r>
        <w:rPr>
          <w:rFonts w:hint="eastAsia" w:ascii="宋体" w:hAnsi="宋体" w:eastAsia="宋体" w:cs="宋体"/>
          <w:b w:val="0"/>
          <w:i w:val="0"/>
          <w:sz w:val="24"/>
        </w:rPr>
        <w:t>/东部），便于揭示</w:t>
      </w:r>
      <w:r>
        <w:rPr>
          <w:rFonts w:hint="eastAsia" w:ascii="宋体" w:hAnsi="宋体" w:cs="宋体"/>
          <w:b w:val="0"/>
          <w:i w:val="0"/>
          <w:sz w:val="24"/>
          <w:lang w:eastAsia="zh-CN"/>
        </w:rPr>
        <w:t>“</w:t>
      </w:r>
      <w:r>
        <w:rPr>
          <w:rFonts w:hint="eastAsia" w:ascii="宋体" w:hAnsi="宋体" w:eastAsia="宋体" w:cs="宋体"/>
          <w:b w:val="0"/>
          <w:i w:val="0"/>
          <w:sz w:val="24"/>
        </w:rPr>
        <w:t>同一政策、不同结果</w:t>
      </w:r>
      <w:r>
        <w:rPr>
          <w:rFonts w:hint="eastAsia" w:ascii="宋体" w:hAnsi="宋体" w:cs="宋体"/>
          <w:b w:val="0"/>
          <w:i w:val="0"/>
          <w:sz w:val="24"/>
          <w:lang w:eastAsia="zh-CN"/>
        </w:rPr>
        <w:t>”</w:t>
      </w:r>
      <w:r>
        <w:rPr>
          <w:rFonts w:hint="eastAsia" w:ascii="宋体" w:hAnsi="宋体" w:eastAsia="宋体" w:cs="宋体"/>
          <w:b w:val="0"/>
          <w:i w:val="0"/>
          <w:sz w:val="24"/>
        </w:rPr>
        <w:t>的内在</w:t>
      </w:r>
      <w:r>
        <w:rPr>
          <w:rFonts w:hint="eastAsia" w:ascii="宋体" w:hAnsi="宋体" w:cs="宋体"/>
          <w:b w:val="0"/>
          <w:i w:val="0"/>
          <w:sz w:val="24"/>
          <w:lang w:eastAsia="zh-CN"/>
        </w:rPr>
        <w:t>机制。</w:t>
      </w:r>
    </w:p>
    <w:p w14:paraId="3A77410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（2）间断时间序列分析（ITS）：以2024年1月（医保支付政策收紧与集团管理转型的双重转折点）为干预时点，基于2022年</w:t>
      </w:r>
      <w:r>
        <w:rPr>
          <w:rFonts w:hint="eastAsia" w:ascii="宋体" w:hAnsi="宋体" w:cs="宋体"/>
          <w:b w:val="0"/>
          <w:i w:val="0"/>
          <w:sz w:val="24"/>
          <w:lang w:val="en-US" w:eastAsia="zh-CN"/>
        </w:rPr>
        <w:t>1</w:t>
      </w:r>
      <w:r>
        <w:rPr>
          <w:rFonts w:hint="eastAsia" w:ascii="宋体" w:hAnsi="宋体" w:eastAsia="宋体" w:cs="宋体"/>
          <w:b w:val="0"/>
          <w:i w:val="0"/>
          <w:sz w:val="24"/>
        </w:rPr>
        <w:t>月至2025年11月共4</w:t>
      </w:r>
      <w:r>
        <w:rPr>
          <w:rFonts w:hint="eastAsia" w:ascii="宋体" w:hAnsi="宋体" w:cs="宋体"/>
          <w:b w:val="0"/>
          <w:i w:val="0"/>
          <w:sz w:val="24"/>
          <w:lang w:val="en-US" w:eastAsia="zh-CN"/>
        </w:rPr>
        <w:t>7</w:t>
      </w:r>
      <w:r>
        <w:rPr>
          <w:rFonts w:hint="eastAsia" w:ascii="宋体" w:hAnsi="宋体" w:eastAsia="宋体" w:cs="宋体"/>
          <w:b w:val="0"/>
          <w:i w:val="0"/>
          <w:sz w:val="24"/>
        </w:rPr>
        <w:t>个月的月度数据，通过分段回归模型评估双重干预的即时效应（β₂）与斜率变化效应（β₃）</w:t>
      </w:r>
      <w:r>
        <w:rPr>
          <w:rStyle w:val="51"/>
          <w:rFonts w:hint="eastAsia"/>
        </w:rPr>
        <w:t>[</w:t>
      </w:r>
      <w:r>
        <w:rPr>
          <w:rStyle w:val="51"/>
          <w:rFonts w:hint="eastAsia"/>
          <w:lang w:val="en-US" w:eastAsia="zh-CN"/>
        </w:rPr>
        <w:t>9</w:t>
      </w:r>
      <w:r>
        <w:rPr>
          <w:rStyle w:val="51"/>
          <w:rFonts w:hint="eastAsia"/>
        </w:rPr>
        <w:t>]</w:t>
      </w:r>
      <w:r>
        <w:rPr>
          <w:rFonts w:hint="eastAsia" w:ascii="宋体" w:hAnsi="宋体" w:eastAsia="宋体" w:cs="宋体"/>
          <w:b w:val="0"/>
          <w:i w:val="0"/>
          <w:sz w:val="24"/>
        </w:rPr>
        <w:t>。本研究排除2022年1月数据，因该月包含2021年度清算结转款项，可能污染基线估计。</w:t>
      </w:r>
    </w:p>
    <w:p w14:paraId="76E07550">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（3）灰色关联度分析：运用灰色系统理论</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19</w:t>
      </w:r>
      <w:r>
        <w:rPr>
          <w:rFonts w:hint="default" w:ascii="Times New Roman" w:hAnsi="Times New Roman" w:eastAsia="宋体" w:cs="Times New Roman"/>
          <w:kern w:val="2"/>
          <w:sz w:val="24"/>
          <w:szCs w:val="24"/>
          <w:vertAlign w:val="superscript"/>
        </w:rPr>
        <w:t>]</w:t>
      </w:r>
      <w:r>
        <w:rPr>
          <w:rFonts w:hint="eastAsia" w:ascii="宋体" w:hAnsi="宋体" w:eastAsia="宋体" w:cs="宋体"/>
          <w:b w:val="0"/>
          <w:i w:val="0"/>
          <w:sz w:val="24"/>
        </w:rPr>
        <w:t>量化各影响因子（集采执行率、CMI值、</w:t>
      </w:r>
      <w:r>
        <w:rPr>
          <w:rFonts w:hint="eastAsia" w:ascii="宋体" w:hAnsi="宋体" w:cs="宋体"/>
          <w:b w:val="0"/>
          <w:i w:val="0"/>
          <w:sz w:val="24"/>
          <w:lang w:eastAsia="zh-CN"/>
        </w:rPr>
        <w:t>集中管理协同收益</w:t>
      </w:r>
      <w:r>
        <w:rPr>
          <w:rFonts w:hint="eastAsia" w:ascii="宋体" w:hAnsi="宋体" w:eastAsia="宋体" w:cs="宋体"/>
          <w:b w:val="0"/>
          <w:i w:val="0"/>
          <w:sz w:val="24"/>
        </w:rPr>
        <w:t>率等）与财务绩效之间的关联强度，识别关键驱动因素。该方法特别适用于本研究小样本、部分信息已知的情境。</w:t>
      </w:r>
    </w:p>
    <w:p w14:paraId="20F2394B">
      <w:pPr>
        <w:spacing w:before="0" w:after="0" w:line="400" w:lineRule="exact"/>
        <w:ind w:firstLine="480"/>
        <w:jc w:val="both"/>
        <w:rPr>
          <w:rFonts w:hint="eastAsia" w:ascii="宋体" w:hAnsi="宋体" w:cs="宋体"/>
          <w:b w:val="0"/>
          <w:i w:val="0"/>
          <w:sz w:val="24"/>
          <w:lang w:eastAsia="zh-CN"/>
        </w:rPr>
      </w:pPr>
      <w:r>
        <w:rPr>
          <w:rFonts w:hint="eastAsia" w:ascii="宋体" w:hAnsi="宋体" w:eastAsia="宋体" w:cs="宋体"/>
          <w:b w:val="0"/>
          <w:i w:val="0"/>
          <w:sz w:val="24"/>
        </w:rPr>
        <w:t>（4）深度访谈法：对</w:t>
      </w:r>
      <w:r>
        <w:rPr>
          <w:rFonts w:hint="eastAsia" w:ascii="宋体" w:hAnsi="宋体" w:cs="宋体"/>
          <w:b w:val="0"/>
          <w:i w:val="0"/>
          <w:sz w:val="24"/>
          <w:lang w:eastAsia="zh-CN"/>
        </w:rPr>
        <w:t>A医疗集团</w:t>
      </w:r>
      <w:r>
        <w:rPr>
          <w:rFonts w:hint="eastAsia" w:ascii="宋体" w:hAnsi="宋体" w:eastAsia="宋体" w:cs="宋体"/>
          <w:b w:val="0"/>
          <w:i w:val="0"/>
          <w:sz w:val="24"/>
        </w:rPr>
        <w:t>15位临床科主任进行半结构化访谈，验证量化分析结论并补充数据脱敏与伦理声明</w:t>
      </w:r>
      <w:r>
        <w:rPr>
          <w:rFonts w:hint="eastAsia" w:ascii="宋体" w:hAnsi="宋体" w:cs="宋体"/>
          <w:b w:val="0"/>
          <w:i w:val="0"/>
          <w:sz w:val="24"/>
          <w:lang w:eastAsia="zh-CN"/>
        </w:rPr>
        <w:t>相关内容。</w:t>
      </w:r>
    </w:p>
    <w:p w14:paraId="756A9823">
      <w:pPr>
        <w:spacing w:before="0" w:after="0" w:line="400" w:lineRule="exact"/>
        <w:ind w:firstLine="480"/>
        <w:jc w:val="both"/>
        <w:rPr>
          <w:rFonts w:hint="eastAsia" w:ascii="宋体" w:hAnsi="宋体" w:cs="宋体"/>
          <w:b w:val="0"/>
          <w:i w:val="0"/>
          <w:sz w:val="24"/>
          <w:lang w:eastAsia="zh-CN"/>
        </w:rPr>
      </w:pPr>
    </w:p>
    <w:p w14:paraId="105C431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本研究涉及公司敏感商业信息，已严格按照</w:t>
      </w:r>
      <w:r>
        <w:rPr>
          <w:rFonts w:hint="eastAsia" w:ascii="宋体" w:hAnsi="宋体" w:cs="宋体"/>
          <w:b w:val="0"/>
          <w:i w:val="0"/>
          <w:sz w:val="24"/>
          <w:lang w:val="en-US" w:eastAsia="zh-CN"/>
        </w:rPr>
        <w:t>国际及行业法律法规</w:t>
      </w:r>
      <w:r>
        <w:rPr>
          <w:rFonts w:hint="eastAsia" w:ascii="宋体" w:hAnsi="宋体" w:eastAsia="宋体" w:cs="宋体"/>
          <w:b w:val="0"/>
          <w:i w:val="0"/>
          <w:sz w:val="24"/>
        </w:rPr>
        <w:t>及北京大学光华管理学院 EMBA 学位论文学术伦理要求，进行系统性不可逆脱敏处理。具体技术措施包括：</w:t>
      </w:r>
    </w:p>
    <w:p w14:paraId="30FB6D83">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（1）主体匿名化：对研究涉及的企业主体、下属医疗机构名称、股东信息、历史沿革标识进行代号替换与泛化处理，删除所有可唯一锁定特定主体的证券代码、曾用名、具体地域信息；</w:t>
      </w:r>
    </w:p>
    <w:p w14:paraId="2A77378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（2）数据区间化：对财务绝对值、运营指标精确数值采用 ±</w:t>
      </w:r>
      <w:r>
        <w:rPr>
          <w:rFonts w:hint="eastAsia" w:ascii="宋体" w:hAnsi="宋体" w:cs="宋体"/>
          <w:b w:val="0"/>
          <w:i w:val="0"/>
          <w:sz w:val="24"/>
          <w:lang w:eastAsia="zh-CN"/>
        </w:rPr>
        <w:t>10%—20%</w:t>
      </w:r>
      <w:r>
        <w:rPr>
          <w:rFonts w:hint="eastAsia" w:ascii="宋体" w:hAnsi="宋体" w:eastAsia="宋体" w:cs="宋体"/>
          <w:b w:val="0"/>
          <w:i w:val="0"/>
          <w:sz w:val="24"/>
        </w:rPr>
        <w:t xml:space="preserve"> 的区间化表述与随机扰动处理，避免精确数值与企业公开信息形成匹配，仅保留研究所需的趋势与结构关系；</w:t>
      </w:r>
    </w:p>
    <w:p w14:paraId="5D95D42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（3）时空扰动：对精确到月的时间戳平移至季度 / 半年度维度，对具体到县市的地理标识泛化至省级 / 经济大区，消除与企业真实经营节奏、地域布局的匹配度；</w:t>
      </w:r>
    </w:p>
    <w:p w14:paraId="7BCA7A4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（4）业务抽象化：将具有特定主体唯一性的战略标签、业务术语、模式表述泛化为医疗行业通用表述，去除企业独有识别特征。</w:t>
      </w:r>
    </w:p>
    <w:p w14:paraId="3472721A">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脱敏处理严格遵循不可逆原则（无法通过逆运算还原企业真实数据）与最小必要原则（仅去除可识别性，完整保留研究所需的理论逻辑、实证关系与结论有效性）。脱敏后的数据仅用于学术分析，不代表特定企业的真实经营状况，亦不构成任何投资建议。</w:t>
      </w:r>
    </w:p>
    <w:p w14:paraId="16B8CB51">
      <w:pPr>
        <w:spacing w:before="0" w:after="0" w:line="400" w:lineRule="exact"/>
        <w:ind w:firstLine="480"/>
        <w:jc w:val="both"/>
        <w:rPr>
          <w:rFonts w:hint="eastAsia" w:ascii="宋体" w:hAnsi="宋体" w:eastAsia="宋体" w:cs="宋体"/>
          <w:b w:val="0"/>
          <w:i w:val="0"/>
          <w:sz w:val="24"/>
        </w:rPr>
      </w:pPr>
    </w:p>
    <w:p w14:paraId="404CCEE0">
      <w:pPr>
        <w:pStyle w:val="4"/>
        <w:bidi w:val="0"/>
        <w:rPr>
          <w:rFonts w:hint="eastAsia"/>
        </w:rPr>
      </w:pPr>
      <w:bookmarkStart w:id="24" w:name="_Toc4500"/>
      <w:r>
        <w:rPr>
          <w:rFonts w:hint="eastAsia"/>
        </w:rPr>
        <w:t>数据来源</w:t>
      </w:r>
      <w:bookmarkEnd w:id="24"/>
    </w:p>
    <w:p w14:paraId="0E4338E8">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本研究数据主要</w:t>
      </w:r>
      <w:r>
        <w:rPr>
          <w:rFonts w:hint="eastAsia" w:ascii="宋体" w:hAnsi="宋体" w:cs="宋体"/>
          <w:b w:val="0"/>
          <w:i w:val="0"/>
          <w:sz w:val="24"/>
          <w:lang w:eastAsia="zh-CN"/>
        </w:rPr>
        <w:t>来源于：</w:t>
      </w:r>
    </w:p>
    <w:p w14:paraId="1E030F1C">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（1）集团运营数据库及院区HIS系统：提供2022年</w:t>
      </w:r>
      <w:r>
        <w:rPr>
          <w:rFonts w:hint="eastAsia" w:ascii="宋体" w:hAnsi="宋体" w:cs="宋体"/>
          <w:b w:val="0"/>
          <w:i w:val="0"/>
          <w:sz w:val="24"/>
          <w:lang w:val="en-US" w:eastAsia="zh-CN"/>
        </w:rPr>
        <w:t>1</w:t>
      </w:r>
      <w:r>
        <w:rPr>
          <w:rFonts w:hint="eastAsia" w:ascii="宋体" w:hAnsi="宋体" w:eastAsia="宋体" w:cs="宋体"/>
          <w:b w:val="0"/>
          <w:i w:val="0"/>
          <w:sz w:val="24"/>
        </w:rPr>
        <w:t>月至2025年11月共4</w:t>
      </w:r>
      <w:r>
        <w:rPr>
          <w:rFonts w:hint="eastAsia" w:ascii="宋体" w:hAnsi="宋体" w:cs="宋体"/>
          <w:b w:val="0"/>
          <w:i w:val="0"/>
          <w:sz w:val="24"/>
          <w:lang w:val="en-US" w:eastAsia="zh-CN"/>
        </w:rPr>
        <w:t>7</w:t>
      </w:r>
      <w:r>
        <w:rPr>
          <w:rFonts w:hint="eastAsia" w:ascii="宋体" w:hAnsi="宋体" w:eastAsia="宋体" w:cs="宋体"/>
          <w:b w:val="0"/>
          <w:i w:val="0"/>
          <w:sz w:val="24"/>
        </w:rPr>
        <w:t>个月的月度运营数据，包括医保申报金额、拨付金额、盈余（亏损）额、CMI值、出院人次、门诊人次等。其中2025年1</w:t>
      </w:r>
      <w:r>
        <w:rPr>
          <w:rFonts w:hint="eastAsia" w:ascii="宋体" w:hAnsi="宋体" w:cs="宋体"/>
          <w:b w:val="0"/>
          <w:i w:val="0"/>
          <w:sz w:val="24"/>
          <w:lang w:eastAsia="zh-CN"/>
        </w:rPr>
        <w:t>—</w:t>
      </w:r>
      <w:r>
        <w:rPr>
          <w:rFonts w:hint="eastAsia" w:ascii="宋体" w:hAnsi="宋体" w:eastAsia="宋体" w:cs="宋体"/>
          <w:b w:val="0"/>
          <w:i w:val="0"/>
          <w:sz w:val="24"/>
        </w:rPr>
        <w:t>11月数据为初步结算数据，尚未完成年度最终清算。</w:t>
      </w:r>
    </w:p>
    <w:p w14:paraId="23683883">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（2）集团供应链系统：提供</w:t>
      </w:r>
      <w:r>
        <w:rPr>
          <w:rFonts w:hint="eastAsia" w:ascii="宋体" w:hAnsi="宋体" w:cs="宋体"/>
          <w:b w:val="0"/>
          <w:i w:val="0"/>
          <w:sz w:val="24"/>
          <w:lang w:eastAsia="zh-CN"/>
        </w:rPr>
        <w:t>集中管理协同收益</w:t>
      </w:r>
      <w:r>
        <w:rPr>
          <w:rFonts w:hint="eastAsia" w:ascii="宋体" w:hAnsi="宋体" w:eastAsia="宋体" w:cs="宋体"/>
          <w:b w:val="0"/>
          <w:i w:val="0"/>
          <w:sz w:val="24"/>
        </w:rPr>
        <w:t>率、账期（DPO）等供应链数据。</w:t>
      </w:r>
    </w:p>
    <w:p w14:paraId="28182FE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w:t>
      </w:r>
      <w:r>
        <w:rPr>
          <w:rFonts w:hint="eastAsia" w:ascii="宋体" w:hAnsi="宋体" w:cs="宋体"/>
          <w:b w:val="0"/>
          <w:i w:val="0"/>
          <w:sz w:val="24"/>
          <w:lang w:eastAsia="zh-CN"/>
        </w:rPr>
        <w:t>A医疗集团</w:t>
      </w:r>
      <w:r>
        <w:rPr>
          <w:rFonts w:hint="eastAsia" w:ascii="宋体" w:hAnsi="宋体" w:eastAsia="宋体" w:cs="宋体"/>
          <w:b w:val="0"/>
          <w:i w:val="0"/>
          <w:sz w:val="24"/>
        </w:rPr>
        <w:t>内部经营管理资料（脱敏处理）、行业公开文件。</w:t>
      </w:r>
    </w:p>
    <w:p w14:paraId="364B47C9">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（4）政策文件与行业数据：国家医保局政策文件、中国非公立医疗机构协会行业报告等。</w:t>
      </w:r>
    </w:p>
    <w:p w14:paraId="37083A5E">
      <w:pPr>
        <w:pStyle w:val="4"/>
        <w:bidi w:val="0"/>
        <w:rPr>
          <w:rFonts w:hint="eastAsia"/>
        </w:rPr>
      </w:pPr>
      <w:bookmarkStart w:id="25" w:name="_Toc14679"/>
      <w:r>
        <w:rPr>
          <w:rFonts w:hint="eastAsia"/>
        </w:rPr>
        <w:t>技术路线</w:t>
      </w:r>
      <w:bookmarkEnd w:id="25"/>
    </w:p>
    <w:p w14:paraId="3A6177F7">
      <w:pPr>
        <w:spacing w:before="0" w:after="0" w:line="400" w:lineRule="exact"/>
        <w:ind w:firstLine="480"/>
        <w:jc w:val="both"/>
        <w:rPr>
          <w:rFonts w:hint="eastAsia" w:ascii="宋体" w:hAnsi="宋体" w:eastAsia="宋体" w:cs="宋体"/>
          <w:b w:val="0"/>
          <w:i w:val="0"/>
          <w:sz w:val="24"/>
        </w:rPr>
      </w:pPr>
      <w:r>
        <w:rPr>
          <w:rFonts w:hint="eastAsia" w:ascii="宋体" w:hAnsi="宋体" w:cs="宋体"/>
          <w:b w:val="0"/>
          <w:i w:val="0"/>
          <w:sz w:val="24"/>
          <w:lang w:val="en-US" w:eastAsia="zh-CN"/>
        </w:rPr>
        <w:t>本</w:t>
      </w:r>
      <w:r>
        <w:rPr>
          <w:rFonts w:hint="eastAsia" w:ascii="宋体" w:hAnsi="宋体" w:eastAsia="宋体" w:cs="宋体"/>
          <w:b w:val="0"/>
          <w:i w:val="0"/>
          <w:sz w:val="24"/>
        </w:rPr>
        <w:t>研究遵循</w:t>
      </w:r>
      <w:r>
        <w:rPr>
          <w:rFonts w:hint="eastAsia" w:ascii="宋体" w:hAnsi="宋体" w:cs="宋体"/>
          <w:b w:val="0"/>
          <w:i w:val="0"/>
          <w:sz w:val="24"/>
          <w:lang w:eastAsia="zh-CN"/>
        </w:rPr>
        <w:t>“</w:t>
      </w:r>
      <w:r>
        <w:rPr>
          <w:rFonts w:hint="eastAsia" w:ascii="宋体" w:hAnsi="宋体" w:eastAsia="宋体" w:cs="宋体"/>
          <w:b w:val="0"/>
          <w:i w:val="0"/>
          <w:sz w:val="24"/>
        </w:rPr>
        <w:t>理论建构→现状诊断→实证分析→策略设计→保障措施</w:t>
      </w:r>
      <w:r>
        <w:rPr>
          <w:rFonts w:hint="eastAsia" w:ascii="宋体" w:hAnsi="宋体" w:cs="宋体"/>
          <w:b w:val="0"/>
          <w:i w:val="0"/>
          <w:sz w:val="24"/>
          <w:lang w:eastAsia="zh-CN"/>
        </w:rPr>
        <w:t>”</w:t>
      </w:r>
      <w:r>
        <w:rPr>
          <w:rFonts w:hint="eastAsia" w:ascii="宋体" w:hAnsi="宋体" w:eastAsia="宋体" w:cs="宋体"/>
          <w:b w:val="0"/>
          <w:i w:val="0"/>
          <w:sz w:val="24"/>
        </w:rPr>
        <w:t>的逻辑主线，具体安排如下：</w:t>
      </w:r>
    </w:p>
    <w:p w14:paraId="71F35AB8">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第二章：构建</w:t>
      </w:r>
      <w:r>
        <w:rPr>
          <w:rFonts w:hint="eastAsia" w:ascii="宋体" w:hAnsi="宋体" w:cs="宋体"/>
          <w:b w:val="0"/>
          <w:i w:val="0"/>
          <w:sz w:val="24"/>
          <w:lang w:eastAsia="zh-CN"/>
        </w:rPr>
        <w:t>“</w:t>
      </w:r>
      <w:r>
        <w:rPr>
          <w:rFonts w:hint="eastAsia" w:ascii="宋体" w:hAnsi="宋体" w:eastAsia="宋体" w:cs="宋体"/>
          <w:b w:val="0"/>
          <w:i w:val="0"/>
          <w:sz w:val="24"/>
        </w:rPr>
        <w:t>价值创造—成本控制—激励相容</w:t>
      </w:r>
      <w:r>
        <w:rPr>
          <w:rFonts w:hint="eastAsia" w:ascii="宋体" w:hAnsi="宋体" w:cs="宋体"/>
          <w:b w:val="0"/>
          <w:i w:val="0"/>
          <w:sz w:val="24"/>
          <w:lang w:eastAsia="zh-CN"/>
        </w:rPr>
        <w:t>”</w:t>
      </w:r>
      <w:r>
        <w:rPr>
          <w:rFonts w:hint="eastAsia" w:ascii="宋体" w:hAnsi="宋体" w:eastAsia="宋体" w:cs="宋体"/>
          <w:b w:val="0"/>
          <w:i w:val="0"/>
          <w:sz w:val="24"/>
        </w:rPr>
        <w:t>三维理论分析框架</w:t>
      </w:r>
      <w:r>
        <w:rPr>
          <w:rFonts w:hint="eastAsia" w:ascii="宋体" w:hAnsi="宋体" w:cs="宋体"/>
          <w:b w:val="0"/>
          <w:i w:val="0"/>
          <w:sz w:val="24"/>
          <w:lang w:eastAsia="zh-CN"/>
        </w:rPr>
        <w:t>。</w:t>
      </w:r>
    </w:p>
    <w:p w14:paraId="1759F57E">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第三章：诊断</w:t>
      </w:r>
      <w:r>
        <w:rPr>
          <w:rFonts w:hint="eastAsia" w:ascii="宋体" w:hAnsi="宋体" w:cs="宋体"/>
          <w:b w:val="0"/>
          <w:i w:val="0"/>
          <w:sz w:val="24"/>
          <w:lang w:eastAsia="zh-CN"/>
        </w:rPr>
        <w:t>A医疗集团</w:t>
      </w:r>
      <w:r>
        <w:rPr>
          <w:rFonts w:hint="eastAsia" w:ascii="宋体" w:hAnsi="宋体" w:eastAsia="宋体" w:cs="宋体"/>
          <w:b w:val="0"/>
          <w:i w:val="0"/>
          <w:sz w:val="24"/>
        </w:rPr>
        <w:t>的财务困境、供应链</w:t>
      </w:r>
      <w:r>
        <w:rPr>
          <w:rFonts w:hint="eastAsia" w:ascii="宋体" w:hAnsi="宋体" w:cs="宋体"/>
          <w:b w:val="0"/>
          <w:i w:val="0"/>
          <w:sz w:val="24"/>
          <w:lang w:eastAsia="zh-CN"/>
        </w:rPr>
        <w:t>“</w:t>
      </w:r>
      <w:r>
        <w:rPr>
          <w:rFonts w:hint="eastAsia" w:ascii="宋体" w:hAnsi="宋体" w:eastAsia="宋体" w:cs="宋体"/>
          <w:b w:val="0"/>
          <w:i w:val="0"/>
          <w:sz w:val="24"/>
        </w:rPr>
        <w:t>双刃剑</w:t>
      </w:r>
      <w:r>
        <w:rPr>
          <w:rFonts w:hint="eastAsia" w:ascii="宋体" w:hAnsi="宋体" w:cs="宋体"/>
          <w:b w:val="0"/>
          <w:i w:val="0"/>
          <w:sz w:val="24"/>
          <w:lang w:eastAsia="zh-CN"/>
        </w:rPr>
        <w:t>”</w:t>
      </w:r>
      <w:r>
        <w:rPr>
          <w:rFonts w:hint="eastAsia" w:ascii="宋体" w:hAnsi="宋体" w:eastAsia="宋体" w:cs="宋体"/>
          <w:b w:val="0"/>
          <w:i w:val="0"/>
          <w:sz w:val="24"/>
        </w:rPr>
        <w:t>效应及三家医院现状</w:t>
      </w:r>
      <w:r>
        <w:rPr>
          <w:rFonts w:hint="eastAsia" w:ascii="宋体" w:hAnsi="宋体" w:cs="宋体"/>
          <w:b w:val="0"/>
          <w:i w:val="0"/>
          <w:sz w:val="24"/>
          <w:lang w:eastAsia="zh-CN"/>
        </w:rPr>
        <w:t>。</w:t>
      </w:r>
    </w:p>
    <w:p w14:paraId="44EC3EEC">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第四章：运用ITS分析和灰色关联度分析揭示双重干预的叠加效应与影响因素</w:t>
      </w:r>
      <w:r>
        <w:rPr>
          <w:rFonts w:hint="eastAsia" w:ascii="宋体" w:hAnsi="宋体" w:cs="宋体"/>
          <w:b w:val="0"/>
          <w:i w:val="0"/>
          <w:sz w:val="24"/>
          <w:lang w:eastAsia="zh-CN"/>
        </w:rPr>
        <w:t>。</w:t>
      </w:r>
    </w:p>
    <w:p w14:paraId="2F06B9FA">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第五章：设计学科画像、供应链协同、绩效激励三位一体的优化策略</w:t>
      </w:r>
      <w:r>
        <w:rPr>
          <w:rFonts w:hint="eastAsia" w:ascii="宋体" w:hAnsi="宋体" w:cs="宋体"/>
          <w:b w:val="0"/>
          <w:i w:val="0"/>
          <w:sz w:val="24"/>
          <w:lang w:eastAsia="zh-CN"/>
        </w:rPr>
        <w:t>。</w:t>
      </w:r>
    </w:p>
    <w:p w14:paraId="4D6286BE">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第六章：提出组织转型、数字化风控与实施路径的保障措施</w:t>
      </w:r>
      <w:r>
        <w:rPr>
          <w:rFonts w:hint="eastAsia" w:ascii="宋体" w:hAnsi="宋体" w:cs="宋体"/>
          <w:b w:val="0"/>
          <w:i w:val="0"/>
          <w:sz w:val="24"/>
          <w:lang w:eastAsia="zh-CN"/>
        </w:rPr>
        <w:t>。</w:t>
      </w:r>
    </w:p>
    <w:p w14:paraId="53804AFB">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第七章：总结研究发现、讨论管理启示与研究局限性</w:t>
      </w:r>
      <w:r>
        <w:rPr>
          <w:rFonts w:hint="eastAsia" w:ascii="宋体" w:hAnsi="宋体" w:cs="宋体"/>
          <w:b w:val="0"/>
          <w:i w:val="0"/>
          <w:sz w:val="24"/>
          <w:lang w:eastAsia="zh-CN"/>
        </w:rPr>
        <w:t>。</w:t>
      </w:r>
    </w:p>
    <w:p w14:paraId="389307A6">
      <w:pPr>
        <w:pStyle w:val="3"/>
        <w:bidi w:val="0"/>
        <w:ind w:left="575" w:hanging="575"/>
        <w:rPr>
          <w:rFonts w:hint="eastAsia" w:cs="Times New Roman"/>
          <w:b/>
          <w:bCs/>
        </w:rPr>
      </w:pPr>
      <w:bookmarkStart w:id="26" w:name="_Toc16090"/>
      <w:r>
        <w:rPr>
          <w:rFonts w:hint="eastAsia" w:cs="Times New Roman"/>
          <w:b/>
          <w:bCs/>
        </w:rPr>
        <w:t>研究创新点</w:t>
      </w:r>
      <w:bookmarkEnd w:id="26"/>
    </w:p>
    <w:p w14:paraId="5138A331">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本研究的创新贡献体现在以下四个方面：</w:t>
      </w:r>
    </w:p>
    <w:p w14:paraId="554A9467">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（1）理论创新——</w:t>
      </w:r>
      <w:r>
        <w:rPr>
          <w:rFonts w:hint="eastAsia" w:ascii="宋体" w:hAnsi="宋体" w:cs="宋体"/>
          <w:b w:val="0"/>
          <w:i w:val="0"/>
          <w:sz w:val="24"/>
          <w:lang w:eastAsia="zh-CN"/>
        </w:rPr>
        <w:t>“</w:t>
      </w:r>
      <w:r>
        <w:rPr>
          <w:rFonts w:hint="eastAsia" w:ascii="宋体" w:hAnsi="宋体" w:eastAsia="宋体" w:cs="宋体"/>
          <w:b w:val="0"/>
          <w:i w:val="0"/>
          <w:sz w:val="24"/>
        </w:rPr>
        <w:t>CMI陷阱</w:t>
      </w:r>
      <w:r>
        <w:rPr>
          <w:rFonts w:hint="eastAsia" w:ascii="宋体" w:hAnsi="宋体" w:cs="宋体"/>
          <w:b w:val="0"/>
          <w:i w:val="0"/>
          <w:sz w:val="24"/>
          <w:lang w:eastAsia="zh-CN"/>
        </w:rPr>
        <w:t>”</w:t>
      </w:r>
      <w:r>
        <w:rPr>
          <w:rFonts w:hint="eastAsia" w:ascii="宋体" w:hAnsi="宋体" w:eastAsia="宋体" w:cs="宋体"/>
          <w:b w:val="0"/>
          <w:i w:val="0"/>
          <w:sz w:val="24"/>
        </w:rPr>
        <w:t>的阶段性特征。本研究发现并论证了</w:t>
      </w:r>
      <w:r>
        <w:rPr>
          <w:rFonts w:hint="eastAsia" w:ascii="宋体" w:hAnsi="宋体" w:cs="宋体"/>
          <w:b w:val="0"/>
          <w:i w:val="0"/>
          <w:sz w:val="24"/>
          <w:lang w:eastAsia="zh-CN"/>
        </w:rPr>
        <w:t>“</w:t>
      </w:r>
      <w:r>
        <w:rPr>
          <w:rFonts w:hint="eastAsia" w:ascii="宋体" w:hAnsi="宋体" w:eastAsia="宋体" w:cs="宋体"/>
          <w:b w:val="0"/>
          <w:i w:val="0"/>
          <w:sz w:val="24"/>
        </w:rPr>
        <w:t>CMI陷阱</w:t>
      </w:r>
      <w:r>
        <w:rPr>
          <w:rFonts w:hint="eastAsia" w:ascii="宋体" w:hAnsi="宋体" w:cs="宋体"/>
          <w:b w:val="0"/>
          <w:i w:val="0"/>
          <w:sz w:val="24"/>
          <w:lang w:eastAsia="zh-CN"/>
        </w:rPr>
        <w:t>”</w:t>
      </w:r>
      <w:r>
        <w:rPr>
          <w:rFonts w:hint="eastAsia" w:ascii="宋体" w:hAnsi="宋体" w:eastAsia="宋体" w:cs="宋体"/>
          <w:b w:val="0"/>
          <w:i w:val="0"/>
          <w:sz w:val="24"/>
        </w:rPr>
        <w:t>现象不是永久性结构困境，而具有动态可突破的阶段性特征。揭示其数理本质——高难度病例的成本边际增长（约</w:t>
      </w:r>
      <w:r>
        <w:rPr>
          <w:rFonts w:hint="eastAsia" w:ascii="宋体" w:hAnsi="宋体" w:cs="宋体"/>
          <w:b w:val="0"/>
          <w:i w:val="0"/>
          <w:sz w:val="24"/>
          <w:lang w:eastAsia="zh-CN"/>
        </w:rPr>
        <w:t>15%—25%</w:t>
      </w:r>
      <w:r>
        <w:rPr>
          <w:rFonts w:hint="eastAsia" w:ascii="宋体" w:hAnsi="宋体" w:eastAsia="宋体" w:cs="宋体"/>
          <w:b w:val="0"/>
          <w:i w:val="0"/>
          <w:sz w:val="24"/>
        </w:rPr>
        <w:t>）系统性超过DRG分值溢价（约</w:t>
      </w:r>
      <w:r>
        <w:rPr>
          <w:rFonts w:hint="eastAsia" w:ascii="宋体" w:hAnsi="宋体" w:cs="宋体"/>
          <w:b w:val="0"/>
          <w:i w:val="0"/>
          <w:sz w:val="24"/>
          <w:lang w:eastAsia="zh-CN"/>
        </w:rPr>
        <w:t>8%—10%</w:t>
      </w:r>
      <w:r>
        <w:rPr>
          <w:rFonts w:hint="eastAsia" w:ascii="宋体" w:hAnsi="宋体" w:eastAsia="宋体" w:cs="宋体"/>
          <w:b w:val="0"/>
          <w:i w:val="0"/>
          <w:sz w:val="24"/>
        </w:rPr>
        <w:t>），但通过针对性的成本控制措施可以实现动态突破。由此确立核心命题：</w:t>
      </w:r>
      <w:r>
        <w:rPr>
          <w:rFonts w:hint="eastAsia" w:ascii="宋体" w:hAnsi="宋体" w:cs="宋体"/>
          <w:b w:val="0"/>
          <w:i w:val="0"/>
          <w:sz w:val="24"/>
          <w:lang w:eastAsia="zh-CN"/>
        </w:rPr>
        <w:t>“</w:t>
      </w:r>
      <w:r>
        <w:rPr>
          <w:rFonts w:hint="eastAsia" w:ascii="宋体" w:hAnsi="宋体" w:eastAsia="宋体" w:cs="宋体"/>
          <w:b w:val="0"/>
          <w:i w:val="0"/>
          <w:sz w:val="24"/>
        </w:rPr>
        <w:t>无边际贡献的CMI增长是无效增长，但高CMI医院可以通过管理优化实现价值回归。</w:t>
      </w:r>
      <w:r>
        <w:rPr>
          <w:rFonts w:hint="eastAsia" w:ascii="宋体" w:hAnsi="宋体" w:cs="宋体"/>
          <w:b w:val="0"/>
          <w:i w:val="0"/>
          <w:sz w:val="24"/>
          <w:lang w:eastAsia="zh-CN"/>
        </w:rPr>
        <w:t>”</w:t>
      </w:r>
    </w:p>
    <w:p w14:paraId="6F037DD2">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（2）框架创新——</w:t>
      </w:r>
      <w:r>
        <w:rPr>
          <w:rFonts w:hint="eastAsia" w:ascii="宋体" w:hAnsi="宋体" w:cs="宋体"/>
          <w:b w:val="0"/>
          <w:i w:val="0"/>
          <w:sz w:val="24"/>
          <w:lang w:eastAsia="zh-CN"/>
        </w:rPr>
        <w:t>“</w:t>
      </w:r>
      <w:r>
        <w:rPr>
          <w:rFonts w:hint="eastAsia" w:ascii="宋体" w:hAnsi="宋体" w:eastAsia="宋体" w:cs="宋体"/>
          <w:b w:val="0"/>
          <w:i w:val="0"/>
          <w:sz w:val="24"/>
        </w:rPr>
        <w:t>双重干预叠加</w:t>
      </w:r>
      <w:r>
        <w:rPr>
          <w:rFonts w:hint="eastAsia" w:ascii="宋体" w:hAnsi="宋体" w:cs="宋体"/>
          <w:b w:val="0"/>
          <w:i w:val="0"/>
          <w:sz w:val="24"/>
          <w:lang w:eastAsia="zh-CN"/>
        </w:rPr>
        <w:t>”</w:t>
      </w:r>
      <w:r>
        <w:rPr>
          <w:rFonts w:hint="eastAsia" w:ascii="宋体" w:hAnsi="宋体" w:eastAsia="宋体" w:cs="宋体"/>
          <w:b w:val="0"/>
          <w:i w:val="0"/>
          <w:sz w:val="24"/>
        </w:rPr>
        <w:t>分析框架。本研究提出将外部政策冲击（医保收紧）与内部管理变革（集团转型）纳入统一的ITS分析框架，通过β₂系数捕捉外部冲击的即时效应，通过β₃系数反映内部管理变革的滞后效应。这一框架解决了传统单一干预ITS模型无法解释</w:t>
      </w:r>
      <w:r>
        <w:rPr>
          <w:rFonts w:hint="eastAsia" w:ascii="宋体" w:hAnsi="宋体" w:cs="宋体"/>
          <w:b w:val="0"/>
          <w:i w:val="0"/>
          <w:sz w:val="24"/>
          <w:lang w:eastAsia="zh-CN"/>
        </w:rPr>
        <w:t>“</w:t>
      </w:r>
      <w:r>
        <w:rPr>
          <w:rFonts w:hint="eastAsia" w:ascii="宋体" w:hAnsi="宋体" w:eastAsia="宋体" w:cs="宋体"/>
          <w:b w:val="0"/>
          <w:i w:val="0"/>
          <w:sz w:val="24"/>
        </w:rPr>
        <w:t>为什么同一政策下不同医院命运分化</w:t>
      </w:r>
      <w:r>
        <w:rPr>
          <w:rFonts w:hint="eastAsia" w:ascii="宋体" w:hAnsi="宋体" w:cs="宋体"/>
          <w:b w:val="0"/>
          <w:i w:val="0"/>
          <w:sz w:val="24"/>
          <w:lang w:eastAsia="zh-CN"/>
        </w:rPr>
        <w:t>”</w:t>
      </w:r>
      <w:r>
        <w:rPr>
          <w:rFonts w:hint="eastAsia" w:ascii="宋体" w:hAnsi="宋体" w:eastAsia="宋体" w:cs="宋体"/>
          <w:b w:val="0"/>
          <w:i w:val="0"/>
          <w:sz w:val="24"/>
        </w:rPr>
        <w:t>的理论困境。</w:t>
      </w:r>
    </w:p>
    <w:p w14:paraId="6D7E882E">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（3）方法创新——组合方法论。将间断时间序列分析（ITS）与灰色关联度分析相结合，形成</w:t>
      </w:r>
      <w:r>
        <w:rPr>
          <w:rFonts w:hint="eastAsia" w:ascii="宋体" w:hAnsi="宋体" w:cs="宋体"/>
          <w:b w:val="0"/>
          <w:i w:val="0"/>
          <w:sz w:val="24"/>
          <w:lang w:eastAsia="zh-CN"/>
        </w:rPr>
        <w:t>“</w:t>
      </w:r>
      <w:r>
        <w:rPr>
          <w:rFonts w:hint="eastAsia" w:ascii="宋体" w:hAnsi="宋体" w:eastAsia="宋体" w:cs="宋体"/>
          <w:b w:val="0"/>
          <w:i w:val="0"/>
          <w:sz w:val="24"/>
        </w:rPr>
        <w:t>政策效应评估+影响因素识别</w:t>
      </w:r>
      <w:r>
        <w:rPr>
          <w:rFonts w:hint="eastAsia" w:ascii="宋体" w:hAnsi="宋体" w:cs="宋体"/>
          <w:b w:val="0"/>
          <w:i w:val="0"/>
          <w:sz w:val="24"/>
          <w:lang w:eastAsia="zh-CN"/>
        </w:rPr>
        <w:t>”</w:t>
      </w:r>
      <w:r>
        <w:rPr>
          <w:rFonts w:hint="eastAsia" w:ascii="宋体" w:hAnsi="宋体" w:eastAsia="宋体" w:cs="宋体"/>
          <w:b w:val="0"/>
          <w:i w:val="0"/>
          <w:sz w:val="24"/>
        </w:rPr>
        <w:t>的组合方法论，兼顾因果推断的严谨性与小样本情境的适用性。</w:t>
      </w:r>
    </w:p>
    <w:p w14:paraId="4521B669">
      <w:pPr>
        <w:spacing w:before="0" w:after="0" w:line="400" w:lineRule="exact"/>
        <w:ind w:firstLine="480"/>
        <w:jc w:val="both"/>
        <w:rPr>
          <w:rFonts w:hint="eastAsia" w:ascii="宋体" w:hAnsi="宋体" w:eastAsia="宋体" w:cs="宋体"/>
          <w:b w:val="0"/>
          <w:i w:val="0"/>
          <w:sz w:val="24"/>
          <w:lang w:eastAsia="zh-CN"/>
        </w:rPr>
      </w:pPr>
      <w:r>
        <w:rPr>
          <w:rFonts w:hint="eastAsia" w:ascii="宋体" w:hAnsi="宋体" w:eastAsia="宋体" w:cs="宋体"/>
          <w:b w:val="0"/>
          <w:i w:val="0"/>
          <w:sz w:val="24"/>
        </w:rPr>
        <w:t>（4）实践创新——激励相容的复合绩效体系。设计</w:t>
      </w:r>
      <w:r>
        <w:rPr>
          <w:rFonts w:hint="eastAsia" w:ascii="宋体" w:hAnsi="宋体" w:cs="宋体"/>
          <w:b w:val="0"/>
          <w:i w:val="0"/>
          <w:sz w:val="24"/>
          <w:lang w:eastAsia="zh-CN"/>
        </w:rPr>
        <w:t>“</w:t>
      </w:r>
      <w:r>
        <w:rPr>
          <w:rFonts w:hint="eastAsia" w:ascii="宋体" w:hAnsi="宋体" w:eastAsia="宋体" w:cs="宋体"/>
          <w:b w:val="0"/>
          <w:i w:val="0"/>
          <w:sz w:val="24"/>
        </w:rPr>
        <w:t>RBRVS+DRG盈余留用</w:t>
      </w:r>
      <w:r>
        <w:rPr>
          <w:rFonts w:hint="eastAsia" w:ascii="宋体" w:hAnsi="宋体" w:cs="宋体"/>
          <w:b w:val="0"/>
          <w:i w:val="0"/>
          <w:sz w:val="24"/>
          <w:lang w:eastAsia="zh-CN"/>
        </w:rPr>
        <w:t>”</w:t>
      </w:r>
      <w:r>
        <w:rPr>
          <w:rFonts w:hint="eastAsia" w:ascii="宋体" w:hAnsi="宋体" w:eastAsia="宋体" w:cs="宋体"/>
          <w:b w:val="0"/>
          <w:i w:val="0"/>
          <w:sz w:val="24"/>
        </w:rPr>
        <w:t>复合绩效体系，通过</w:t>
      </w:r>
      <w:r>
        <w:rPr>
          <w:rFonts w:hint="eastAsia" w:ascii="宋体" w:hAnsi="宋体" w:cs="宋体"/>
          <w:b w:val="0"/>
          <w:i w:val="0"/>
          <w:sz w:val="24"/>
          <w:lang w:eastAsia="zh-CN"/>
        </w:rPr>
        <w:t>“</w:t>
      </w:r>
      <w:r>
        <w:rPr>
          <w:rFonts w:ascii="宋体" w:hAnsi="宋体" w:eastAsia="宋体" w:cs="宋体"/>
          <w:sz w:val="24"/>
          <w:szCs w:val="24"/>
        </w:rPr>
        <w:t>阶梯化盈余留用+特评病种豁免+RBRVS工作量保障</w:t>
      </w:r>
      <w:r>
        <w:rPr>
          <w:rFonts w:hint="eastAsia" w:ascii="宋体" w:hAnsi="宋体" w:cs="宋体"/>
          <w:sz w:val="24"/>
          <w:szCs w:val="24"/>
          <w:lang w:eastAsia="zh-CN"/>
        </w:rPr>
        <w:t>”</w:t>
      </w:r>
      <w:r>
        <w:rPr>
          <w:rFonts w:hint="eastAsia" w:ascii="宋体" w:hAnsi="宋体" w:eastAsia="宋体" w:cs="宋体"/>
          <w:b w:val="0"/>
          <w:i w:val="0"/>
          <w:sz w:val="24"/>
        </w:rPr>
        <w:t>实现医生、医院、集团三方利益的激励相容</w:t>
      </w:r>
      <w:r>
        <w:rPr>
          <w:rStyle w:val="51"/>
          <w:rFonts w:hint="eastAsia"/>
        </w:rPr>
        <w:t>[7]</w:t>
      </w:r>
      <w:r>
        <w:rPr>
          <w:rFonts w:hint="eastAsia" w:ascii="宋体" w:hAnsi="宋体" w:eastAsia="宋体" w:cs="宋体"/>
          <w:b w:val="0"/>
          <w:i w:val="0"/>
          <w:sz w:val="24"/>
        </w:rPr>
        <w:t xml:space="preserve"> </w:t>
      </w:r>
      <w:r>
        <w:rPr>
          <w:rFonts w:hint="eastAsia" w:ascii="宋体" w:hAnsi="宋体" w:cs="宋体"/>
          <w:b w:val="0"/>
          <w:i w:val="0"/>
          <w:sz w:val="24"/>
          <w:lang w:eastAsia="zh-CN"/>
        </w:rPr>
        <w:t>。</w:t>
      </w:r>
    </w:p>
    <w:p w14:paraId="72556CAB">
      <w:pPr>
        <w:spacing w:before="0" w:after="0" w:line="400" w:lineRule="exact"/>
        <w:ind w:firstLine="480"/>
        <w:jc w:val="both"/>
        <w:rPr>
          <w:rFonts w:hint="eastAsia" w:ascii="宋体" w:hAnsi="宋体" w:eastAsia="宋体" w:cs="宋体"/>
          <w:b w:val="0"/>
          <w:i w:val="0"/>
          <w:sz w:val="24"/>
        </w:rPr>
      </w:pPr>
    </w:p>
    <w:p w14:paraId="5FE26CFE">
      <w:pPr>
        <w:pStyle w:val="3"/>
        <w:bidi w:val="0"/>
        <w:ind w:left="575" w:hanging="575"/>
        <w:rPr>
          <w:rFonts w:hint="eastAsia" w:cs="Times New Roman"/>
          <w:b/>
          <w:bCs/>
        </w:rPr>
      </w:pPr>
      <w:bookmarkStart w:id="27" w:name="_Toc2526"/>
      <w:r>
        <w:rPr>
          <w:rFonts w:hint="eastAsia" w:cs="Times New Roman"/>
          <w:b/>
          <w:bCs/>
        </w:rPr>
        <w:t>本章小结</w:t>
      </w:r>
      <w:bookmarkEnd w:id="27"/>
    </w:p>
    <w:p w14:paraId="7C80CFF5">
      <w:pPr>
        <w:spacing w:before="0" w:after="0" w:line="400" w:lineRule="exact"/>
        <w:ind w:firstLine="480"/>
        <w:jc w:val="both"/>
        <w:rPr>
          <w:rFonts w:hint="eastAsia" w:ascii="宋体" w:hAnsi="宋体" w:eastAsia="宋体" w:cs="宋体"/>
          <w:b w:val="0"/>
          <w:i w:val="0"/>
          <w:sz w:val="24"/>
        </w:rPr>
      </w:pPr>
      <w:r>
        <w:rPr>
          <w:rFonts w:hint="eastAsia" w:ascii="宋体" w:hAnsi="宋体" w:eastAsia="宋体" w:cs="宋体"/>
          <w:b w:val="0"/>
          <w:i w:val="0"/>
          <w:sz w:val="24"/>
        </w:rPr>
        <w:t>本章从</w:t>
      </w:r>
      <w:r>
        <w:rPr>
          <w:rFonts w:hint="eastAsia" w:ascii="宋体" w:hAnsi="宋体" w:cs="宋体"/>
          <w:b w:val="0"/>
          <w:i w:val="0"/>
          <w:sz w:val="24"/>
          <w:lang w:eastAsia="zh-CN"/>
        </w:rPr>
        <w:t>A医疗集团“</w:t>
      </w:r>
      <w:r>
        <w:rPr>
          <w:rFonts w:hint="eastAsia" w:ascii="宋体" w:hAnsi="宋体" w:eastAsia="宋体" w:cs="宋体"/>
          <w:b w:val="0"/>
          <w:i w:val="0"/>
          <w:sz w:val="24"/>
        </w:rPr>
        <w:t>增收不增利</w:t>
      </w:r>
      <w:r>
        <w:rPr>
          <w:rFonts w:hint="eastAsia" w:ascii="宋体" w:hAnsi="宋体" w:cs="宋体"/>
          <w:b w:val="0"/>
          <w:i w:val="0"/>
          <w:sz w:val="24"/>
          <w:lang w:eastAsia="zh-CN"/>
        </w:rPr>
        <w:t>”</w:t>
      </w:r>
      <w:r>
        <w:rPr>
          <w:rFonts w:hint="eastAsia" w:ascii="宋体" w:hAnsi="宋体" w:eastAsia="宋体" w:cs="宋体"/>
          <w:b w:val="0"/>
          <w:i w:val="0"/>
          <w:sz w:val="24"/>
        </w:rPr>
        <w:t>的战略困局切入，阐明了DRG/DIP改革对非公医疗集团的深刻影响，并提出2024年构成</w:t>
      </w:r>
      <w:r>
        <w:rPr>
          <w:rFonts w:hint="eastAsia" w:ascii="宋体" w:hAnsi="宋体" w:cs="宋体"/>
          <w:b w:val="0"/>
          <w:i w:val="0"/>
          <w:sz w:val="24"/>
          <w:lang w:eastAsia="zh-CN"/>
        </w:rPr>
        <w:t>“</w:t>
      </w:r>
      <w:r>
        <w:rPr>
          <w:rFonts w:hint="eastAsia" w:ascii="宋体" w:hAnsi="宋体" w:eastAsia="宋体" w:cs="宋体"/>
          <w:b w:val="0"/>
          <w:i w:val="0"/>
          <w:sz w:val="24"/>
        </w:rPr>
        <w:t>双重转折点</w:t>
      </w:r>
      <w:r>
        <w:rPr>
          <w:rFonts w:hint="eastAsia" w:ascii="宋体" w:hAnsi="宋体" w:cs="宋体"/>
          <w:b w:val="0"/>
          <w:i w:val="0"/>
          <w:sz w:val="24"/>
          <w:lang w:eastAsia="zh-CN"/>
        </w:rPr>
        <w:t>”</w:t>
      </w:r>
      <w:r>
        <w:rPr>
          <w:rFonts w:hint="eastAsia" w:ascii="宋体" w:hAnsi="宋体" w:eastAsia="宋体" w:cs="宋体"/>
          <w:b w:val="0"/>
          <w:i w:val="0"/>
          <w:sz w:val="24"/>
        </w:rPr>
        <w:t>——外部医保政策收紧与内部管理转型同步发生，为本研究提供了天然的准自然实验条件。</w:t>
      </w:r>
      <w:r>
        <w:rPr>
          <w:rFonts w:hint="eastAsia" w:ascii="宋体" w:hAnsi="宋体" w:cs="宋体"/>
          <w:b w:val="0"/>
          <w:i w:val="0"/>
          <w:sz w:val="24"/>
          <w:lang w:eastAsia="zh-CN"/>
        </w:rPr>
        <w:t>本研究</w:t>
      </w:r>
      <w:r>
        <w:rPr>
          <w:rFonts w:hint="eastAsia" w:ascii="宋体" w:hAnsi="宋体" w:eastAsia="宋体" w:cs="宋体"/>
          <w:b w:val="0"/>
          <w:i w:val="0"/>
          <w:sz w:val="24"/>
        </w:rPr>
        <w:t>聚焦三个核心问题：双重干预的叠加冲击机制、医院响应速度分化原因、系统性优化策略设计。研究综合运用案例研究、间断时间序列分析、灰色关联度分析和深度访谈等方法，以2022年</w:t>
      </w:r>
      <w:r>
        <w:rPr>
          <w:rFonts w:hint="eastAsia" w:ascii="宋体" w:hAnsi="宋体" w:cs="宋体"/>
          <w:b w:val="0"/>
          <w:i w:val="0"/>
          <w:sz w:val="24"/>
          <w:lang w:val="en-US" w:eastAsia="zh-CN"/>
        </w:rPr>
        <w:t>1</w:t>
      </w:r>
      <w:r>
        <w:rPr>
          <w:rFonts w:hint="eastAsia" w:ascii="宋体" w:hAnsi="宋体" w:eastAsia="宋体" w:cs="宋体"/>
          <w:b w:val="0"/>
          <w:i w:val="0"/>
          <w:sz w:val="24"/>
        </w:rPr>
        <w:t>月至2025年11月</w:t>
      </w:r>
      <w:r>
        <w:rPr>
          <w:rFonts w:hint="eastAsia" w:ascii="宋体" w:hAnsi="宋体" w:cs="宋体"/>
          <w:b w:val="0"/>
          <w:i w:val="0"/>
          <w:sz w:val="24"/>
          <w:lang w:eastAsia="zh-CN"/>
        </w:rPr>
        <w:t>共47</w:t>
      </w:r>
      <w:r>
        <w:rPr>
          <w:rFonts w:hint="eastAsia" w:ascii="宋体" w:hAnsi="宋体" w:eastAsia="宋体" w:cs="宋体"/>
          <w:b w:val="0"/>
          <w:i w:val="0"/>
          <w:sz w:val="24"/>
        </w:rPr>
        <w:t>个月的面板数据为实证基础，旨在为非公医疗集团应对支付改革提供理论指导与实践工具。</w:t>
      </w:r>
    </w:p>
    <w:bookmarkEnd w:id="21"/>
    <w:bookmarkEnd w:id="22"/>
    <w:p w14:paraId="40FA5201">
      <w:pPr>
        <w:pStyle w:val="2"/>
        <w:adjustRightInd w:val="0"/>
        <w:snapToGrid w:val="0"/>
        <w:spacing w:before="480" w:after="0" w:line="240" w:lineRule="auto"/>
        <w:rPr>
          <w:b w:val="0"/>
          <w:color w:val="auto"/>
          <w:sz w:val="32"/>
          <w:szCs w:val="32"/>
        </w:rPr>
      </w:pPr>
      <w:bookmarkStart w:id="28" w:name="_Toc24668"/>
      <w:r>
        <w:rPr>
          <w:rFonts w:hint="eastAsia"/>
          <w:b w:val="0"/>
          <w:color w:val="auto"/>
          <w:sz w:val="32"/>
          <w:szCs w:val="32"/>
        </w:rPr>
        <w:t>理论基础与文献综述</w:t>
      </w:r>
      <w:bookmarkEnd w:id="28"/>
    </w:p>
    <w:p w14:paraId="78F9A067">
      <w:pPr>
        <w:pStyle w:val="3"/>
        <w:adjustRightInd w:val="0"/>
        <w:snapToGrid w:val="0"/>
        <w:spacing w:before="480" w:beforeLines="0" w:after="120" w:line="400" w:lineRule="exact"/>
        <w:rPr>
          <w:b w:val="0"/>
          <w:color w:val="auto"/>
          <w:sz w:val="28"/>
          <w:szCs w:val="28"/>
        </w:rPr>
      </w:pPr>
      <w:bookmarkStart w:id="29" w:name="_Toc6068"/>
      <w:r>
        <w:rPr>
          <w:rFonts w:hint="eastAsia"/>
          <w:color w:val="auto"/>
        </w:rPr>
        <w:t>协同理论：集团化运营的价值逻辑</w:t>
      </w:r>
      <w:bookmarkEnd w:id="29"/>
    </w:p>
    <w:p w14:paraId="385B66E7">
      <w:pPr>
        <w:pStyle w:val="4"/>
        <w:bidi w:val="0"/>
        <w:rPr>
          <w:rFonts w:hint="eastAsia"/>
        </w:rPr>
      </w:pPr>
      <w:bookmarkStart w:id="30" w:name="_Toc23779"/>
      <w:bookmarkStart w:id="31" w:name="_Toc345588848"/>
      <w:bookmarkStart w:id="32" w:name="_Toc292178206"/>
      <w:r>
        <w:rPr>
          <w:rFonts w:hint="eastAsia"/>
        </w:rPr>
        <w:t>协同效应的理论内涵</w:t>
      </w:r>
      <w:bookmarkEnd w:id="30"/>
    </w:p>
    <w:p w14:paraId="2CDFF389">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协同效应（Synergy）的概念由战略管理学家Ansoff在《公司战略》中系统阐述</w:t>
      </w:r>
      <w:r>
        <w:rPr>
          <w:rStyle w:val="51"/>
          <w:rFonts w:hint="eastAsia"/>
          <w:lang w:eastAsia="zh-CN"/>
        </w:rPr>
        <w:t>[2]</w:t>
      </w:r>
      <w:r>
        <w:rPr>
          <w:rFonts w:hint="eastAsia" w:ascii="宋体" w:hAnsi="宋体" w:eastAsia="宋体" w:cs="宋体"/>
          <w:color w:val="auto"/>
        </w:rPr>
        <w:t>。Ansoff将协同定义为</w:t>
      </w:r>
      <w:r>
        <w:rPr>
          <w:rFonts w:hint="eastAsia" w:ascii="宋体" w:hAnsi="宋体" w:cs="宋体"/>
          <w:color w:val="auto"/>
          <w:lang w:eastAsia="zh-CN"/>
        </w:rPr>
        <w:t>“</w:t>
      </w:r>
      <w:r>
        <w:rPr>
          <w:rFonts w:hint="eastAsia" w:ascii="宋体" w:hAnsi="宋体" w:eastAsia="宋体" w:cs="宋体"/>
          <w:color w:val="auto"/>
        </w:rPr>
        <w:t>使企业整体价值大于各部分价值之和的效应</w:t>
      </w:r>
      <w:r>
        <w:rPr>
          <w:rFonts w:hint="eastAsia" w:ascii="宋体" w:hAnsi="宋体" w:cs="宋体"/>
          <w:color w:val="auto"/>
          <w:lang w:eastAsia="zh-CN"/>
        </w:rPr>
        <w:t>”</w:t>
      </w:r>
      <w:r>
        <w:rPr>
          <w:rFonts w:hint="eastAsia" w:ascii="宋体" w:hAnsi="宋体" w:eastAsia="宋体" w:cs="宋体"/>
          <w:color w:val="auto"/>
        </w:rPr>
        <w:t>，即</w:t>
      </w:r>
      <w:r>
        <w:rPr>
          <w:rFonts w:hint="eastAsia" w:ascii="宋体" w:hAnsi="宋体" w:cs="宋体"/>
          <w:color w:val="auto"/>
          <w:lang w:eastAsia="zh-CN"/>
        </w:rPr>
        <w:t>“</w:t>
      </w:r>
      <w:r>
        <w:rPr>
          <w:rFonts w:hint="eastAsia" w:ascii="宋体" w:hAnsi="宋体" w:eastAsia="宋体" w:cs="宋体"/>
          <w:color w:val="auto"/>
        </w:rPr>
        <w:t>1+1&gt;2</w:t>
      </w:r>
      <w:r>
        <w:rPr>
          <w:rFonts w:hint="eastAsia" w:ascii="宋体" w:hAnsi="宋体" w:cs="宋体"/>
          <w:color w:val="auto"/>
          <w:lang w:eastAsia="zh-CN"/>
        </w:rPr>
        <w:t>”</w:t>
      </w:r>
      <w:r>
        <w:rPr>
          <w:rFonts w:hint="eastAsia" w:ascii="宋体" w:hAnsi="宋体" w:eastAsia="宋体" w:cs="宋体"/>
          <w:color w:val="auto"/>
        </w:rPr>
        <w:t>命题。他进一步将协同效应分解为四种类型：销售协同（共享销售渠道）、运营协同（共享生产设施）、投资协同（共享资本支出）和管理协同（共享管理知识）。</w:t>
      </w:r>
    </w:p>
    <w:p w14:paraId="70D4DEBE">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对于</w:t>
      </w:r>
      <w:r>
        <w:rPr>
          <w:rFonts w:hint="eastAsia" w:ascii="宋体" w:hAnsi="宋体" w:eastAsia="宋体" w:cs="宋体"/>
          <w:color w:val="auto"/>
          <w:lang w:val="en-US" w:eastAsia="zh-CN"/>
        </w:rPr>
        <w:t>健康</w:t>
      </w:r>
      <w:r>
        <w:rPr>
          <w:rFonts w:hint="eastAsia" w:ascii="宋体" w:hAnsi="宋体" w:eastAsia="宋体" w:cs="宋体"/>
          <w:color w:val="auto"/>
        </w:rPr>
        <w:t>集团而言，运营协同是最具持续性的价值来源，其典型体现是供应链整合——通过集中采购（GPO模式）、统一配送，降低药品耗材的采购成本，并从流通环节获取</w:t>
      </w:r>
      <w:r>
        <w:rPr>
          <w:rFonts w:hint="eastAsia" w:ascii="宋体" w:hAnsi="宋体" w:cs="宋体"/>
          <w:color w:val="auto"/>
          <w:lang w:eastAsia="zh-CN"/>
        </w:rPr>
        <w:t>集中管理协同收益</w:t>
      </w:r>
      <w:r>
        <w:rPr>
          <w:rFonts w:hint="eastAsia" w:ascii="宋体" w:hAnsi="宋体" w:eastAsia="宋体" w:cs="宋体"/>
          <w:color w:val="auto"/>
        </w:rPr>
        <w:t>。</w:t>
      </w:r>
    </w:p>
    <w:p w14:paraId="07823083">
      <w:pPr>
        <w:pStyle w:val="4"/>
        <w:bidi w:val="0"/>
        <w:ind w:left="720" w:hanging="720"/>
        <w:rPr>
          <w:rFonts w:hint="eastAsia" w:cs="Times New Roman"/>
          <w:b/>
          <w:bCs/>
        </w:rPr>
      </w:pPr>
      <w:bookmarkStart w:id="33" w:name="_Toc14500"/>
      <w:r>
        <w:rPr>
          <w:rFonts w:hint="eastAsia" w:cs="Times New Roman"/>
          <w:b/>
          <w:bCs/>
        </w:rPr>
        <w:t>医疗服务与供应链</w:t>
      </w:r>
      <w:r>
        <w:rPr>
          <w:rFonts w:hint="eastAsia" w:cs="Times New Roman"/>
          <w:b/>
          <w:bCs/>
          <w:lang w:eastAsia="zh-CN"/>
        </w:rPr>
        <w:t>协同</w:t>
      </w:r>
      <w:r>
        <w:rPr>
          <w:rFonts w:hint="eastAsia" w:cs="Times New Roman"/>
          <w:b/>
          <w:bCs/>
        </w:rPr>
        <w:t>的双刃剑效应</w:t>
      </w:r>
      <w:bookmarkEnd w:id="33"/>
    </w:p>
    <w:p w14:paraId="560C6904">
      <w:pPr>
        <w:adjustRightInd w:val="0"/>
        <w:snapToGrid w:val="0"/>
        <w:spacing w:line="400" w:lineRule="exact"/>
        <w:ind w:firstLine="480"/>
        <w:rPr>
          <w:rFonts w:hint="eastAsia" w:ascii="宋体" w:hAnsi="宋体" w:eastAsia="宋体" w:cs="宋体"/>
          <w:color w:val="auto"/>
        </w:rPr>
      </w:pPr>
      <w:r>
        <w:rPr>
          <w:rFonts w:hint="eastAsia" w:ascii="宋体" w:hAnsi="宋体" w:cs="宋体"/>
          <w:color w:val="auto"/>
          <w:lang w:eastAsia="zh-CN"/>
        </w:rPr>
        <w:t>A医疗集团</w:t>
      </w:r>
      <w:r>
        <w:rPr>
          <w:rFonts w:hint="eastAsia" w:ascii="宋体" w:hAnsi="宋体" w:eastAsia="宋体" w:cs="宋体"/>
          <w:color w:val="auto"/>
        </w:rPr>
        <w:t>的商业模式核心在于医疗服务与供应链协同的产业链垂直整合。</w:t>
      </w:r>
      <w:r>
        <w:rPr>
          <w:rFonts w:hint="eastAsia" w:ascii="宋体" w:hAnsi="宋体" w:eastAsia="宋体" w:cs="宋体"/>
          <w:color w:val="auto"/>
          <w:lang w:val="en-US" w:eastAsia="zh-CN"/>
        </w:rPr>
        <w:t>其自建的</w:t>
      </w:r>
      <w:r>
        <w:rPr>
          <w:rFonts w:hint="eastAsia" w:ascii="宋体" w:hAnsi="宋体" w:eastAsia="宋体" w:cs="宋体"/>
          <w:color w:val="auto"/>
        </w:rPr>
        <w:t>供应链平台</w:t>
      </w:r>
      <w:r>
        <w:rPr>
          <w:rFonts w:hint="eastAsia" w:ascii="宋体" w:hAnsi="宋体" w:eastAsia="宋体" w:cs="宋体"/>
          <w:color w:val="auto"/>
          <w:lang w:val="en-US" w:eastAsia="zh-CN"/>
        </w:rPr>
        <w:t>可以</w:t>
      </w:r>
      <w:r>
        <w:rPr>
          <w:rFonts w:hint="eastAsia" w:ascii="宋体" w:hAnsi="宋体" w:eastAsia="宋体" w:cs="宋体"/>
          <w:color w:val="auto"/>
        </w:rPr>
        <w:t>连接上游供应商与下游医院，通过三重机制创造协同价值：</w:t>
      </w:r>
    </w:p>
    <w:p w14:paraId="2D72299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b/>
          <w:bCs/>
          <w:color w:val="auto"/>
        </w:rPr>
        <w:t>机制一：</w:t>
      </w:r>
      <w:r>
        <w:rPr>
          <w:rFonts w:hint="eastAsia" w:ascii="宋体" w:hAnsi="宋体" w:eastAsia="宋体" w:cs="宋体"/>
          <w:color w:val="auto"/>
        </w:rPr>
        <w:t>成本协同。集中议价使采购成本较市场价格平均降低</w:t>
      </w:r>
      <w:r>
        <w:rPr>
          <w:rFonts w:hint="eastAsia" w:ascii="宋体" w:hAnsi="宋体" w:cs="宋体"/>
          <w:color w:val="auto"/>
          <w:lang w:eastAsia="zh-CN"/>
        </w:rPr>
        <w:t>15%—30%</w:t>
      </w:r>
      <w:r>
        <w:rPr>
          <w:rFonts w:hint="eastAsia" w:ascii="宋体" w:hAnsi="宋体" w:eastAsia="宋体" w:cs="宋体"/>
          <w:color w:val="auto"/>
        </w:rPr>
        <w:t>，部分</w:t>
      </w:r>
      <w:r>
        <w:rPr>
          <w:rFonts w:hint="eastAsia" w:ascii="宋体" w:hAnsi="宋体" w:eastAsia="宋体" w:cs="宋体"/>
          <w:color w:val="auto"/>
          <w:lang w:eastAsia="zh-CN"/>
        </w:rPr>
        <w:t>产品</w:t>
      </w:r>
      <w:r>
        <w:rPr>
          <w:rFonts w:hint="eastAsia" w:ascii="宋体" w:hAnsi="宋体" w:eastAsia="宋体" w:cs="宋体"/>
          <w:color w:val="auto"/>
        </w:rPr>
        <w:t>降幅超过50%。</w:t>
      </w:r>
    </w:p>
    <w:p w14:paraId="0B3CDE61">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b/>
          <w:bCs/>
          <w:color w:val="auto"/>
        </w:rPr>
        <w:t>机制二：</w:t>
      </w:r>
      <w:r>
        <w:rPr>
          <w:rFonts w:hint="eastAsia" w:ascii="宋体" w:hAnsi="宋体" w:eastAsia="宋体" w:cs="宋体"/>
          <w:b w:val="0"/>
          <w:bCs w:val="0"/>
          <w:color w:val="auto"/>
        </w:rPr>
        <w:t>现金</w:t>
      </w:r>
      <w:r>
        <w:rPr>
          <w:rFonts w:hint="eastAsia" w:ascii="宋体" w:hAnsi="宋体" w:eastAsia="宋体" w:cs="宋体"/>
          <w:color w:val="auto"/>
        </w:rPr>
        <w:t>流协同。通过延长对供应商的账期（DPO从行业平均90天延长至300</w:t>
      </w:r>
      <w:r>
        <w:rPr>
          <w:rFonts w:hint="eastAsia" w:ascii="宋体" w:hAnsi="宋体" w:eastAsia="宋体" w:cs="宋体"/>
          <w:color w:val="auto"/>
          <w:lang w:eastAsia="zh-CN"/>
        </w:rPr>
        <w:t>—</w:t>
      </w:r>
      <w:r>
        <w:rPr>
          <w:rFonts w:hint="eastAsia" w:ascii="宋体" w:hAnsi="宋体" w:eastAsia="宋体" w:cs="宋体"/>
          <w:color w:val="auto"/>
        </w:rPr>
        <w:t>480天），集团形成约15亿元的</w:t>
      </w:r>
      <w:r>
        <w:rPr>
          <w:rFonts w:hint="eastAsia" w:ascii="宋体" w:hAnsi="宋体" w:eastAsia="宋体" w:cs="宋体"/>
          <w:color w:val="auto"/>
          <w:lang w:eastAsia="zh-CN"/>
        </w:rPr>
        <w:t>“</w:t>
      </w:r>
      <w:r>
        <w:rPr>
          <w:rFonts w:hint="eastAsia" w:ascii="宋体" w:hAnsi="宋体" w:eastAsia="宋体" w:cs="宋体"/>
          <w:color w:val="auto"/>
        </w:rPr>
        <w:t>无息负债池</w:t>
      </w:r>
      <w:r>
        <w:rPr>
          <w:rFonts w:hint="eastAsia" w:ascii="宋体" w:hAnsi="宋体" w:eastAsia="宋体" w:cs="宋体"/>
          <w:color w:val="auto"/>
          <w:lang w:eastAsia="zh-CN"/>
        </w:rPr>
        <w:t>”</w:t>
      </w:r>
      <w:r>
        <w:rPr>
          <w:rFonts w:hint="eastAsia" w:ascii="宋体" w:hAnsi="宋体" w:eastAsia="宋体" w:cs="宋体"/>
          <w:color w:val="auto"/>
        </w:rPr>
        <w:t>，年化资金收益约4,500万元。</w:t>
      </w:r>
    </w:p>
    <w:p w14:paraId="227B06D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b/>
          <w:bCs/>
          <w:color w:val="auto"/>
        </w:rPr>
        <w:t>机制三：</w:t>
      </w:r>
      <w:r>
        <w:rPr>
          <w:rFonts w:hint="eastAsia" w:ascii="宋体" w:hAnsi="宋体" w:eastAsia="宋体" w:cs="宋体"/>
          <w:color w:val="auto"/>
        </w:rPr>
        <w:t>风险协同。当医保支付收紧导致院端收入下降时，供应链收益的稳定性部分对冲了政策冲击，实现</w:t>
      </w:r>
      <w:r>
        <w:rPr>
          <w:rFonts w:hint="eastAsia" w:ascii="宋体" w:hAnsi="宋体" w:eastAsia="宋体" w:cs="宋体"/>
          <w:color w:val="auto"/>
          <w:lang w:eastAsia="zh-CN"/>
        </w:rPr>
        <w:t>“</w:t>
      </w:r>
      <w:r>
        <w:rPr>
          <w:rFonts w:hint="eastAsia" w:ascii="宋体" w:hAnsi="宋体" w:eastAsia="宋体" w:cs="宋体"/>
          <w:color w:val="auto"/>
        </w:rPr>
        <w:t>医保端承压、供应链端补偿</w:t>
      </w:r>
      <w:r>
        <w:rPr>
          <w:rFonts w:hint="eastAsia" w:ascii="宋体" w:hAnsi="宋体" w:eastAsia="宋体" w:cs="宋体"/>
          <w:color w:val="auto"/>
          <w:lang w:eastAsia="zh-CN"/>
        </w:rPr>
        <w:t>”</w:t>
      </w:r>
      <w:r>
        <w:rPr>
          <w:rFonts w:hint="eastAsia" w:ascii="宋体" w:hAnsi="宋体" w:eastAsia="宋体" w:cs="宋体"/>
          <w:color w:val="auto"/>
        </w:rPr>
        <w:t>的财务对冲效应。</w:t>
      </w:r>
    </w:p>
    <w:p w14:paraId="557C53F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然而，本研究必须揭示这一模式的</w:t>
      </w:r>
      <w:r>
        <w:rPr>
          <w:rFonts w:hint="eastAsia" w:ascii="宋体" w:hAnsi="宋体" w:eastAsia="宋体" w:cs="宋体"/>
          <w:color w:val="auto"/>
          <w:lang w:eastAsia="zh-CN"/>
        </w:rPr>
        <w:t>“</w:t>
      </w:r>
      <w:r>
        <w:rPr>
          <w:rFonts w:hint="eastAsia" w:ascii="宋体" w:hAnsi="宋体" w:eastAsia="宋体" w:cs="宋体"/>
          <w:color w:val="auto"/>
        </w:rPr>
        <w:t>双刃剑</w:t>
      </w:r>
      <w:r>
        <w:rPr>
          <w:rFonts w:hint="eastAsia" w:ascii="宋体" w:hAnsi="宋体" w:eastAsia="宋体" w:cs="宋体"/>
          <w:color w:val="auto"/>
          <w:lang w:eastAsia="zh-CN"/>
        </w:rPr>
        <w:t>”</w:t>
      </w:r>
      <w:r>
        <w:rPr>
          <w:rFonts w:hint="eastAsia" w:ascii="宋体" w:hAnsi="宋体" w:eastAsia="宋体" w:cs="宋体"/>
          <w:color w:val="auto"/>
        </w:rPr>
        <w:t>本质</w:t>
      </w:r>
      <w:r>
        <w:rPr>
          <w:rStyle w:val="51"/>
          <w:rFonts w:hint="eastAsia"/>
        </w:rPr>
        <w:t>[4]</w:t>
      </w:r>
      <w:r>
        <w:rPr>
          <w:rFonts w:hint="eastAsia" w:ascii="宋体" w:hAnsi="宋体" w:eastAsia="宋体" w:cs="宋体"/>
          <w:color w:val="auto"/>
        </w:rPr>
        <w:t xml:space="preserve"> ：</w:t>
      </w:r>
    </w:p>
    <w:p w14:paraId="5DA389B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风险一：供应链利润掩盖临床效率低下。当集团层面通过</w:t>
      </w:r>
      <w:r>
        <w:rPr>
          <w:rFonts w:hint="eastAsia" w:ascii="宋体" w:hAnsi="宋体" w:cs="宋体"/>
          <w:color w:val="auto"/>
          <w:lang w:eastAsia="zh-CN"/>
        </w:rPr>
        <w:t>集中管理协同收益</w:t>
      </w:r>
      <w:r>
        <w:rPr>
          <w:rFonts w:hint="eastAsia" w:ascii="宋体" w:hAnsi="宋体" w:eastAsia="宋体" w:cs="宋体"/>
          <w:color w:val="auto"/>
        </w:rPr>
        <w:t>回收实现整体盈利时，院区医保亏损的紧迫性在合并报表中被</w:t>
      </w:r>
      <w:r>
        <w:rPr>
          <w:rFonts w:hint="eastAsia" w:ascii="宋体" w:hAnsi="宋体" w:eastAsia="宋体" w:cs="宋体"/>
          <w:color w:val="auto"/>
          <w:lang w:eastAsia="zh-CN"/>
        </w:rPr>
        <w:t>“</w:t>
      </w:r>
      <w:r>
        <w:rPr>
          <w:rFonts w:hint="eastAsia" w:ascii="宋体" w:hAnsi="宋体" w:eastAsia="宋体" w:cs="宋体"/>
          <w:color w:val="auto"/>
        </w:rPr>
        <w:t>稀释</w:t>
      </w:r>
      <w:r>
        <w:rPr>
          <w:rFonts w:hint="eastAsia" w:ascii="宋体" w:hAnsi="宋体" w:eastAsia="宋体" w:cs="宋体"/>
          <w:color w:val="auto"/>
          <w:lang w:eastAsia="zh-CN"/>
        </w:rPr>
        <w:t>”</w:t>
      </w:r>
      <w:r>
        <w:rPr>
          <w:rFonts w:hint="eastAsia" w:ascii="宋体" w:hAnsi="宋体" w:eastAsia="宋体" w:cs="宋体"/>
          <w:color w:val="auto"/>
        </w:rPr>
        <w:t>，可能导致管理层对临床成本控制的关注度下降。更尖锐地说，集团层面的盈利，在某种程度上是以牺牲单体医院的现金流健康为代价的——</w:t>
      </w:r>
      <w:r>
        <w:rPr>
          <w:rFonts w:hint="eastAsia" w:ascii="宋体" w:hAnsi="宋体" w:cs="宋体"/>
          <w:color w:val="auto"/>
          <w:lang w:eastAsia="zh-CN"/>
        </w:rPr>
        <w:t>集中管理协同收益</w:t>
      </w:r>
      <w:r>
        <w:rPr>
          <w:rFonts w:hint="eastAsia" w:ascii="宋体" w:hAnsi="宋体" w:eastAsia="宋体" w:cs="宋体"/>
          <w:color w:val="auto"/>
        </w:rPr>
        <w:t>从院区抽走的每一分钱，都是院区本可用于改善服务、激励员工的资源。</w:t>
      </w:r>
    </w:p>
    <w:p w14:paraId="30595349">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风险二：超长账期累积供应链脆弱性。480天的账期已显著超出供应商承受边界，一旦宏观流动性收紧或集团信用评级下调，供应商可能集体收缩账期甚至断供。这种</w:t>
      </w:r>
      <w:r>
        <w:rPr>
          <w:rFonts w:hint="eastAsia" w:ascii="宋体" w:hAnsi="宋体" w:eastAsia="宋体" w:cs="宋体"/>
          <w:color w:val="auto"/>
          <w:lang w:eastAsia="zh-CN"/>
        </w:rPr>
        <w:t>“</w:t>
      </w:r>
      <w:r>
        <w:rPr>
          <w:rFonts w:hint="eastAsia" w:ascii="宋体" w:hAnsi="宋体" w:eastAsia="宋体" w:cs="宋体"/>
          <w:color w:val="auto"/>
        </w:rPr>
        <w:t>以时间换空间</w:t>
      </w:r>
      <w:r>
        <w:rPr>
          <w:rFonts w:hint="eastAsia" w:ascii="宋体" w:hAnsi="宋体" w:eastAsia="宋体" w:cs="宋体"/>
          <w:color w:val="auto"/>
          <w:lang w:eastAsia="zh-CN"/>
        </w:rPr>
        <w:t>”</w:t>
      </w:r>
      <w:r>
        <w:rPr>
          <w:rFonts w:hint="eastAsia" w:ascii="宋体" w:hAnsi="宋体" w:eastAsia="宋体" w:cs="宋体"/>
          <w:color w:val="auto"/>
        </w:rPr>
        <w:t>的财务策略，本质上是将风险从当期转移至未来。</w:t>
      </w:r>
    </w:p>
    <w:p w14:paraId="7E90ABD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风险三：</w:t>
      </w:r>
      <w:r>
        <w:rPr>
          <w:rFonts w:hint="eastAsia" w:ascii="宋体" w:hAnsi="宋体" w:eastAsia="宋体" w:cs="宋体"/>
          <w:color w:val="auto"/>
          <w:lang w:eastAsia="zh-CN"/>
        </w:rPr>
        <w:t>“</w:t>
      </w:r>
      <w:r>
        <w:rPr>
          <w:rFonts w:hint="eastAsia" w:ascii="宋体" w:hAnsi="宋体" w:eastAsia="宋体" w:cs="宋体"/>
          <w:color w:val="auto"/>
        </w:rPr>
        <w:t>蓄水池</w:t>
      </w:r>
      <w:r>
        <w:rPr>
          <w:rFonts w:hint="eastAsia" w:ascii="宋体" w:hAnsi="宋体" w:eastAsia="宋体" w:cs="宋体"/>
          <w:color w:val="auto"/>
          <w:lang w:eastAsia="zh-CN"/>
        </w:rPr>
        <w:t>”</w:t>
      </w:r>
      <w:r>
        <w:rPr>
          <w:rFonts w:hint="eastAsia" w:ascii="宋体" w:hAnsi="宋体" w:eastAsia="宋体" w:cs="宋体"/>
          <w:color w:val="auto"/>
        </w:rPr>
        <w:t>本质是利益再分配而非价值创造。账期收益是将供应商资金成本转嫁至集团报表，</w:t>
      </w:r>
      <w:r>
        <w:rPr>
          <w:rFonts w:hint="eastAsia" w:ascii="宋体" w:hAnsi="宋体" w:cs="宋体"/>
          <w:color w:val="auto"/>
          <w:lang w:eastAsia="zh-CN"/>
        </w:rPr>
        <w:t>集中管理协同收益</w:t>
      </w:r>
      <w:r>
        <w:rPr>
          <w:rFonts w:hint="eastAsia" w:ascii="宋体" w:hAnsi="宋体" w:eastAsia="宋体" w:cs="宋体"/>
          <w:color w:val="auto"/>
        </w:rPr>
        <w:t>是对产业链利润的重新分配，均非通过提升医疗服务效率创造的</w:t>
      </w:r>
      <w:r>
        <w:rPr>
          <w:rFonts w:hint="eastAsia" w:ascii="宋体" w:hAnsi="宋体" w:eastAsia="宋体" w:cs="宋体"/>
          <w:color w:val="auto"/>
          <w:lang w:eastAsia="zh-CN"/>
        </w:rPr>
        <w:t>“</w:t>
      </w:r>
      <w:r>
        <w:rPr>
          <w:rFonts w:hint="eastAsia" w:ascii="宋体" w:hAnsi="宋体" w:eastAsia="宋体" w:cs="宋体"/>
          <w:color w:val="auto"/>
        </w:rPr>
        <w:t>增量价值</w:t>
      </w:r>
      <w:r>
        <w:rPr>
          <w:rFonts w:hint="eastAsia" w:ascii="宋体" w:hAnsi="宋体" w:eastAsia="宋体" w:cs="宋体"/>
          <w:color w:val="auto"/>
          <w:lang w:eastAsia="zh-CN"/>
        </w:rPr>
        <w:t>”</w:t>
      </w:r>
      <w:r>
        <w:rPr>
          <w:rFonts w:hint="eastAsia" w:ascii="宋体" w:hAnsi="宋体" w:eastAsia="宋体" w:cs="宋体"/>
          <w:color w:val="auto"/>
        </w:rPr>
        <w:t>。这是</w:t>
      </w:r>
      <w:r>
        <w:rPr>
          <w:rFonts w:hint="eastAsia" w:ascii="宋体" w:hAnsi="宋体" w:eastAsia="宋体" w:cs="宋体"/>
          <w:color w:val="auto"/>
          <w:lang w:val="en-US" w:eastAsia="zh-CN"/>
        </w:rPr>
        <w:t>管理上</w:t>
      </w:r>
      <w:r>
        <w:rPr>
          <w:rFonts w:hint="eastAsia" w:ascii="宋体" w:hAnsi="宋体" w:eastAsia="宋体" w:cs="宋体"/>
          <w:color w:val="auto"/>
        </w:rPr>
        <w:t>必须正视的</w:t>
      </w:r>
      <w:r>
        <w:rPr>
          <w:rFonts w:hint="eastAsia" w:ascii="宋体" w:hAnsi="宋体" w:eastAsia="宋体" w:cs="宋体"/>
          <w:color w:val="auto"/>
          <w:lang w:eastAsia="zh-CN"/>
        </w:rPr>
        <w:t>“</w:t>
      </w:r>
      <w:r>
        <w:rPr>
          <w:rFonts w:hint="eastAsia" w:ascii="宋体" w:hAnsi="宋体" w:eastAsia="宋体" w:cs="宋体"/>
          <w:color w:val="auto"/>
        </w:rPr>
        <w:t>管理灰度</w:t>
      </w:r>
      <w:r>
        <w:rPr>
          <w:rFonts w:hint="eastAsia" w:ascii="宋体" w:hAnsi="宋体" w:eastAsia="宋体" w:cs="宋体"/>
          <w:color w:val="auto"/>
          <w:lang w:eastAsia="zh-CN"/>
        </w:rPr>
        <w:t>”</w:t>
      </w:r>
      <w:r>
        <w:rPr>
          <w:rFonts w:hint="eastAsia" w:ascii="宋体" w:hAnsi="宋体" w:eastAsia="宋体" w:cs="宋体"/>
          <w:color w:val="auto"/>
        </w:rPr>
        <w:t>：协同效应的光鲜数字背后，可能隐藏着对生态链伙伴的价值侵蚀。</w:t>
      </w:r>
    </w:p>
    <w:p w14:paraId="65C0A165">
      <w:pPr>
        <w:pStyle w:val="3"/>
        <w:bidi w:val="0"/>
        <w:rPr>
          <w:rFonts w:hint="eastAsia"/>
        </w:rPr>
      </w:pPr>
      <w:bookmarkStart w:id="34" w:name="_Toc7338"/>
      <w:r>
        <w:rPr>
          <w:rFonts w:hint="eastAsia"/>
        </w:rPr>
        <w:t>理论框架：基于委托代理理论的临床行为解释</w:t>
      </w:r>
      <w:bookmarkEnd w:id="34"/>
    </w:p>
    <w:p w14:paraId="75AFBE4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本研究以委托代理理论为理论锚点，构建“集团</w:t>
      </w:r>
      <w:r>
        <w:rPr>
          <w:rFonts w:hint="eastAsia" w:ascii="宋体" w:hAnsi="宋体" w:cs="宋体"/>
          <w:color w:val="auto"/>
          <w:lang w:eastAsia="zh-CN"/>
        </w:rPr>
        <w:t>－</w:t>
      </w:r>
      <w:r>
        <w:rPr>
          <w:rFonts w:hint="eastAsia" w:ascii="宋体" w:hAnsi="宋体" w:eastAsia="宋体" w:cs="宋体"/>
          <w:color w:val="auto"/>
        </w:rPr>
        <w:t>临床科室”动态博弈分析框架</w:t>
      </w:r>
      <w:r>
        <w:rPr>
          <w:rStyle w:val="51"/>
          <w:rFonts w:hint="eastAsia"/>
        </w:rPr>
        <w:t>[4]</w:t>
      </w:r>
      <w:r>
        <w:rPr>
          <w:rFonts w:hint="eastAsia" w:ascii="宋体" w:hAnsi="宋体" w:eastAsia="宋体" w:cs="宋体"/>
          <w:color w:val="auto"/>
        </w:rPr>
        <w:t xml:space="preserve"> 。该理论指出，当委托人（集团）与代理人（临床科室）目标不一致、信息不对称时，代理人可能采取损害委托人利益的行动</w:t>
      </w:r>
      <w:r>
        <w:rPr>
          <w:rStyle w:val="51"/>
          <w:rFonts w:hint="eastAsia"/>
          <w:lang w:eastAsia="en-US"/>
        </w:rPr>
        <w:t>[</w:t>
      </w:r>
      <w:r>
        <w:rPr>
          <w:rStyle w:val="51"/>
          <w:rFonts w:hint="eastAsia"/>
          <w:lang w:val="en-US" w:eastAsia="zh-CN"/>
        </w:rPr>
        <w:t>49</w:t>
      </w:r>
      <w:r>
        <w:rPr>
          <w:rStyle w:val="51"/>
          <w:rFonts w:hint="eastAsia"/>
          <w:lang w:eastAsia="en-US"/>
        </w:rPr>
        <w:t>]</w:t>
      </w:r>
      <w:r>
        <w:rPr>
          <w:rFonts w:hint="eastAsia" w:ascii="宋体" w:hAnsi="宋体" w:eastAsia="宋体" w:cs="宋体"/>
          <w:color w:val="auto"/>
        </w:rPr>
        <w:t>。在医保支付改革背景下，此理论精准解释了三大核心痛点：CMI陷阱（科室规避高CMI病种）、供应链双刃剑（医院为保障收入延长住院周期）、临床动力不足（科室滞后调整临床路径）。然而，委托代</w:t>
      </w:r>
      <w:r>
        <w:rPr>
          <w:rFonts w:hint="eastAsia" w:ascii="宋体" w:hAnsi="宋体" w:cs="宋体"/>
          <w:color w:val="auto"/>
          <w:lang w:eastAsia="zh-CN"/>
        </w:rPr>
        <w:t>理</w:t>
      </w:r>
      <w:r>
        <w:rPr>
          <w:rFonts w:hint="eastAsia" w:ascii="宋体" w:hAnsi="宋体" w:eastAsia="宋体" w:cs="宋体"/>
          <w:color w:val="auto"/>
        </w:rPr>
        <w:t>论仅揭示了问题的根源——信息不对称与目标冲突导致的代理成本，却未提供具体的治理工具。如何在不完全契约环境下，设计出一套机制使临床科室（代理人）在追求自身利益最大化的同时，自动实现集团（委托人）的价值创造目标？这正是机制设计理论的核心议题，也是本研究从“问题诊断”转向“方案构建”的理论桥梁。基于此，本研究提出“激励相容”优化路径，通过将CMI、成本控制等指标纳入科室绩效考核，使代理人目标与委托人目标趋同。</w:t>
      </w:r>
    </w:p>
    <w:p w14:paraId="053DB4A0">
      <w:pPr>
        <w:pStyle w:val="3"/>
        <w:bidi w:val="0"/>
        <w:rPr>
          <w:rFonts w:hint="eastAsia"/>
        </w:rPr>
      </w:pPr>
      <w:bookmarkStart w:id="35" w:name="_Toc24359"/>
      <w:r>
        <w:rPr>
          <w:rFonts w:hint="eastAsia"/>
        </w:rPr>
        <w:t>价值医疗理论：医疗服务的终极评价标准</w:t>
      </w:r>
      <w:bookmarkEnd w:id="35"/>
    </w:p>
    <w:p w14:paraId="325EC7D6">
      <w:pPr>
        <w:pStyle w:val="4"/>
        <w:bidi w:val="0"/>
        <w:rPr>
          <w:rFonts w:hint="eastAsia"/>
        </w:rPr>
      </w:pPr>
      <w:bookmarkStart w:id="36" w:name="_Toc3758"/>
      <w:r>
        <w:rPr>
          <w:rFonts w:hint="eastAsia"/>
        </w:rPr>
        <w:t>波特价值医疗框架</w:t>
      </w:r>
      <w:bookmarkEnd w:id="36"/>
    </w:p>
    <w:p w14:paraId="092B6B3C">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哈佛商学院教授Porter与Teisberg在《重新定义医疗》中系统阐述了价值医疗（Value-Based Healthcare, VBHC）理论</w:t>
      </w:r>
      <w:r>
        <w:rPr>
          <w:rStyle w:val="51"/>
          <w:rFonts w:hint="eastAsia"/>
        </w:rPr>
        <w:t>[10]</w:t>
      </w:r>
      <w:r>
        <w:rPr>
          <w:rFonts w:hint="eastAsia" w:ascii="宋体" w:hAnsi="宋体" w:eastAsia="宋体" w:cs="宋体"/>
          <w:color w:val="auto"/>
        </w:rPr>
        <w:t>。Porter将医疗服务的</w:t>
      </w:r>
      <w:r>
        <w:rPr>
          <w:rFonts w:hint="eastAsia" w:ascii="宋体" w:hAnsi="宋体" w:eastAsia="宋体" w:cs="宋体"/>
          <w:color w:val="auto"/>
          <w:lang w:eastAsia="zh-CN"/>
        </w:rPr>
        <w:t>“</w:t>
      </w:r>
      <w:r>
        <w:rPr>
          <w:rFonts w:hint="eastAsia" w:ascii="宋体" w:hAnsi="宋体" w:eastAsia="宋体" w:cs="宋体"/>
          <w:color w:val="auto"/>
        </w:rPr>
        <w:t>价值</w:t>
      </w:r>
      <w:r>
        <w:rPr>
          <w:rFonts w:hint="eastAsia" w:ascii="宋体" w:hAnsi="宋体" w:eastAsia="宋体" w:cs="宋体"/>
          <w:color w:val="auto"/>
          <w:lang w:eastAsia="zh-CN"/>
        </w:rPr>
        <w:t>”</w:t>
      </w:r>
      <w:r>
        <w:rPr>
          <w:rFonts w:hint="eastAsia" w:ascii="宋体" w:hAnsi="宋体" w:eastAsia="宋体" w:cs="宋体"/>
          <w:color w:val="auto"/>
        </w:rPr>
        <w:t>定义为：</w:t>
      </w:r>
    </w:p>
    <w:p w14:paraId="62D77D5F">
      <w:pPr>
        <w:adjustRightInd w:val="0"/>
        <w:snapToGrid w:val="0"/>
        <w:spacing w:line="400" w:lineRule="exact"/>
        <w:ind w:firstLine="480"/>
        <w:rPr>
          <w:rFonts w:hAnsi="Segoe UI" w:eastAsia="Segoe UI" w:cs="Segoe UI"/>
          <w:i w:val="0"/>
          <w:iCs w:val="0"/>
          <w:caps w:val="0"/>
          <w:spacing w:val="5"/>
          <w:sz w:val="14"/>
          <w:szCs w:val="14"/>
        </w:rPr>
      </w:pPr>
      <m:oMathPara>
        <m:oMath>
          <m:r>
            <m:rPr/>
            <w:rPr>
              <w:rFonts w:hint="eastAsia" w:ascii="Cambria Math" w:hAnsi="Cambria Math" w:eastAsia="宋体" w:cs="宋体"/>
              <w:sz w:val="24"/>
              <w:szCs w:val="24"/>
            </w:rPr>
            <m:t>Value=</m:t>
          </m:r>
          <m:f>
            <m:fPr>
              <m:ctrlPr>
                <w:rPr>
                  <w:rFonts w:hint="eastAsia" w:ascii="Cambria Math" w:hAnsi="Cambria Math" w:eastAsia="宋体" w:cs="宋体"/>
                  <w:i/>
                  <w:sz w:val="24"/>
                  <w:szCs w:val="24"/>
                </w:rPr>
              </m:ctrlPr>
            </m:fPr>
            <m:num>
              <m:r>
                <m:rPr/>
                <w:rPr>
                  <w:rFonts w:hint="eastAsia" w:ascii="Cambria Math" w:hAnsi="Cambria Math" w:eastAsia="宋体" w:cs="宋体"/>
                  <w:sz w:val="24"/>
                  <w:szCs w:val="24"/>
                </w:rPr>
                <m:t>Heal</m:t>
              </m:r>
              <m:r>
                <m:rPr/>
                <w:rPr>
                  <w:rFonts w:hint="default" w:ascii="Cambria Math" w:hAnsi="Cambria Math" w:eastAsia="宋体" w:cs="宋体"/>
                  <w:sz w:val="24"/>
                  <w:szCs w:val="24"/>
                  <w:lang w:val="en-US" w:eastAsia="zh-CN"/>
                </w:rPr>
                <m:t>th</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Outcomes</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Ac</m:t>
              </m:r>
              <m:r>
                <m:rPr/>
                <w:rPr>
                  <w:rFonts w:hint="default" w:ascii="Cambria Math" w:hAnsi="Cambria Math" w:eastAsia="宋体" w:cs="宋体"/>
                  <w:sz w:val="24"/>
                  <w:szCs w:val="24"/>
                  <w:lang w:val="en-US" w:eastAsia="zh-CN"/>
                </w:rPr>
                <m:t>h</m:t>
              </m:r>
              <m:r>
                <m:rPr/>
                <w:rPr>
                  <w:rFonts w:hint="eastAsia" w:ascii="Cambria Math" w:hAnsi="Cambria Math" w:eastAsia="宋体" w:cs="宋体"/>
                  <w:sz w:val="24"/>
                  <w:szCs w:val="24"/>
                </w:rPr>
                <m:t>ieved</m:t>
              </m:r>
              <m:ctrlPr>
                <w:rPr>
                  <w:rFonts w:hint="eastAsia" w:ascii="Cambria Math" w:hAnsi="Cambria Math" w:eastAsia="宋体" w:cs="宋体"/>
                  <w:sz w:val="24"/>
                  <w:szCs w:val="24"/>
                </w:rPr>
              </m:ctrlPr>
            </m:num>
            <m:den>
              <m:r>
                <m:rPr/>
                <w:rPr>
                  <w:rFonts w:hint="eastAsia" w:ascii="Cambria Math" w:hAnsi="Cambria Math" w:eastAsia="宋体" w:cs="宋体"/>
                  <w:sz w:val="24"/>
                  <w:szCs w:val="24"/>
                </w:rPr>
                <m:t>Cost</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of</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Delivering</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t</m:t>
              </m:r>
              <m:r>
                <m:rPr/>
                <w:rPr>
                  <w:rFonts w:hint="default" w:ascii="Cambria Math" w:hAnsi="Cambria Math" w:eastAsia="宋体" w:cs="宋体"/>
                  <w:sz w:val="24"/>
                  <w:szCs w:val="24"/>
                  <w:lang w:val="en-US" w:eastAsia="zh-CN"/>
                </w:rPr>
                <m:t>h</m:t>
              </m:r>
              <m:r>
                <m:rPr/>
                <w:rPr>
                  <w:rFonts w:hint="eastAsia" w:ascii="Cambria Math" w:hAnsi="Cambria Math" w:eastAsia="宋体" w:cs="宋体"/>
                  <w:sz w:val="24"/>
                  <w:szCs w:val="24"/>
                </w:rPr>
                <m:t>e</m:t>
              </m:r>
              <m:r>
                <m:rPr>
                  <m:sty m:val="p"/>
                </m:rPr>
                <w:rPr>
                  <w:rFonts w:hint="eastAsia" w:ascii="Cambria Math" w:hAnsi="Cambria Math" w:eastAsia="宋体" w:cs="宋体"/>
                  <w:sz w:val="24"/>
                  <w:szCs w:val="24"/>
                </w:rPr>
                <m:t xml:space="preserve"> </m:t>
              </m:r>
              <m:r>
                <m:rPr/>
                <w:rPr>
                  <w:rFonts w:hint="eastAsia" w:ascii="Cambria Math" w:hAnsi="Cambria Math" w:eastAsia="宋体" w:cs="宋体"/>
                  <w:sz w:val="24"/>
                  <w:szCs w:val="24"/>
                </w:rPr>
                <m:t>Outcomes</m:t>
              </m:r>
              <m:ctrlPr>
                <w:rPr>
                  <w:rFonts w:hint="eastAsia" w:ascii="Cambria Math" w:hAnsi="Cambria Math" w:eastAsia="宋体" w:cs="宋体"/>
                  <w:sz w:val="24"/>
                  <w:szCs w:val="24"/>
                </w:rPr>
              </m:ctrlPr>
            </m:den>
          </m:f>
        </m:oMath>
      </m:oMathPara>
    </w:p>
    <w:p w14:paraId="0C7C6BD9">
      <w:pPr>
        <w:adjustRightInd w:val="0"/>
        <w:snapToGrid w:val="0"/>
        <w:spacing w:line="400" w:lineRule="exact"/>
        <w:ind w:firstLine="480"/>
        <w:rPr>
          <w:rFonts w:hint="eastAsia" w:hAnsi="Segoe UI" w:eastAsia="Segoe UI" w:cs="Segoe UI"/>
          <w:i w:val="0"/>
          <w:iCs w:val="0"/>
          <w:caps w:val="0"/>
          <w:spacing w:val="5"/>
          <w:sz w:val="14"/>
          <w:szCs w:val="14"/>
        </w:rPr>
      </w:pPr>
    </w:p>
    <w:p w14:paraId="1C923556">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这一公式的革命性意义在于：将医疗评价焦点从</w:t>
      </w:r>
      <w:r>
        <w:rPr>
          <w:rFonts w:hint="eastAsia" w:ascii="宋体" w:hAnsi="宋体" w:eastAsia="宋体" w:cs="宋体"/>
          <w:color w:val="auto"/>
          <w:lang w:eastAsia="zh-CN"/>
        </w:rPr>
        <w:t>“</w:t>
      </w:r>
      <w:r>
        <w:rPr>
          <w:rFonts w:hint="eastAsia" w:ascii="宋体" w:hAnsi="宋体" w:eastAsia="宋体" w:cs="宋体"/>
          <w:color w:val="auto"/>
        </w:rPr>
        <w:t>投入</w:t>
      </w:r>
      <w:r>
        <w:rPr>
          <w:rFonts w:hint="eastAsia" w:ascii="宋体" w:hAnsi="宋体" w:eastAsia="宋体" w:cs="宋体"/>
          <w:color w:val="auto"/>
          <w:lang w:eastAsia="zh-CN"/>
        </w:rPr>
        <w:t>”</w:t>
      </w:r>
      <w:r>
        <w:rPr>
          <w:rFonts w:hint="eastAsia" w:ascii="宋体" w:hAnsi="宋体" w:eastAsia="宋体" w:cs="宋体"/>
          <w:color w:val="auto"/>
        </w:rPr>
        <w:t>和</w:t>
      </w:r>
      <w:r>
        <w:rPr>
          <w:rFonts w:hint="eastAsia" w:ascii="宋体" w:hAnsi="宋体" w:eastAsia="宋体" w:cs="宋体"/>
          <w:color w:val="auto"/>
          <w:lang w:eastAsia="zh-CN"/>
        </w:rPr>
        <w:t>“</w:t>
      </w:r>
      <w:r>
        <w:rPr>
          <w:rFonts w:hint="eastAsia" w:ascii="宋体" w:hAnsi="宋体" w:eastAsia="宋体" w:cs="宋体"/>
          <w:color w:val="auto"/>
        </w:rPr>
        <w:t>过程</w:t>
      </w:r>
      <w:r>
        <w:rPr>
          <w:rFonts w:hint="eastAsia" w:ascii="宋体" w:hAnsi="宋体" w:eastAsia="宋体" w:cs="宋体"/>
          <w:color w:val="auto"/>
          <w:lang w:eastAsia="zh-CN"/>
        </w:rPr>
        <w:t>”</w:t>
      </w:r>
      <w:r>
        <w:rPr>
          <w:rFonts w:hint="eastAsia" w:ascii="宋体" w:hAnsi="宋体" w:eastAsia="宋体" w:cs="宋体"/>
          <w:color w:val="auto"/>
        </w:rPr>
        <w:t>转向</w:t>
      </w:r>
      <w:r>
        <w:rPr>
          <w:rFonts w:hint="eastAsia" w:ascii="宋体" w:hAnsi="宋体" w:eastAsia="宋体" w:cs="宋体"/>
          <w:color w:val="auto"/>
          <w:lang w:eastAsia="zh-CN"/>
        </w:rPr>
        <w:t>“</w:t>
      </w:r>
      <w:r>
        <w:rPr>
          <w:rFonts w:hint="eastAsia" w:ascii="宋体" w:hAnsi="宋体" w:eastAsia="宋体" w:cs="宋体"/>
          <w:color w:val="auto"/>
        </w:rPr>
        <w:t>结果</w:t>
      </w:r>
      <w:r>
        <w:rPr>
          <w:rFonts w:hint="eastAsia" w:ascii="宋体" w:hAnsi="宋体" w:eastAsia="宋体" w:cs="宋体"/>
          <w:color w:val="auto"/>
          <w:lang w:eastAsia="zh-CN"/>
        </w:rPr>
        <w:t>”</w:t>
      </w:r>
      <w:r>
        <w:rPr>
          <w:rFonts w:hint="eastAsia" w:ascii="宋体" w:hAnsi="宋体" w:eastAsia="宋体" w:cs="宋体"/>
          <w:color w:val="auto"/>
        </w:rPr>
        <w:t>。Porter进一步提出价值医疗的六大实施原则</w:t>
      </w:r>
      <w:r>
        <w:rPr>
          <w:rStyle w:val="51"/>
          <w:rFonts w:hint="eastAsia"/>
        </w:rPr>
        <w:t>[10]</w:t>
      </w:r>
      <w:r>
        <w:rPr>
          <w:rFonts w:ascii="宋体" w:hAnsi="宋体" w:eastAsia="宋体" w:cs="宋体"/>
          <w:sz w:val="24"/>
          <w:szCs w:val="24"/>
        </w:rPr>
        <w:t>：</w:t>
      </w:r>
      <w:r>
        <w:rPr>
          <w:rFonts w:hint="eastAsia" w:ascii="宋体" w:hAnsi="宋体" w:eastAsia="宋体" w:cs="宋体"/>
          <w:color w:val="auto"/>
        </w:rPr>
        <w:t>以患者为中心组织整合实践单元、测量每位患者的结局和成本、向打包支付转型、整合医疗服务递送系统、跨地域拓展优质服务、建设支撑信息技术平台。</w:t>
      </w:r>
    </w:p>
    <w:p w14:paraId="30FF616A">
      <w:pPr>
        <w:pStyle w:val="4"/>
        <w:bidi w:val="0"/>
        <w:rPr>
          <w:rFonts w:hint="eastAsia"/>
        </w:rPr>
      </w:pPr>
      <w:bookmarkStart w:id="37" w:name="_Toc4882"/>
      <w:r>
        <w:rPr>
          <w:rFonts w:hint="eastAsia"/>
        </w:rPr>
        <w:t>价值医疗与DRG/DIP改革的内在关联</w:t>
      </w:r>
      <w:bookmarkEnd w:id="37"/>
    </w:p>
    <w:p w14:paraId="60C4D43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DRG/DIP支付方式改革与价值医疗理论高度契合，二者的核心逻辑一致：通过支付机制改变，引导医疗机构从</w:t>
      </w:r>
      <w:r>
        <w:rPr>
          <w:rFonts w:hint="eastAsia" w:ascii="宋体" w:hAnsi="宋体" w:eastAsia="宋体" w:cs="宋体"/>
          <w:color w:val="auto"/>
          <w:lang w:eastAsia="zh-CN"/>
        </w:rPr>
        <w:t>“</w:t>
      </w:r>
      <w:r>
        <w:rPr>
          <w:rFonts w:hint="eastAsia" w:ascii="宋体" w:hAnsi="宋体" w:eastAsia="宋体" w:cs="宋体"/>
          <w:color w:val="auto"/>
        </w:rPr>
        <w:t>数量竞争</w:t>
      </w:r>
      <w:r>
        <w:rPr>
          <w:rFonts w:hint="eastAsia" w:ascii="宋体" w:hAnsi="宋体" w:eastAsia="宋体" w:cs="宋体"/>
          <w:color w:val="auto"/>
          <w:lang w:eastAsia="zh-CN"/>
        </w:rPr>
        <w:t>”</w:t>
      </w:r>
      <w:r>
        <w:rPr>
          <w:rFonts w:hint="eastAsia" w:ascii="宋体" w:hAnsi="宋体" w:eastAsia="宋体" w:cs="宋体"/>
          <w:color w:val="auto"/>
        </w:rPr>
        <w:t>转向</w:t>
      </w:r>
      <w:r>
        <w:rPr>
          <w:rFonts w:hint="eastAsia" w:ascii="宋体" w:hAnsi="宋体" w:eastAsia="宋体" w:cs="宋体"/>
          <w:color w:val="auto"/>
          <w:lang w:eastAsia="zh-CN"/>
        </w:rPr>
        <w:t>“</w:t>
      </w:r>
      <w:r>
        <w:rPr>
          <w:rFonts w:hint="eastAsia" w:ascii="宋体" w:hAnsi="宋体" w:eastAsia="宋体" w:cs="宋体"/>
          <w:color w:val="auto"/>
        </w:rPr>
        <w:t>价值竞争</w:t>
      </w:r>
      <w:r>
        <w:rPr>
          <w:rFonts w:hint="eastAsia" w:ascii="宋体" w:hAnsi="宋体" w:eastAsia="宋体" w:cs="宋体"/>
          <w:color w:val="auto"/>
          <w:lang w:eastAsia="zh-CN"/>
        </w:rPr>
        <w:t>”</w:t>
      </w:r>
      <w:r>
        <w:rPr>
          <w:rFonts w:hint="eastAsia" w:ascii="宋体" w:hAnsi="宋体" w:eastAsia="宋体" w:cs="宋体"/>
          <w:color w:val="auto"/>
        </w:rPr>
        <w:t>。</w:t>
      </w:r>
    </w:p>
    <w:p w14:paraId="42C6166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在FFS时代，医院收入与服务量正相关，激励指向</w:t>
      </w:r>
      <w:r>
        <w:rPr>
          <w:rFonts w:hint="eastAsia" w:ascii="宋体" w:hAnsi="宋体" w:eastAsia="宋体" w:cs="宋体"/>
          <w:color w:val="auto"/>
          <w:lang w:eastAsia="zh-CN"/>
        </w:rPr>
        <w:t>“</w:t>
      </w:r>
      <w:r>
        <w:rPr>
          <w:rFonts w:hint="eastAsia" w:ascii="宋体" w:hAnsi="宋体" w:eastAsia="宋体" w:cs="宋体"/>
          <w:color w:val="auto"/>
        </w:rPr>
        <w:t>多做多得</w:t>
      </w:r>
      <w:r>
        <w:rPr>
          <w:rFonts w:hint="eastAsia" w:ascii="宋体" w:hAnsi="宋体" w:eastAsia="宋体" w:cs="宋体"/>
          <w:color w:val="auto"/>
          <w:lang w:eastAsia="zh-CN"/>
        </w:rPr>
        <w:t>”</w:t>
      </w:r>
      <w:r>
        <w:rPr>
          <w:rFonts w:hint="eastAsia" w:ascii="宋体" w:hAnsi="宋体" w:eastAsia="宋体" w:cs="宋体"/>
          <w:color w:val="auto"/>
        </w:rPr>
        <w:t>；在DRG/DIP时代，医院收入与病种打包价格挂钩，激励指向</w:t>
      </w:r>
      <w:r>
        <w:rPr>
          <w:rFonts w:hint="eastAsia" w:ascii="宋体" w:hAnsi="宋体" w:eastAsia="宋体" w:cs="宋体"/>
          <w:color w:val="auto"/>
          <w:lang w:eastAsia="zh-CN"/>
        </w:rPr>
        <w:t>“</w:t>
      </w:r>
      <w:r>
        <w:rPr>
          <w:rFonts w:hint="eastAsia" w:ascii="宋体" w:hAnsi="宋体" w:eastAsia="宋体" w:cs="宋体"/>
          <w:color w:val="auto"/>
        </w:rPr>
        <w:t>用最低成本实现最好结局</w:t>
      </w:r>
      <w:r>
        <w:rPr>
          <w:rFonts w:hint="eastAsia" w:ascii="宋体" w:hAnsi="宋体" w:eastAsia="宋体" w:cs="宋体"/>
          <w:color w:val="auto"/>
          <w:lang w:eastAsia="zh-CN"/>
        </w:rPr>
        <w:t>”</w:t>
      </w:r>
      <w:r>
        <w:rPr>
          <w:rFonts w:hint="eastAsia" w:ascii="宋体" w:hAnsi="宋体" w:eastAsia="宋体" w:cs="宋体"/>
          <w:color w:val="auto"/>
        </w:rPr>
        <w:t>。这一转变带来三重影响：</w:t>
      </w:r>
    </w:p>
    <w:p w14:paraId="77CF3EA8">
      <w:pPr>
        <w:numPr>
          <w:ilvl w:val="0"/>
          <w:numId w:val="4"/>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收入端：从</w:t>
      </w:r>
      <w:r>
        <w:rPr>
          <w:rFonts w:hint="eastAsia" w:ascii="宋体" w:hAnsi="宋体" w:eastAsia="宋体" w:cs="宋体"/>
          <w:color w:val="auto"/>
          <w:lang w:eastAsia="zh-CN"/>
        </w:rPr>
        <w:t>“</w:t>
      </w:r>
      <w:r>
        <w:rPr>
          <w:rFonts w:hint="eastAsia" w:ascii="宋体" w:hAnsi="宋体" w:eastAsia="宋体" w:cs="宋体"/>
          <w:color w:val="auto"/>
        </w:rPr>
        <w:t>边际收入递增</w:t>
      </w:r>
      <w:r>
        <w:rPr>
          <w:rFonts w:hint="eastAsia" w:ascii="宋体" w:hAnsi="宋体" w:eastAsia="宋体" w:cs="宋体"/>
          <w:color w:val="auto"/>
          <w:lang w:eastAsia="zh-CN"/>
        </w:rPr>
        <w:t>”</w:t>
      </w:r>
      <w:r>
        <w:rPr>
          <w:rFonts w:hint="eastAsia" w:ascii="宋体" w:hAnsi="宋体" w:eastAsia="宋体" w:cs="宋体"/>
          <w:color w:val="auto"/>
        </w:rPr>
        <w:t>变为</w:t>
      </w:r>
      <w:r>
        <w:rPr>
          <w:rFonts w:hint="eastAsia" w:ascii="宋体" w:hAnsi="宋体" w:eastAsia="宋体" w:cs="宋体"/>
          <w:color w:val="auto"/>
          <w:lang w:eastAsia="zh-CN"/>
        </w:rPr>
        <w:t>“</w:t>
      </w:r>
      <w:r>
        <w:rPr>
          <w:rFonts w:hint="eastAsia" w:ascii="宋体" w:hAnsi="宋体" w:eastAsia="宋体" w:cs="宋体"/>
          <w:color w:val="auto"/>
        </w:rPr>
        <w:t>边际收入封顶</w:t>
      </w:r>
      <w:r>
        <w:rPr>
          <w:rFonts w:hint="eastAsia" w:ascii="宋体" w:hAnsi="宋体" w:eastAsia="宋体" w:cs="宋体"/>
          <w:color w:val="auto"/>
          <w:lang w:eastAsia="zh-CN"/>
        </w:rPr>
        <w:t>”</w:t>
      </w:r>
    </w:p>
    <w:p w14:paraId="29C76B2D">
      <w:pPr>
        <w:numPr>
          <w:ilvl w:val="0"/>
          <w:numId w:val="4"/>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成本端：从</w:t>
      </w:r>
      <w:r>
        <w:rPr>
          <w:rFonts w:hint="eastAsia" w:ascii="宋体" w:hAnsi="宋体" w:eastAsia="宋体" w:cs="宋体"/>
          <w:color w:val="auto"/>
          <w:lang w:eastAsia="zh-CN"/>
        </w:rPr>
        <w:t>“</w:t>
      </w:r>
      <w:r>
        <w:rPr>
          <w:rFonts w:hint="eastAsia" w:ascii="宋体" w:hAnsi="宋体" w:eastAsia="宋体" w:cs="宋体"/>
          <w:color w:val="auto"/>
        </w:rPr>
        <w:t>成本可转嫁</w:t>
      </w:r>
      <w:r>
        <w:rPr>
          <w:rFonts w:hint="eastAsia" w:ascii="宋体" w:hAnsi="宋体" w:eastAsia="宋体" w:cs="宋体"/>
          <w:color w:val="auto"/>
          <w:lang w:eastAsia="zh-CN"/>
        </w:rPr>
        <w:t>”</w:t>
      </w:r>
      <w:r>
        <w:rPr>
          <w:rFonts w:hint="eastAsia" w:ascii="宋体" w:hAnsi="宋体" w:eastAsia="宋体" w:cs="宋体"/>
          <w:color w:val="auto"/>
        </w:rPr>
        <w:t>变为</w:t>
      </w:r>
      <w:r>
        <w:rPr>
          <w:rFonts w:hint="eastAsia" w:ascii="宋体" w:hAnsi="宋体" w:eastAsia="宋体" w:cs="宋体"/>
          <w:color w:val="auto"/>
          <w:lang w:eastAsia="zh-CN"/>
        </w:rPr>
        <w:t>“</w:t>
      </w:r>
      <w:r>
        <w:rPr>
          <w:rFonts w:hint="eastAsia" w:ascii="宋体" w:hAnsi="宋体" w:eastAsia="宋体" w:cs="宋体"/>
          <w:color w:val="auto"/>
        </w:rPr>
        <w:t>成本内部化</w:t>
      </w:r>
      <w:r>
        <w:rPr>
          <w:rFonts w:hint="eastAsia" w:ascii="宋体" w:hAnsi="宋体" w:eastAsia="宋体" w:cs="宋体"/>
          <w:color w:val="auto"/>
          <w:lang w:eastAsia="zh-CN"/>
        </w:rPr>
        <w:t>”</w:t>
      </w:r>
    </w:p>
    <w:p w14:paraId="5428B9E1">
      <w:pPr>
        <w:numPr>
          <w:ilvl w:val="0"/>
          <w:numId w:val="4"/>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质量端：从</w:t>
      </w:r>
      <w:r>
        <w:rPr>
          <w:rFonts w:hint="eastAsia" w:ascii="宋体" w:hAnsi="宋体" w:eastAsia="宋体" w:cs="宋体"/>
          <w:color w:val="auto"/>
          <w:lang w:eastAsia="zh-CN"/>
        </w:rPr>
        <w:t>“</w:t>
      </w:r>
      <w:r>
        <w:rPr>
          <w:rFonts w:hint="eastAsia" w:ascii="宋体" w:hAnsi="宋体" w:eastAsia="宋体" w:cs="宋体"/>
          <w:color w:val="auto"/>
        </w:rPr>
        <w:t>质量与收入脱钩</w:t>
      </w:r>
      <w:r>
        <w:rPr>
          <w:rFonts w:hint="eastAsia" w:ascii="宋体" w:hAnsi="宋体" w:eastAsia="宋体" w:cs="宋体"/>
          <w:color w:val="auto"/>
          <w:lang w:eastAsia="zh-CN"/>
        </w:rPr>
        <w:t>”</w:t>
      </w:r>
      <w:r>
        <w:rPr>
          <w:rFonts w:hint="eastAsia" w:ascii="宋体" w:hAnsi="宋体" w:eastAsia="宋体" w:cs="宋体"/>
          <w:color w:val="auto"/>
        </w:rPr>
        <w:t>变为</w:t>
      </w:r>
      <w:r>
        <w:rPr>
          <w:rFonts w:hint="eastAsia" w:ascii="宋体" w:hAnsi="宋体" w:eastAsia="宋体" w:cs="宋体"/>
          <w:color w:val="auto"/>
          <w:lang w:eastAsia="zh-CN"/>
        </w:rPr>
        <w:t>“</w:t>
      </w:r>
      <w:r>
        <w:rPr>
          <w:rFonts w:hint="eastAsia" w:ascii="宋体" w:hAnsi="宋体" w:eastAsia="宋体" w:cs="宋体"/>
          <w:color w:val="auto"/>
        </w:rPr>
        <w:t>质量影响收入</w:t>
      </w:r>
      <w:r>
        <w:rPr>
          <w:rFonts w:hint="eastAsia" w:ascii="宋体" w:hAnsi="宋体" w:eastAsia="宋体" w:cs="宋体"/>
          <w:color w:val="auto"/>
          <w:lang w:eastAsia="zh-CN"/>
        </w:rPr>
        <w:t>”</w:t>
      </w:r>
    </w:p>
    <w:p w14:paraId="563B673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这一理论框架为理解本研究中2024年双重干预——外部医保收紧与内部管理转型——的作用机制提供了核心分析基础。DRG/DIP改革本质上是将价值医疗理念制度化：通过支付约束倒逼医院关注</w:t>
      </w:r>
      <w:r>
        <w:rPr>
          <w:rFonts w:hint="eastAsia" w:ascii="宋体" w:hAnsi="宋体" w:cs="宋体"/>
          <w:color w:val="auto"/>
          <w:lang w:eastAsia="zh-CN"/>
        </w:rPr>
        <w:t>“</w:t>
      </w:r>
      <w:r>
        <w:rPr>
          <w:rFonts w:hint="eastAsia" w:ascii="宋体" w:hAnsi="宋体" w:eastAsia="宋体" w:cs="宋体"/>
          <w:color w:val="auto"/>
        </w:rPr>
        <w:t>结局/成本比</w:t>
      </w:r>
      <w:r>
        <w:rPr>
          <w:rFonts w:hint="eastAsia" w:ascii="宋体" w:hAnsi="宋体" w:cs="宋体"/>
          <w:color w:val="auto"/>
          <w:lang w:eastAsia="zh-CN"/>
        </w:rPr>
        <w:t>”</w:t>
      </w:r>
      <w:r>
        <w:rPr>
          <w:rFonts w:hint="eastAsia" w:ascii="宋体" w:hAnsi="宋体" w:eastAsia="宋体" w:cs="宋体"/>
          <w:color w:val="auto"/>
        </w:rPr>
        <w:t>，而非单纯追求收入规模。</w:t>
      </w:r>
    </w:p>
    <w:p w14:paraId="077863E7">
      <w:pPr>
        <w:pStyle w:val="4"/>
        <w:bidi w:val="0"/>
        <w:ind w:left="720" w:hanging="720"/>
        <w:rPr>
          <w:rFonts w:hint="eastAsia" w:cs="Times New Roman"/>
          <w:b/>
          <w:bCs/>
        </w:rPr>
      </w:pPr>
      <w:r>
        <w:rPr>
          <w:rFonts w:hint="eastAsia" w:cs="Times New Roman"/>
          <w:b/>
          <w:bCs/>
          <w:lang w:eastAsia="zh-CN"/>
        </w:rPr>
        <w:t xml:space="preserve"> </w:t>
      </w:r>
      <w:bookmarkStart w:id="38" w:name="_Toc9518"/>
      <w:r>
        <w:rPr>
          <w:rFonts w:hint="eastAsia" w:cs="Times New Roman"/>
          <w:b/>
          <w:bCs/>
          <w:lang w:eastAsia="zh-CN"/>
        </w:rPr>
        <w:t>“</w:t>
      </w:r>
      <w:r>
        <w:rPr>
          <w:rFonts w:hint="eastAsia" w:cs="Times New Roman"/>
          <w:b/>
          <w:bCs/>
        </w:rPr>
        <w:t>CMI陷阱</w:t>
      </w:r>
      <w:r>
        <w:rPr>
          <w:rFonts w:hint="eastAsia" w:cs="Times New Roman"/>
          <w:b/>
          <w:bCs/>
          <w:lang w:eastAsia="zh-CN"/>
        </w:rPr>
        <w:t>”</w:t>
      </w:r>
      <w:r>
        <w:rPr>
          <w:rFonts w:hint="eastAsia" w:cs="Times New Roman"/>
          <w:b/>
          <w:bCs/>
        </w:rPr>
        <w:t>的理论解释</w:t>
      </w:r>
      <w:bookmarkEnd w:id="38"/>
    </w:p>
    <w:p w14:paraId="7ACC506D">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基于价值医疗理论，本研究对</w:t>
      </w:r>
      <w:r>
        <w:rPr>
          <w:rFonts w:hint="eastAsia" w:ascii="宋体" w:hAnsi="宋体" w:eastAsia="宋体" w:cs="宋体"/>
          <w:color w:val="auto"/>
          <w:lang w:eastAsia="zh-CN"/>
        </w:rPr>
        <w:t>“</w:t>
      </w:r>
      <w:r>
        <w:rPr>
          <w:rFonts w:hint="eastAsia" w:ascii="宋体" w:hAnsi="宋体" w:eastAsia="宋体" w:cs="宋体"/>
          <w:color w:val="auto"/>
        </w:rPr>
        <w:t>CMI陷阱</w:t>
      </w:r>
      <w:r>
        <w:rPr>
          <w:rFonts w:hint="eastAsia" w:ascii="宋体" w:hAnsi="宋体" w:eastAsia="宋体" w:cs="宋体"/>
          <w:color w:val="auto"/>
          <w:lang w:eastAsia="zh-CN"/>
        </w:rPr>
        <w:t>”</w:t>
      </w:r>
      <w:r>
        <w:rPr>
          <w:rFonts w:hint="eastAsia" w:ascii="宋体" w:hAnsi="宋体" w:eastAsia="宋体" w:cs="宋体"/>
          <w:color w:val="auto"/>
        </w:rPr>
        <w:t>提出理论解释：</w:t>
      </w:r>
    </w:p>
    <w:p w14:paraId="0AFBF062">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CMI（Case Mix Index）衡量的是病例技术复杂度，传统观点认为CMI越高意味着技术能力越强。然而，高CMI仅代表公式分子端（技术难度）的提升，并不自动意味着价值（结局/成本比）的提升。</w:t>
      </w:r>
    </w:p>
    <w:p w14:paraId="23F3710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当医院盲目追求CMI而忽视成本控制时，将陷入恶性循环：收治高难度病例→高值耗材消耗指数级上升→分值增长无法覆盖成本增长→边际贡献为负→财务恶化。</w:t>
      </w:r>
    </w:p>
    <w:p w14:paraId="4ABDCFE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然而，本研究进一步提出，</w:t>
      </w:r>
      <w:r>
        <w:rPr>
          <w:rFonts w:hint="eastAsia" w:ascii="宋体" w:hAnsi="宋体" w:cs="宋体"/>
          <w:color w:val="auto"/>
          <w:lang w:eastAsia="zh-CN"/>
        </w:rPr>
        <w:t>“</w:t>
      </w:r>
      <w:r>
        <w:rPr>
          <w:rFonts w:hint="eastAsia" w:ascii="宋体" w:hAnsi="宋体" w:eastAsia="宋体" w:cs="宋体"/>
          <w:color w:val="auto"/>
        </w:rPr>
        <w:t>CMI陷阱</w:t>
      </w:r>
      <w:r>
        <w:rPr>
          <w:rFonts w:hint="eastAsia" w:ascii="宋体" w:hAnsi="宋体" w:cs="宋体"/>
          <w:color w:val="auto"/>
          <w:lang w:eastAsia="zh-CN"/>
        </w:rPr>
        <w:t>”</w:t>
      </w:r>
      <w:r>
        <w:rPr>
          <w:rFonts w:hint="eastAsia" w:ascii="宋体" w:hAnsi="宋体" w:eastAsia="宋体" w:cs="宋体"/>
          <w:color w:val="auto"/>
        </w:rPr>
        <w:t>并非永久性结构困境，而具有阶段性特征和动态可突破性。其数理本质在于：高难度病例的成本边际增长（约15%—25%）系统性超过DRG分值溢价（约8%—10%），但这一差距可以通过三条路径收窄乃至消除：第一，通过集中采购降低高值耗材单价（降幅可达25%—35%），直接压缩成本边际增长幅度；第二，通过临床路径标准化减少诊疗行为差异，缩短平均住院日，降低单病例资源消耗；第三，通过DRG编码精准化确保高难度病例获得合理分值，提升收入端的</w:t>
      </w:r>
      <w:r>
        <w:rPr>
          <w:rFonts w:hint="eastAsia" w:ascii="宋体" w:hAnsi="宋体" w:cs="宋体"/>
          <w:color w:val="auto"/>
          <w:lang w:eastAsia="zh-CN"/>
        </w:rPr>
        <w:t>“</w:t>
      </w:r>
      <w:r>
        <w:rPr>
          <w:rFonts w:hint="eastAsia" w:ascii="宋体" w:hAnsi="宋体" w:eastAsia="宋体" w:cs="宋体"/>
          <w:color w:val="auto"/>
        </w:rPr>
        <w:t>含金量</w:t>
      </w:r>
      <w:r>
        <w:rPr>
          <w:rFonts w:hint="eastAsia" w:ascii="宋体" w:hAnsi="宋体" w:cs="宋体"/>
          <w:color w:val="auto"/>
          <w:lang w:eastAsia="zh-CN"/>
        </w:rPr>
        <w:t>”</w:t>
      </w:r>
      <w:r>
        <w:rPr>
          <w:rFonts w:hint="eastAsia" w:ascii="宋体" w:hAnsi="宋体" w:eastAsia="宋体" w:cs="宋体"/>
          <w:color w:val="auto"/>
        </w:rPr>
        <w:t>。换言之，高CMI医院可以通过管理优化实现</w:t>
      </w:r>
      <w:r>
        <w:rPr>
          <w:rFonts w:hint="eastAsia" w:ascii="宋体" w:hAnsi="宋体" w:cs="宋体"/>
          <w:color w:val="auto"/>
          <w:lang w:eastAsia="zh-CN"/>
        </w:rPr>
        <w:t>“</w:t>
      </w:r>
      <w:r>
        <w:rPr>
          <w:rFonts w:hint="eastAsia" w:ascii="宋体" w:hAnsi="宋体" w:eastAsia="宋体" w:cs="宋体"/>
          <w:color w:val="auto"/>
        </w:rPr>
        <w:t>高技术难度与财务可持续</w:t>
      </w:r>
      <w:r>
        <w:rPr>
          <w:rFonts w:hint="eastAsia" w:ascii="宋体" w:hAnsi="宋体" w:cs="宋体"/>
          <w:color w:val="auto"/>
          <w:lang w:eastAsia="zh-CN"/>
        </w:rPr>
        <w:t>”</w:t>
      </w:r>
      <w:r>
        <w:rPr>
          <w:rFonts w:hint="eastAsia" w:ascii="宋体" w:hAnsi="宋体" w:eastAsia="宋体" w:cs="宋体"/>
          <w:color w:val="auto"/>
        </w:rPr>
        <w:t>的统一——这一命题将在第四章以H3医院案例进行实证验证。</w:t>
      </w:r>
    </w:p>
    <w:p w14:paraId="35A763A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核心命题由此修正为：在DRG/DIP环境下，医院竞争力不在于</w:t>
      </w:r>
      <w:r>
        <w:rPr>
          <w:rFonts w:hint="eastAsia" w:ascii="宋体" w:hAnsi="宋体" w:cs="宋体"/>
          <w:color w:val="auto"/>
          <w:lang w:eastAsia="zh-CN"/>
        </w:rPr>
        <w:t>“</w:t>
      </w:r>
      <w:r>
        <w:rPr>
          <w:rFonts w:hint="eastAsia" w:ascii="宋体" w:hAnsi="宋体" w:eastAsia="宋体" w:cs="宋体"/>
          <w:color w:val="auto"/>
        </w:rPr>
        <w:t>能做什么手术</w:t>
      </w:r>
      <w:r>
        <w:rPr>
          <w:rFonts w:hint="eastAsia" w:ascii="宋体" w:hAnsi="宋体" w:cs="宋体"/>
          <w:color w:val="auto"/>
          <w:lang w:eastAsia="zh-CN"/>
        </w:rPr>
        <w:t>”</w:t>
      </w:r>
      <w:r>
        <w:rPr>
          <w:rFonts w:hint="eastAsia" w:ascii="宋体" w:hAnsi="宋体" w:eastAsia="宋体" w:cs="宋体"/>
          <w:color w:val="auto"/>
        </w:rPr>
        <w:t>，而在于</w:t>
      </w:r>
      <w:r>
        <w:rPr>
          <w:rFonts w:hint="eastAsia" w:ascii="宋体" w:hAnsi="宋体" w:cs="宋体"/>
          <w:color w:val="auto"/>
          <w:lang w:eastAsia="zh-CN"/>
        </w:rPr>
        <w:t>“</w:t>
      </w:r>
      <w:r>
        <w:rPr>
          <w:rFonts w:hint="eastAsia" w:ascii="宋体" w:hAnsi="宋体" w:eastAsia="宋体" w:cs="宋体"/>
          <w:color w:val="auto"/>
        </w:rPr>
        <w:t>能以什么成本做什么手术</w:t>
      </w:r>
      <w:r>
        <w:rPr>
          <w:rFonts w:hint="eastAsia" w:ascii="宋体" w:hAnsi="宋体" w:cs="宋体"/>
          <w:color w:val="auto"/>
          <w:lang w:eastAsia="zh-CN"/>
        </w:rPr>
        <w:t>”</w:t>
      </w:r>
      <w:r>
        <w:rPr>
          <w:rFonts w:hint="eastAsia" w:ascii="宋体" w:hAnsi="宋体" w:eastAsia="宋体" w:cs="宋体"/>
          <w:color w:val="auto"/>
        </w:rPr>
        <w:t>；而</w:t>
      </w:r>
      <w:r>
        <w:rPr>
          <w:rFonts w:hint="eastAsia" w:ascii="宋体" w:hAnsi="宋体" w:cs="宋体"/>
          <w:color w:val="auto"/>
          <w:lang w:eastAsia="zh-CN"/>
        </w:rPr>
        <w:t>“</w:t>
      </w:r>
      <w:r>
        <w:rPr>
          <w:rFonts w:hint="eastAsia" w:ascii="宋体" w:hAnsi="宋体" w:eastAsia="宋体" w:cs="宋体"/>
          <w:color w:val="auto"/>
        </w:rPr>
        <w:t>成本</w:t>
      </w:r>
      <w:r>
        <w:rPr>
          <w:rFonts w:hint="eastAsia" w:ascii="宋体" w:hAnsi="宋体" w:cs="宋体"/>
          <w:color w:val="auto"/>
          <w:lang w:eastAsia="zh-CN"/>
        </w:rPr>
        <w:t>”</w:t>
      </w:r>
      <w:r>
        <w:rPr>
          <w:rFonts w:hint="eastAsia" w:ascii="宋体" w:hAnsi="宋体" w:eastAsia="宋体" w:cs="宋体"/>
          <w:color w:val="auto"/>
        </w:rPr>
        <w:t>并非刚性不可压缩，管理能力是决定成本弹性的关键变量。</w:t>
      </w:r>
    </w:p>
    <w:p w14:paraId="2BFA204D">
      <w:pPr>
        <w:pStyle w:val="3"/>
        <w:bidi w:val="0"/>
        <w:rPr>
          <w:rFonts w:hint="eastAsia"/>
        </w:rPr>
      </w:pPr>
      <w:bookmarkStart w:id="39" w:name="_Toc18547"/>
      <w:r>
        <w:rPr>
          <w:rFonts w:hint="eastAsia"/>
        </w:rPr>
        <w:t>激励相容理论：机制设计的核心原则</w:t>
      </w:r>
      <w:bookmarkEnd w:id="39"/>
    </w:p>
    <w:p w14:paraId="3D707663">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针对2.2节所述的委托代理问题——即如何降低集团</w:t>
      </w:r>
      <w:r>
        <w:rPr>
          <w:rFonts w:hint="eastAsia" w:ascii="宋体" w:hAnsi="宋体" w:cs="宋体"/>
          <w:color w:val="auto"/>
          <w:lang w:eastAsia="zh-CN"/>
        </w:rPr>
        <w:t>－</w:t>
      </w:r>
      <w:r>
        <w:rPr>
          <w:rFonts w:hint="eastAsia" w:ascii="宋体" w:hAnsi="宋体" w:eastAsia="宋体" w:cs="宋体"/>
          <w:color w:val="auto"/>
        </w:rPr>
        <w:t>科室间的代理成本、消解信息不对称导致的逆向选择——机制设计理论提供了系统性的解决框架。其中，激励相容原理（Incentive Compatibility）作为核心工具，旨在通过制度设计使代理人的自利行为与委托人目标趋于一致</w:t>
      </w:r>
      <w:r>
        <w:rPr>
          <w:rStyle w:val="51"/>
          <w:rFonts w:hint="eastAsia"/>
        </w:rPr>
        <w:t>[7]</w:t>
      </w:r>
      <w:r>
        <w:rPr>
          <w:rFonts w:hint="eastAsia" w:ascii="宋体" w:hAnsi="宋体" w:eastAsia="宋体" w:cs="宋体"/>
          <w:sz w:val="24"/>
          <w:szCs w:val="24"/>
        </w:rPr>
        <w:t xml:space="preserve"> </w:t>
      </w:r>
      <w:r>
        <w:rPr>
          <w:rFonts w:hint="eastAsia" w:ascii="宋体" w:hAnsi="宋体" w:eastAsia="宋体" w:cs="宋体"/>
          <w:color w:val="auto"/>
        </w:rPr>
        <w:t>。本节将这一理论应用于医疗绩效管理，构建从</w:t>
      </w:r>
      <w:r>
        <w:rPr>
          <w:rFonts w:hint="eastAsia" w:ascii="宋体" w:hAnsi="宋体" w:cs="宋体"/>
          <w:color w:val="auto"/>
          <w:lang w:eastAsia="zh-CN"/>
        </w:rPr>
        <w:t>“</w:t>
      </w:r>
      <w:r>
        <w:rPr>
          <w:rFonts w:hint="eastAsia" w:ascii="宋体" w:hAnsi="宋体" w:eastAsia="宋体" w:cs="宋体"/>
          <w:color w:val="auto"/>
        </w:rPr>
        <w:t>委托代理困境</w:t>
      </w:r>
      <w:r>
        <w:rPr>
          <w:rFonts w:hint="eastAsia" w:ascii="宋体" w:hAnsi="宋体" w:cs="宋体"/>
          <w:color w:val="auto"/>
          <w:lang w:eastAsia="zh-CN"/>
        </w:rPr>
        <w:t>”</w:t>
      </w:r>
      <w:r>
        <w:rPr>
          <w:rFonts w:hint="eastAsia" w:ascii="宋体" w:hAnsi="宋体" w:eastAsia="宋体" w:cs="宋体"/>
          <w:color w:val="auto"/>
        </w:rPr>
        <w:t>到</w:t>
      </w:r>
      <w:r>
        <w:rPr>
          <w:rFonts w:hint="eastAsia" w:ascii="宋体" w:hAnsi="宋体" w:cs="宋体"/>
          <w:color w:val="auto"/>
          <w:lang w:eastAsia="zh-CN"/>
        </w:rPr>
        <w:t>“</w:t>
      </w:r>
      <w:r>
        <w:rPr>
          <w:rFonts w:hint="eastAsia" w:ascii="宋体" w:hAnsi="宋体" w:eastAsia="宋体" w:cs="宋体"/>
          <w:color w:val="auto"/>
        </w:rPr>
        <w:t>激励相容治理</w:t>
      </w:r>
      <w:r>
        <w:rPr>
          <w:rFonts w:hint="eastAsia" w:ascii="宋体" w:hAnsi="宋体" w:cs="宋体"/>
          <w:color w:val="auto"/>
          <w:lang w:eastAsia="zh-CN"/>
        </w:rPr>
        <w:t>”</w:t>
      </w:r>
      <w:r>
        <w:rPr>
          <w:rFonts w:hint="eastAsia" w:ascii="宋体" w:hAnsi="宋体" w:eastAsia="宋体" w:cs="宋体"/>
          <w:color w:val="auto"/>
        </w:rPr>
        <w:t>的转化路径。</w:t>
      </w:r>
    </w:p>
    <w:p w14:paraId="183001E5">
      <w:pPr>
        <w:pStyle w:val="4"/>
        <w:bidi w:val="0"/>
        <w:rPr>
          <w:rFonts w:hint="eastAsia"/>
        </w:rPr>
      </w:pPr>
      <w:bookmarkStart w:id="40" w:name="_Toc27523"/>
      <w:r>
        <w:rPr>
          <w:rFonts w:hint="eastAsia"/>
        </w:rPr>
        <w:t>Hurwicz激励相容原理</w:t>
      </w:r>
      <w:bookmarkEnd w:id="40"/>
    </w:p>
    <w:p w14:paraId="031776C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激励相容（Incentive Compatibility）概念由2007年诺贝尔经济学奖得主Hurwicz提出。其核心思想是：在信息不对称环境下，机制设计应使参与者的自利行为与整体目标一致。</w:t>
      </w:r>
    </w:p>
    <w:p w14:paraId="7F0C9843">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在医疗服务领域，信息不对称无处不在：医生</w:t>
      </w:r>
      <w:r>
        <w:rPr>
          <w:rFonts w:hint="eastAsia" w:ascii="宋体" w:hAnsi="宋体" w:cs="宋体"/>
          <w:color w:val="auto"/>
          <w:lang w:eastAsia="zh-CN"/>
        </w:rPr>
        <w:t>—</w:t>
      </w:r>
      <w:r>
        <w:rPr>
          <w:rFonts w:hint="eastAsia" w:ascii="宋体" w:hAnsi="宋体" w:eastAsia="宋体" w:cs="宋体"/>
          <w:color w:val="auto"/>
        </w:rPr>
        <w:t>患者（专业知识差）、医院</w:t>
      </w:r>
      <w:r>
        <w:rPr>
          <w:rFonts w:hint="eastAsia" w:ascii="宋体" w:hAnsi="宋体" w:cs="宋体"/>
          <w:color w:val="auto"/>
          <w:lang w:eastAsia="zh-CN"/>
        </w:rPr>
        <w:t>—</w:t>
      </w:r>
      <w:r>
        <w:rPr>
          <w:rFonts w:hint="eastAsia" w:ascii="宋体" w:hAnsi="宋体" w:eastAsia="宋体" w:cs="宋体"/>
          <w:color w:val="auto"/>
        </w:rPr>
        <w:t>医保（诊疗过程不可观测）、医院</w:t>
      </w:r>
      <w:r>
        <w:rPr>
          <w:rFonts w:hint="eastAsia" w:ascii="宋体" w:hAnsi="宋体" w:cs="宋体"/>
          <w:color w:val="auto"/>
          <w:lang w:eastAsia="zh-CN"/>
        </w:rPr>
        <w:t>—</w:t>
      </w:r>
      <w:r>
        <w:rPr>
          <w:rFonts w:hint="eastAsia" w:ascii="宋体" w:hAnsi="宋体" w:eastAsia="宋体" w:cs="宋体"/>
          <w:color w:val="auto"/>
        </w:rPr>
        <w:t>集团（临床实际与财务数据的信息差）。传统绩效考核往往忽视激励相容原则：</w:t>
      </w:r>
    </w:p>
    <w:p w14:paraId="2C0E08D5">
      <w:pPr>
        <w:numPr>
          <w:ilvl w:val="0"/>
          <w:numId w:val="5"/>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按收入提成→激励过度医疗</w:t>
      </w:r>
    </w:p>
    <w:p w14:paraId="1F52BD59">
      <w:pPr>
        <w:numPr>
          <w:ilvl w:val="0"/>
          <w:numId w:val="5"/>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按成本节约→激励推诿重症</w:t>
      </w:r>
    </w:p>
    <w:p w14:paraId="3CA16A74">
      <w:pPr>
        <w:numPr>
          <w:ilvl w:val="0"/>
          <w:numId w:val="5"/>
        </w:numPr>
        <w:adjustRightInd w:val="0"/>
        <w:snapToGrid w:val="0"/>
        <w:spacing w:line="400" w:lineRule="exact"/>
        <w:ind w:left="840" w:leftChars="0" w:hanging="420" w:firstLineChars="0"/>
        <w:rPr>
          <w:rFonts w:hint="eastAsia" w:ascii="宋体" w:hAnsi="宋体" w:eastAsia="宋体" w:cs="宋体"/>
          <w:color w:val="auto"/>
        </w:rPr>
      </w:pPr>
      <w:r>
        <w:rPr>
          <w:rFonts w:hint="eastAsia" w:ascii="宋体" w:hAnsi="宋体" w:eastAsia="宋体" w:cs="宋体"/>
          <w:color w:val="auto"/>
        </w:rPr>
        <w:t>按预算考核→激励年底突击花钱</w:t>
      </w:r>
    </w:p>
    <w:p w14:paraId="6389A233">
      <w:pPr>
        <w:pStyle w:val="4"/>
        <w:bidi w:val="0"/>
        <w:rPr>
          <w:rFonts w:hint="eastAsia"/>
        </w:rPr>
      </w:pPr>
      <w:bookmarkStart w:id="41" w:name="_Toc20132"/>
      <w:r>
        <w:rPr>
          <w:rFonts w:hint="eastAsia"/>
        </w:rPr>
        <w:t>激励相容在医疗绩效中的应用</w:t>
      </w:r>
      <w:bookmarkEnd w:id="41"/>
    </w:p>
    <w:p w14:paraId="04B8353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理想的医疗绩效机制应满足三个条件</w:t>
      </w:r>
      <w:r>
        <w:rPr>
          <w:rStyle w:val="51"/>
          <w:rFonts w:hint="eastAsia"/>
          <w:lang w:eastAsia="en-US"/>
        </w:rPr>
        <w:t>[</w:t>
      </w:r>
      <w:r>
        <w:rPr>
          <w:rStyle w:val="51"/>
          <w:rFonts w:hint="eastAsia"/>
          <w:lang w:val="en-US" w:eastAsia="zh-CN"/>
        </w:rPr>
        <w:t>49</w:t>
      </w:r>
      <w:r>
        <w:rPr>
          <w:rStyle w:val="51"/>
          <w:rFonts w:hint="eastAsia"/>
          <w:lang w:eastAsia="en-US"/>
        </w:rPr>
        <w:t>]</w:t>
      </w:r>
      <w:r>
        <w:rPr>
          <w:rFonts w:hint="eastAsia" w:ascii="宋体" w:hAnsi="宋体" w:eastAsia="宋体" w:cs="宋体"/>
          <w:color w:val="auto"/>
        </w:rPr>
        <w:t>：</w:t>
      </w:r>
    </w:p>
    <w:p w14:paraId="40B0D6B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（1）参与约束——针对</w:t>
      </w:r>
      <w:r>
        <w:rPr>
          <w:rFonts w:hint="eastAsia" w:ascii="宋体" w:hAnsi="宋体" w:cs="宋体"/>
          <w:color w:val="auto"/>
          <w:lang w:eastAsia="zh-CN"/>
        </w:rPr>
        <w:t>“</w:t>
      </w:r>
      <w:r>
        <w:rPr>
          <w:rFonts w:hint="eastAsia" w:ascii="宋体" w:hAnsi="宋体" w:eastAsia="宋体" w:cs="宋体"/>
          <w:color w:val="auto"/>
        </w:rPr>
        <w:t>临床动力不足</w:t>
      </w:r>
      <w:r>
        <w:rPr>
          <w:rFonts w:hint="eastAsia" w:ascii="宋体" w:hAnsi="宋体" w:cs="宋体"/>
          <w:color w:val="auto"/>
          <w:lang w:eastAsia="zh-CN"/>
        </w:rPr>
        <w:t>”</w:t>
      </w:r>
      <w:r>
        <w:rPr>
          <w:rFonts w:hint="eastAsia" w:ascii="宋体" w:hAnsi="宋体" w:eastAsia="宋体" w:cs="宋体"/>
          <w:color w:val="auto"/>
        </w:rPr>
        <w:t>问题</w:t>
      </w:r>
    </w:p>
    <w:p w14:paraId="7461A766">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保证医生收入不低于市场水平，否则人才流失。这解决了委托代理中的参与可行性问题，确保代理人（科室）愿意进入契约关系。</w:t>
      </w:r>
    </w:p>
    <w:p w14:paraId="52B5EEC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（2）激励约束——针对</w:t>
      </w:r>
      <w:r>
        <w:rPr>
          <w:rFonts w:hint="eastAsia" w:ascii="宋体" w:hAnsi="宋体" w:cs="宋体"/>
          <w:color w:val="auto"/>
          <w:lang w:eastAsia="zh-CN"/>
        </w:rPr>
        <w:t>“</w:t>
      </w:r>
      <w:r>
        <w:rPr>
          <w:rFonts w:hint="eastAsia" w:ascii="宋体" w:hAnsi="宋体" w:eastAsia="宋体" w:cs="宋体"/>
          <w:color w:val="auto"/>
        </w:rPr>
        <w:t>CMI陷阱</w:t>
      </w:r>
      <w:r>
        <w:rPr>
          <w:rFonts w:hint="eastAsia" w:ascii="宋体" w:hAnsi="宋体" w:cs="宋体"/>
          <w:color w:val="auto"/>
          <w:lang w:eastAsia="zh-CN"/>
        </w:rPr>
        <w:t>”</w:t>
      </w:r>
      <w:r>
        <w:rPr>
          <w:rFonts w:hint="eastAsia" w:ascii="宋体" w:hAnsi="宋体" w:eastAsia="宋体" w:cs="宋体"/>
          <w:color w:val="auto"/>
        </w:rPr>
        <w:t xml:space="preserve">问题  </w:t>
      </w:r>
    </w:p>
    <w:p w14:paraId="045984FD">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使</w:t>
      </w:r>
      <w:r>
        <w:rPr>
          <w:rFonts w:hint="eastAsia" w:ascii="宋体" w:hAnsi="宋体" w:cs="宋体"/>
          <w:color w:val="auto"/>
          <w:lang w:eastAsia="zh-CN"/>
        </w:rPr>
        <w:t>“</w:t>
      </w:r>
      <w:r>
        <w:rPr>
          <w:rFonts w:hint="eastAsia" w:ascii="宋体" w:hAnsi="宋体" w:eastAsia="宋体" w:cs="宋体"/>
          <w:color w:val="auto"/>
        </w:rPr>
        <w:t>控制成本、提升质量</w:t>
      </w:r>
      <w:r>
        <w:rPr>
          <w:rFonts w:hint="eastAsia" w:ascii="宋体" w:hAnsi="宋体" w:cs="宋体"/>
          <w:color w:val="auto"/>
          <w:lang w:eastAsia="zh-CN"/>
        </w:rPr>
        <w:t>”</w:t>
      </w:r>
      <w:r>
        <w:rPr>
          <w:rFonts w:hint="eastAsia" w:ascii="宋体" w:hAnsi="宋体" w:eastAsia="宋体" w:cs="宋体"/>
          <w:color w:val="auto"/>
        </w:rPr>
        <w:t>成为医生收入最大化的最优选择。</w:t>
      </w:r>
      <w:r>
        <w:rPr>
          <w:rFonts w:hint="eastAsia" w:ascii="宋体" w:hAnsi="宋体" w:cs="宋体"/>
          <w:color w:val="auto"/>
          <w:lang w:eastAsia="zh-CN"/>
        </w:rPr>
        <w:t>通过</w:t>
      </w:r>
      <w:r>
        <w:rPr>
          <w:rFonts w:hint="eastAsia" w:ascii="宋体" w:hAnsi="宋体" w:eastAsia="宋体" w:cs="宋体"/>
          <w:color w:val="auto"/>
        </w:rPr>
        <w:t>绩效杠杆将代理人的目标函数（收入最大化）与委托人的目标函数（价值最大化）校准一致，直接破解科室规避高CMI病种的逆向选择行为。</w:t>
      </w:r>
    </w:p>
    <w:p w14:paraId="0CF211C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（3）个人理性——针对</w:t>
      </w:r>
      <w:r>
        <w:rPr>
          <w:rFonts w:hint="eastAsia" w:ascii="宋体" w:hAnsi="宋体" w:cs="宋体"/>
          <w:color w:val="auto"/>
          <w:lang w:eastAsia="zh-CN"/>
        </w:rPr>
        <w:t>“</w:t>
      </w:r>
      <w:r>
        <w:rPr>
          <w:rFonts w:hint="eastAsia" w:ascii="宋体" w:hAnsi="宋体" w:eastAsia="宋体" w:cs="宋体"/>
          <w:color w:val="auto"/>
        </w:rPr>
        <w:t>供应链双刃剑</w:t>
      </w:r>
      <w:r>
        <w:rPr>
          <w:rFonts w:hint="eastAsia" w:ascii="宋体" w:hAnsi="宋体" w:cs="宋体"/>
          <w:color w:val="auto"/>
          <w:lang w:eastAsia="zh-CN"/>
        </w:rPr>
        <w:t>”</w:t>
      </w:r>
      <w:r>
        <w:rPr>
          <w:rFonts w:hint="eastAsia" w:ascii="宋体" w:hAnsi="宋体" w:eastAsia="宋体" w:cs="宋体"/>
          <w:color w:val="auto"/>
        </w:rPr>
        <w:t>问题</w:t>
      </w:r>
    </w:p>
    <w:p w14:paraId="307E24BE">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尊重医生追求收入增长的合理诉求，通过阶梯化盈余留用机制，将供应链集中管理协同收益部分返还科室，避免</w:t>
      </w:r>
      <w:r>
        <w:rPr>
          <w:rFonts w:hint="eastAsia" w:ascii="宋体" w:hAnsi="宋体" w:cs="宋体"/>
          <w:color w:val="auto"/>
          <w:lang w:eastAsia="zh-CN"/>
        </w:rPr>
        <w:t>“</w:t>
      </w:r>
      <w:r>
        <w:rPr>
          <w:rFonts w:hint="eastAsia" w:ascii="宋体" w:hAnsi="宋体" w:eastAsia="宋体" w:cs="宋体"/>
          <w:color w:val="auto"/>
        </w:rPr>
        <w:t>抽水机</w:t>
      </w:r>
      <w:r>
        <w:rPr>
          <w:rFonts w:hint="eastAsia" w:ascii="宋体" w:hAnsi="宋体" w:cs="宋体"/>
          <w:color w:val="auto"/>
          <w:lang w:eastAsia="zh-CN"/>
        </w:rPr>
        <w:t>”</w:t>
      </w:r>
      <w:r>
        <w:rPr>
          <w:rFonts w:hint="eastAsia" w:ascii="宋体" w:hAnsi="宋体" w:eastAsia="宋体" w:cs="宋体"/>
          <w:color w:val="auto"/>
        </w:rPr>
        <w:t>效应导致的隐性代理成本。</w:t>
      </w:r>
    </w:p>
    <w:p w14:paraId="5459EA2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本研究设计的</w:t>
      </w:r>
      <w:r>
        <w:rPr>
          <w:rFonts w:hint="eastAsia" w:ascii="宋体" w:hAnsi="宋体" w:eastAsia="宋体" w:cs="宋体"/>
          <w:color w:val="auto"/>
          <w:lang w:eastAsia="zh-CN"/>
        </w:rPr>
        <w:t>“</w:t>
      </w:r>
      <w:r>
        <w:rPr>
          <w:rFonts w:hint="eastAsia" w:ascii="宋体" w:hAnsi="宋体" w:eastAsia="宋体" w:cs="宋体"/>
          <w:color w:val="auto"/>
        </w:rPr>
        <w:t>RBRVS+DRG盈余留用</w:t>
      </w:r>
      <w:r>
        <w:rPr>
          <w:rFonts w:hint="eastAsia" w:ascii="宋体" w:hAnsi="宋体" w:eastAsia="宋体" w:cs="宋体"/>
          <w:color w:val="auto"/>
          <w:lang w:eastAsia="zh-CN"/>
        </w:rPr>
        <w:t>”</w:t>
      </w:r>
      <w:r>
        <w:rPr>
          <w:rFonts w:hint="eastAsia" w:ascii="宋体" w:hAnsi="宋体" w:eastAsia="宋体" w:cs="宋体"/>
          <w:color w:val="auto"/>
        </w:rPr>
        <w:t>复合绩效体系，正是基于上述原则：RBRVS保障基础工作量收入（参与约束），盈余留用使控费努力与个人收入挂钩（激励约束），熔断机制消除极端病例的收入冲击（个人理性）。</w:t>
      </w:r>
    </w:p>
    <w:p w14:paraId="03749634">
      <w:pPr>
        <w:pStyle w:val="3"/>
        <w:bidi w:val="0"/>
        <w:rPr>
          <w:rFonts w:hint="eastAsia"/>
        </w:rPr>
      </w:pPr>
      <w:bookmarkStart w:id="42" w:name="_Toc10114"/>
      <w:r>
        <w:rPr>
          <w:rFonts w:hint="eastAsia"/>
        </w:rPr>
        <w:t>文献述评与研究定位</w:t>
      </w:r>
      <w:bookmarkEnd w:id="42"/>
    </w:p>
    <w:p w14:paraId="52E82F06">
      <w:pPr>
        <w:pStyle w:val="4"/>
        <w:bidi w:val="0"/>
        <w:rPr>
          <w:rFonts w:hint="eastAsia"/>
        </w:rPr>
      </w:pPr>
      <w:bookmarkStart w:id="43" w:name="_Toc8343"/>
      <w:r>
        <w:rPr>
          <w:rFonts w:hint="eastAsia"/>
        </w:rPr>
        <w:t>国内外研究现状</w:t>
      </w:r>
      <w:bookmarkEnd w:id="43"/>
    </w:p>
    <w:p w14:paraId="67093928">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国外研究：DRG自1983年在美国Medicare系统实施以来积累了丰富研究成果。Fetter等人的开创性研究证实了DRG的控费效果</w:t>
      </w:r>
      <w:r>
        <w:rPr>
          <w:rStyle w:val="51"/>
          <w:rFonts w:hint="eastAsia"/>
        </w:rPr>
        <w:t>[5]</w:t>
      </w:r>
      <w:r>
        <w:rPr>
          <w:rFonts w:hint="eastAsia" w:ascii="宋体" w:hAnsi="宋体" w:eastAsia="宋体" w:cs="宋体"/>
          <w:color w:val="auto"/>
        </w:rPr>
        <w:t>；Dafny揭示了医院在DRG环境下的</w:t>
      </w:r>
      <w:r>
        <w:rPr>
          <w:rFonts w:hint="eastAsia" w:ascii="宋体" w:hAnsi="宋体" w:cs="宋体"/>
          <w:color w:val="auto"/>
          <w:lang w:eastAsia="zh-CN"/>
        </w:rPr>
        <w:t>“</w:t>
      </w:r>
      <w:r>
        <w:rPr>
          <w:rFonts w:hint="eastAsia" w:ascii="宋体" w:hAnsi="宋体" w:eastAsia="宋体" w:cs="宋体"/>
          <w:color w:val="auto"/>
        </w:rPr>
        <w:t>编码膨胀</w:t>
      </w:r>
      <w:r>
        <w:rPr>
          <w:rFonts w:hint="eastAsia" w:ascii="宋体" w:hAnsi="宋体" w:cs="宋体"/>
          <w:color w:val="auto"/>
          <w:lang w:eastAsia="zh-CN"/>
        </w:rPr>
        <w:t>”</w:t>
      </w:r>
      <w:r>
        <w:rPr>
          <w:rFonts w:hint="eastAsia" w:ascii="宋体" w:hAnsi="宋体" w:eastAsia="宋体" w:cs="宋体"/>
          <w:color w:val="auto"/>
        </w:rPr>
        <w:t>（Upcoding）策略行为</w:t>
      </w:r>
      <w:r>
        <w:rPr>
          <w:rStyle w:val="51"/>
          <w:rFonts w:hint="eastAsia"/>
        </w:rPr>
        <w:t>[</w:t>
      </w:r>
      <w:r>
        <w:rPr>
          <w:rStyle w:val="51"/>
          <w:rFonts w:hint="eastAsia"/>
          <w:lang w:val="en-US" w:eastAsia="zh-CN"/>
        </w:rPr>
        <w:t>46</w:t>
      </w:r>
      <w:r>
        <w:rPr>
          <w:rStyle w:val="51"/>
          <w:rFonts w:hint="eastAsia"/>
        </w:rPr>
        <w:t>]</w:t>
      </w:r>
      <w:r>
        <w:rPr>
          <w:rFonts w:hint="eastAsia" w:ascii="宋体" w:hAnsi="宋体" w:eastAsia="宋体" w:cs="宋体"/>
          <w:color w:val="auto"/>
        </w:rPr>
        <w:t>；Cutler和Zeckhauser的研究表明DRG总体实现了</w:t>
      </w:r>
      <w:r>
        <w:rPr>
          <w:rFonts w:hint="eastAsia" w:ascii="宋体" w:hAnsi="宋体" w:cs="宋体"/>
          <w:color w:val="auto"/>
          <w:lang w:eastAsia="zh-CN"/>
        </w:rPr>
        <w:t>“</w:t>
      </w:r>
      <w:r>
        <w:rPr>
          <w:rFonts w:hint="eastAsia" w:ascii="宋体" w:hAnsi="宋体" w:eastAsia="宋体" w:cs="宋体"/>
          <w:color w:val="auto"/>
        </w:rPr>
        <w:t>降本增效</w:t>
      </w:r>
      <w:r>
        <w:rPr>
          <w:rFonts w:hint="eastAsia" w:ascii="宋体" w:hAnsi="宋体" w:cs="宋体"/>
          <w:color w:val="auto"/>
          <w:lang w:eastAsia="zh-CN"/>
        </w:rPr>
        <w:t>”</w:t>
      </w:r>
      <w:r>
        <w:rPr>
          <w:rFonts w:hint="eastAsia" w:ascii="宋体" w:hAnsi="宋体" w:eastAsia="宋体" w:cs="宋体"/>
          <w:color w:val="auto"/>
        </w:rPr>
        <w:t>而非</w:t>
      </w:r>
      <w:r>
        <w:rPr>
          <w:rFonts w:hint="eastAsia" w:ascii="宋体" w:hAnsi="宋体" w:cs="宋体"/>
          <w:color w:val="auto"/>
          <w:lang w:eastAsia="zh-CN"/>
        </w:rPr>
        <w:t>“</w:t>
      </w:r>
      <w:r>
        <w:rPr>
          <w:rFonts w:hint="eastAsia" w:ascii="宋体" w:hAnsi="宋体" w:eastAsia="宋体" w:cs="宋体"/>
          <w:color w:val="auto"/>
        </w:rPr>
        <w:t>降本降质</w:t>
      </w:r>
      <w:r>
        <w:rPr>
          <w:rFonts w:hint="eastAsia" w:ascii="宋体" w:hAnsi="宋体" w:cs="宋体"/>
          <w:color w:val="auto"/>
          <w:lang w:eastAsia="zh-CN"/>
        </w:rPr>
        <w:t>”</w:t>
      </w:r>
      <w:r>
        <w:rPr>
          <w:rFonts w:hint="eastAsia" w:ascii="宋体" w:hAnsi="宋体" w:eastAsia="宋体" w:cs="宋体"/>
          <w:color w:val="auto"/>
        </w:rPr>
        <w:t>，但成本转嫁行为值得关注</w:t>
      </w:r>
      <w:r>
        <w:rPr>
          <w:rStyle w:val="51"/>
          <w:rFonts w:hint="eastAsia"/>
        </w:rPr>
        <w:t>[</w:t>
      </w:r>
      <w:r>
        <w:rPr>
          <w:rStyle w:val="51"/>
          <w:rFonts w:hint="eastAsia"/>
          <w:lang w:val="en-US" w:eastAsia="zh-CN"/>
        </w:rPr>
        <w:t>47</w:t>
      </w:r>
      <w:r>
        <w:rPr>
          <w:rStyle w:val="51"/>
          <w:rFonts w:hint="eastAsia"/>
        </w:rPr>
        <w:t>]</w:t>
      </w:r>
      <w:r>
        <w:rPr>
          <w:rFonts w:hint="eastAsia" w:ascii="宋体" w:hAnsi="宋体" w:eastAsia="宋体" w:cs="宋体"/>
          <w:color w:val="auto"/>
        </w:rPr>
        <w:t>。近年来，Quentin等人对欧洲12国DRG支付体系的比较研究发现，高CMI医院在DRG环境下运营利润率普遍低于中等CMI医院，印证了CMI与盈利能力之间的非线性关系</w:t>
      </w:r>
      <w:r>
        <w:rPr>
          <w:rStyle w:val="51"/>
          <w:rFonts w:hint="eastAsia"/>
        </w:rPr>
        <w:t>[</w:t>
      </w:r>
      <w:r>
        <w:rPr>
          <w:rStyle w:val="51"/>
          <w:rFonts w:hint="eastAsia"/>
          <w:lang w:val="en-US" w:eastAsia="zh-CN"/>
        </w:rPr>
        <w:t>48</w:t>
      </w:r>
      <w:r>
        <w:rPr>
          <w:rStyle w:val="51"/>
          <w:rFonts w:hint="eastAsia"/>
        </w:rPr>
        <w:t>]</w:t>
      </w:r>
      <w:r>
        <w:rPr>
          <w:rFonts w:hint="eastAsia" w:ascii="宋体" w:hAnsi="宋体" w:eastAsia="宋体" w:cs="宋体"/>
          <w:color w:val="auto"/>
        </w:rPr>
        <w:t>。在方法论层面，Bernal等人对间断时间序列回归方法进行了系统教程式梳理，为政策效应评估提供了规范化指导</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宋体" w:hAnsi="宋体" w:eastAsia="宋体" w:cs="宋体"/>
          <w:color w:val="auto"/>
        </w:rPr>
        <w:t>。</w:t>
      </w:r>
    </w:p>
    <w:p w14:paraId="040877C4">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国内研究：蒋肃丞运用ITS分析评估了DRG对单体医院医疗收入质量的影响，发现改革初期存在收入下降效应但长期趋于稳定</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6</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；罗慧基于准自然实验方法发现DIP控费效果存在</w:t>
      </w:r>
      <w:r>
        <w:rPr>
          <w:rFonts w:hint="eastAsia" w:ascii="宋体" w:hAnsi="宋体" w:cs="宋体"/>
          <w:color w:val="auto"/>
          <w:lang w:eastAsia="zh-CN"/>
        </w:rPr>
        <w:t>“</w:t>
      </w:r>
      <w:r>
        <w:rPr>
          <w:rFonts w:hint="eastAsia" w:ascii="宋体" w:hAnsi="宋体" w:eastAsia="宋体" w:cs="宋体"/>
          <w:color w:val="auto"/>
        </w:rPr>
        <w:t>时滞性</w:t>
      </w:r>
      <w:r>
        <w:rPr>
          <w:rFonts w:hint="eastAsia" w:ascii="宋体" w:hAnsi="宋体" w:cs="宋体"/>
          <w:color w:val="auto"/>
          <w:lang w:eastAsia="zh-CN"/>
        </w:rPr>
        <w:t>”</w:t>
      </w:r>
      <w:r>
        <w:rPr>
          <w:rFonts w:hint="eastAsia" w:ascii="宋体" w:hAnsi="宋体" w:eastAsia="宋体" w:cs="宋体"/>
          <w:color w:val="auto"/>
        </w:rPr>
        <w:t>，措施启动后约6个月方可观察到显著财务改善</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；闫璐瑶指出编码人才短缺是公立医院实施DRG的主要瓶颈，编码准确率每提升1个百分点约增加收入0.3%—0.5%</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；武逸强调精细化成本管理是DRG付费下医院财务可持续的关键</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40</w:t>
      </w:r>
      <w:r>
        <w:rPr>
          <w:rFonts w:hint="default" w:ascii="Times New Roman" w:hAnsi="Times New Roman" w:eastAsia="宋体" w:cs="Times New Roman"/>
          <w:kern w:val="2"/>
          <w:sz w:val="24"/>
          <w:szCs w:val="24"/>
          <w:vertAlign w:val="superscript"/>
        </w:rPr>
        <w:t>]</w:t>
      </w:r>
      <w:r>
        <w:rPr>
          <w:rFonts w:hint="eastAsia" w:ascii="宋体" w:hAnsi="宋体" w:eastAsia="宋体" w:cs="宋体"/>
          <w:color w:val="auto"/>
        </w:rPr>
        <w:t>。此外，Kaplan和Porter提出的时间驱动作业成本法（TDABC）为医院单病种成本精准核算提供了工具</w:t>
      </w:r>
      <w:r>
        <w:rPr>
          <w:rStyle w:val="51"/>
          <w:rFonts w:hint="eastAsia"/>
        </w:rPr>
        <w:t>[1</w:t>
      </w:r>
      <w:r>
        <w:rPr>
          <w:rStyle w:val="51"/>
          <w:rFonts w:hint="eastAsia"/>
          <w:lang w:val="en-US" w:eastAsia="zh-CN"/>
        </w:rPr>
        <w:t>2</w:t>
      </w:r>
      <w:r>
        <w:rPr>
          <w:rStyle w:val="51"/>
          <w:rFonts w:hint="eastAsia"/>
        </w:rPr>
        <w:t>]</w:t>
      </w:r>
      <w:r>
        <w:rPr>
          <w:rFonts w:hint="eastAsia" w:ascii="宋体" w:hAnsi="宋体" w:eastAsia="宋体" w:cs="宋体"/>
          <w:color w:val="auto"/>
        </w:rPr>
        <w:t>。</w:t>
      </w:r>
    </w:p>
    <w:p w14:paraId="2CEDFF2F">
      <w:pPr>
        <w:pStyle w:val="4"/>
        <w:bidi w:val="0"/>
        <w:rPr>
          <w:rFonts w:hint="eastAsia"/>
        </w:rPr>
      </w:pPr>
      <w:bookmarkStart w:id="44" w:name="_Toc19191"/>
      <w:r>
        <w:rPr>
          <w:rFonts w:hint="eastAsia"/>
        </w:rPr>
        <w:t>研究缺口与本研究定位</w:t>
      </w:r>
      <w:bookmarkEnd w:id="44"/>
    </w:p>
    <w:p w14:paraId="2132CCDD">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现有文献存在四个不足：</w:t>
      </w:r>
    </w:p>
    <w:p w14:paraId="6D9E8E01">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一是研究对象偏向公立医院，对非公医疗集团的特殊治理结构（集团—院区委托代理关系）和激励机制关注不足。非公医疗集团面临独特的</w:t>
      </w:r>
      <w:r>
        <w:rPr>
          <w:rFonts w:hint="eastAsia" w:ascii="宋体" w:hAnsi="宋体" w:cs="宋体"/>
          <w:color w:val="auto"/>
          <w:lang w:eastAsia="zh-CN"/>
        </w:rPr>
        <w:t>“</w:t>
      </w:r>
      <w:r>
        <w:rPr>
          <w:rFonts w:hint="eastAsia" w:ascii="宋体" w:hAnsi="宋体" w:eastAsia="宋体" w:cs="宋体"/>
          <w:color w:val="auto"/>
        </w:rPr>
        <w:t>双重代理</w:t>
      </w:r>
      <w:r>
        <w:rPr>
          <w:rFonts w:hint="eastAsia" w:ascii="宋体" w:hAnsi="宋体" w:cs="宋体"/>
          <w:color w:val="auto"/>
          <w:lang w:eastAsia="zh-CN"/>
        </w:rPr>
        <w:t>”</w:t>
      </w:r>
      <w:r>
        <w:rPr>
          <w:rFonts w:hint="eastAsia" w:ascii="宋体" w:hAnsi="宋体" w:eastAsia="宋体" w:cs="宋体"/>
          <w:color w:val="auto"/>
        </w:rPr>
        <w:t>问题——院区管理层既是集团的代理人又是医生团队的委托人，这种多层级委托代理关系在现有研究中鲜有讨论。</w:t>
      </w:r>
    </w:p>
    <w:p w14:paraId="3DFC00D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二是研究方法以描述性分析为主，缺乏严格的因果推断。既有关于DRG/DIP改革效应的研究多采用前后对比或横截面分析，未充分利用间断时间序列等准实验方法控制时间趋势和混淆因素。</w:t>
      </w:r>
    </w:p>
    <w:p w14:paraId="45D51A60">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三是研究视角局限于单体医院，集团层面的协同效应——特别是供应链协同如何调节医院改革适应能力——尚未充分探讨。</w:t>
      </w:r>
    </w:p>
    <w:p w14:paraId="30CA1D5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四是缺乏</w:t>
      </w:r>
      <w:r>
        <w:rPr>
          <w:rFonts w:hint="eastAsia" w:ascii="宋体" w:hAnsi="宋体" w:cs="宋体"/>
          <w:color w:val="auto"/>
          <w:lang w:eastAsia="zh-CN"/>
        </w:rPr>
        <w:t>“</w:t>
      </w:r>
      <w:r>
        <w:rPr>
          <w:rFonts w:hint="eastAsia" w:ascii="宋体" w:hAnsi="宋体" w:eastAsia="宋体" w:cs="宋体"/>
          <w:color w:val="auto"/>
        </w:rPr>
        <w:t>双重干预</w:t>
      </w:r>
      <w:r>
        <w:rPr>
          <w:rFonts w:hint="eastAsia" w:ascii="宋体" w:hAnsi="宋体" w:cs="宋体"/>
          <w:color w:val="auto"/>
          <w:lang w:eastAsia="zh-CN"/>
        </w:rPr>
        <w:t>”</w:t>
      </w:r>
      <w:r>
        <w:rPr>
          <w:rFonts w:hint="eastAsia" w:ascii="宋体" w:hAnsi="宋体" w:eastAsia="宋体" w:cs="宋体"/>
          <w:color w:val="auto"/>
        </w:rPr>
        <w:t>分析视角。既有研究通常将DRG/DIP政策变化视为单一外生冲击，未考虑医疗集团在同一时点启动的内部管理变革与外部政策冲击之间的交互效应。实际上，2024年许多医疗集团同时面临医保收紧和内部转型的双重压力，两者的叠加效应和分离识别是亟待解决的研究问题。</w:t>
      </w:r>
    </w:p>
    <w:p w14:paraId="599C3B3C">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本研究的定位是：以</w:t>
      </w:r>
      <w:r>
        <w:rPr>
          <w:rFonts w:hint="eastAsia" w:ascii="宋体" w:hAnsi="宋体" w:cs="宋体"/>
          <w:color w:val="auto"/>
          <w:lang w:eastAsia="zh-CN"/>
        </w:rPr>
        <w:t>A医疗集团</w:t>
      </w:r>
      <w:r>
        <w:rPr>
          <w:rFonts w:hint="eastAsia" w:ascii="宋体" w:hAnsi="宋体" w:eastAsia="宋体" w:cs="宋体"/>
          <w:color w:val="auto"/>
        </w:rPr>
        <w:t>为案例，综合运用ITS和灰色关联度分析，系统考察2024年外部医保政策收紧与内部管理转型的双重干预对非公医疗集团收入质量的冲击机制与响应规律，并设计激励相容的优化策略。</w:t>
      </w:r>
    </w:p>
    <w:p w14:paraId="665C846A">
      <w:pPr>
        <w:pStyle w:val="3"/>
        <w:bidi w:val="0"/>
        <w:rPr>
          <w:rFonts w:hint="eastAsia"/>
        </w:rPr>
      </w:pPr>
      <w:bookmarkStart w:id="45" w:name="_Toc26860"/>
      <w:r>
        <w:rPr>
          <w:rFonts w:hint="eastAsia"/>
        </w:rPr>
        <w:t>理论框架：基于双重干预的</w:t>
      </w:r>
      <w:r>
        <w:rPr>
          <w:rFonts w:hint="eastAsia"/>
          <w:lang w:eastAsia="zh-CN"/>
        </w:rPr>
        <w:t>“</w:t>
      </w:r>
      <w:r>
        <w:rPr>
          <w:rFonts w:hint="eastAsia"/>
        </w:rPr>
        <w:t>价值创造—成本控制—激励相容</w:t>
      </w:r>
      <w:r>
        <w:rPr>
          <w:rFonts w:hint="eastAsia"/>
          <w:lang w:eastAsia="zh-CN"/>
        </w:rPr>
        <w:t>”</w:t>
      </w:r>
      <w:r>
        <w:rPr>
          <w:rFonts w:hint="eastAsia"/>
        </w:rPr>
        <w:t>三维分析框架</w:t>
      </w:r>
      <w:bookmarkEnd w:id="45"/>
    </w:p>
    <w:p w14:paraId="73907F84">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rPr>
        <w:t>基于上述理论梳理，本研究构建了</w:t>
      </w:r>
      <w:r>
        <w:rPr>
          <w:rFonts w:hint="eastAsia" w:ascii="宋体" w:hAnsi="宋体" w:cs="宋体"/>
          <w:color w:val="auto"/>
          <w:lang w:eastAsia="zh-CN"/>
        </w:rPr>
        <w:t>“</w:t>
      </w:r>
      <w:r>
        <w:rPr>
          <w:rFonts w:hint="eastAsia" w:ascii="宋体" w:hAnsi="宋体" w:eastAsia="宋体" w:cs="宋体"/>
          <w:color w:val="auto"/>
        </w:rPr>
        <w:t>价值创造—成本控制—激励相容</w:t>
      </w:r>
      <w:r>
        <w:rPr>
          <w:rFonts w:hint="eastAsia" w:ascii="宋体" w:hAnsi="宋体" w:cs="宋体"/>
          <w:color w:val="auto"/>
          <w:lang w:eastAsia="zh-CN"/>
        </w:rPr>
        <w:t>”</w:t>
      </w:r>
      <w:r>
        <w:rPr>
          <w:rFonts w:hint="eastAsia" w:ascii="宋体" w:hAnsi="宋体" w:eastAsia="宋体" w:cs="宋体"/>
          <w:color w:val="auto"/>
        </w:rPr>
        <w:t>三维分析框架，并将其嵌入2024年</w:t>
      </w:r>
      <w:r>
        <w:rPr>
          <w:rFonts w:hint="eastAsia" w:ascii="宋体" w:hAnsi="宋体" w:cs="宋体"/>
          <w:color w:val="auto"/>
          <w:lang w:eastAsia="zh-CN"/>
        </w:rPr>
        <w:t>“</w:t>
      </w:r>
      <w:r>
        <w:rPr>
          <w:rFonts w:hint="eastAsia" w:ascii="宋体" w:hAnsi="宋体" w:eastAsia="宋体" w:cs="宋体"/>
          <w:color w:val="auto"/>
        </w:rPr>
        <w:t>双重干预叠加</w:t>
      </w:r>
      <w:r>
        <w:rPr>
          <w:rFonts w:hint="eastAsia" w:ascii="宋体" w:hAnsi="宋体" w:cs="宋体"/>
          <w:color w:val="auto"/>
          <w:lang w:eastAsia="zh-CN"/>
        </w:rPr>
        <w:t>”</w:t>
      </w:r>
      <w:r>
        <w:rPr>
          <w:rFonts w:hint="eastAsia" w:ascii="宋体" w:hAnsi="宋体" w:eastAsia="宋体" w:cs="宋体"/>
          <w:color w:val="auto"/>
        </w:rPr>
        <w:t>的分析情境之中</w:t>
      </w:r>
      <w:r>
        <w:rPr>
          <w:rFonts w:hint="eastAsia" w:ascii="宋体" w:hAnsi="宋体" w:eastAsia="宋体" w:cs="宋体"/>
          <w:color w:val="auto"/>
          <w:lang w:eastAsia="zh-CN"/>
        </w:rPr>
        <w:t>。</w:t>
      </w:r>
    </w:p>
    <w:p w14:paraId="39A771A8">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一、三维框架的理论渊源</w:t>
      </w:r>
    </w:p>
    <w:p w14:paraId="78A9766B">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第一维度——价值创造，源自Porter价值医疗理论</w:t>
      </w:r>
      <w:r>
        <w:rPr>
          <w:rStyle w:val="51"/>
          <w:rFonts w:hint="eastAsia"/>
          <w:lang w:eastAsia="zh-CN"/>
        </w:rPr>
        <w:t>[10]</w:t>
      </w:r>
      <w:r>
        <w:rPr>
          <w:rFonts w:hint="eastAsia" w:ascii="宋体" w:hAnsi="宋体" w:eastAsia="宋体" w:cs="宋体"/>
          <w:color w:val="auto"/>
          <w:lang w:eastAsia="zh-CN"/>
        </w:rPr>
        <w:t>。在DRG/DIP支付环境下，医院的价值创造能力体现为：以合理的成本实现最优的患者健康结局，并通过精准的DRG编码获得与技术难度匹配的支付补偿。CMI值是衡量价值创造</w:t>
      </w:r>
      <w:r>
        <w:rPr>
          <w:rFonts w:hint="eastAsia" w:ascii="宋体" w:hAnsi="宋体" w:cs="宋体"/>
          <w:color w:val="auto"/>
          <w:lang w:eastAsia="zh-CN"/>
        </w:rPr>
        <w:t>“</w:t>
      </w:r>
      <w:r>
        <w:rPr>
          <w:rFonts w:hint="eastAsia" w:ascii="宋体" w:hAnsi="宋体" w:eastAsia="宋体" w:cs="宋体"/>
          <w:color w:val="auto"/>
          <w:lang w:eastAsia="zh-CN"/>
        </w:rPr>
        <w:t>技术含量</w:t>
      </w:r>
      <w:r>
        <w:rPr>
          <w:rFonts w:hint="eastAsia" w:ascii="宋体" w:hAnsi="宋体" w:cs="宋体"/>
          <w:color w:val="auto"/>
          <w:lang w:eastAsia="zh-CN"/>
        </w:rPr>
        <w:t>”</w:t>
      </w:r>
      <w:r>
        <w:rPr>
          <w:rFonts w:hint="eastAsia" w:ascii="宋体" w:hAnsi="宋体" w:eastAsia="宋体" w:cs="宋体"/>
          <w:color w:val="auto"/>
          <w:lang w:eastAsia="zh-CN"/>
        </w:rPr>
        <w:t>的核心指标，但高CMI并不等同于高价值——这正是</w:t>
      </w:r>
      <w:r>
        <w:rPr>
          <w:rFonts w:hint="eastAsia" w:ascii="宋体" w:hAnsi="宋体" w:cs="宋体"/>
          <w:color w:val="auto"/>
          <w:lang w:eastAsia="zh-CN"/>
        </w:rPr>
        <w:t>“</w:t>
      </w:r>
      <w:r>
        <w:rPr>
          <w:rFonts w:hint="eastAsia" w:ascii="宋体" w:hAnsi="宋体" w:eastAsia="宋体" w:cs="宋体"/>
          <w:color w:val="auto"/>
          <w:lang w:eastAsia="zh-CN"/>
        </w:rPr>
        <w:t>CMI陷阱</w:t>
      </w:r>
      <w:r>
        <w:rPr>
          <w:rFonts w:hint="eastAsia" w:ascii="宋体" w:hAnsi="宋体" w:cs="宋体"/>
          <w:color w:val="auto"/>
          <w:lang w:eastAsia="zh-CN"/>
        </w:rPr>
        <w:t>”</w:t>
      </w:r>
      <w:r>
        <w:rPr>
          <w:rFonts w:hint="eastAsia" w:ascii="宋体" w:hAnsi="宋体" w:eastAsia="宋体" w:cs="宋体"/>
          <w:color w:val="auto"/>
          <w:lang w:eastAsia="zh-CN"/>
        </w:rPr>
        <w:t>的理论根源。</w:t>
      </w:r>
    </w:p>
    <w:p w14:paraId="17D33C12">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第二维度——成本控制，源自Kaplan作业成本理论</w:t>
      </w:r>
      <w:r>
        <w:rPr>
          <w:rStyle w:val="51"/>
          <w:rFonts w:hint="eastAsia"/>
        </w:rPr>
        <w:t>[1</w:t>
      </w:r>
      <w:r>
        <w:rPr>
          <w:rStyle w:val="51"/>
          <w:rFonts w:hint="eastAsia"/>
          <w:lang w:val="en-US" w:eastAsia="zh-CN"/>
        </w:rPr>
        <w:t>2</w:t>
      </w:r>
      <w:r>
        <w:rPr>
          <w:rStyle w:val="51"/>
          <w:rFonts w:hint="eastAsia"/>
        </w:rPr>
        <w:t>]</w:t>
      </w:r>
      <w:r>
        <w:rPr>
          <w:rFonts w:hint="eastAsia" w:ascii="宋体" w:hAnsi="宋体" w:eastAsia="宋体" w:cs="宋体"/>
          <w:color w:val="auto"/>
          <w:lang w:eastAsia="zh-CN"/>
        </w:rPr>
        <w:t>和战略成本管理思想。DRG/DIP改革将成本控制从</w:t>
      </w:r>
      <w:r>
        <w:rPr>
          <w:rFonts w:hint="eastAsia" w:ascii="宋体" w:hAnsi="宋体" w:cs="宋体"/>
          <w:color w:val="auto"/>
          <w:lang w:eastAsia="zh-CN"/>
        </w:rPr>
        <w:t>“</w:t>
      </w:r>
      <w:r>
        <w:rPr>
          <w:rFonts w:hint="eastAsia" w:ascii="宋体" w:hAnsi="宋体" w:eastAsia="宋体" w:cs="宋体"/>
          <w:color w:val="auto"/>
          <w:lang w:eastAsia="zh-CN"/>
        </w:rPr>
        <w:t>可选项</w:t>
      </w:r>
      <w:r>
        <w:rPr>
          <w:rFonts w:hint="eastAsia" w:ascii="宋体" w:hAnsi="宋体" w:cs="宋体"/>
          <w:color w:val="auto"/>
          <w:lang w:eastAsia="zh-CN"/>
        </w:rPr>
        <w:t>”</w:t>
      </w:r>
      <w:r>
        <w:rPr>
          <w:rFonts w:hint="eastAsia" w:ascii="宋体" w:hAnsi="宋体" w:eastAsia="宋体" w:cs="宋体"/>
          <w:color w:val="auto"/>
          <w:lang w:eastAsia="zh-CN"/>
        </w:rPr>
        <w:t>变为</w:t>
      </w:r>
      <w:r>
        <w:rPr>
          <w:rFonts w:hint="eastAsia" w:ascii="宋体" w:hAnsi="宋体" w:cs="宋体"/>
          <w:color w:val="auto"/>
          <w:lang w:eastAsia="zh-CN"/>
        </w:rPr>
        <w:t>“</w:t>
      </w:r>
      <w:r>
        <w:rPr>
          <w:rFonts w:hint="eastAsia" w:ascii="宋体" w:hAnsi="宋体" w:eastAsia="宋体" w:cs="宋体"/>
          <w:color w:val="auto"/>
          <w:lang w:eastAsia="zh-CN"/>
        </w:rPr>
        <w:t>必选项</w:t>
      </w:r>
      <w:r>
        <w:rPr>
          <w:rFonts w:hint="eastAsia" w:ascii="宋体" w:hAnsi="宋体" w:cs="宋体"/>
          <w:color w:val="auto"/>
          <w:lang w:eastAsia="zh-CN"/>
        </w:rPr>
        <w:t>”</w:t>
      </w:r>
      <w:r>
        <w:rPr>
          <w:rFonts w:hint="eastAsia" w:ascii="宋体" w:hAnsi="宋体" w:eastAsia="宋体" w:cs="宋体"/>
          <w:color w:val="auto"/>
          <w:lang w:eastAsia="zh-CN"/>
        </w:rPr>
        <w:t>：当边际收入被支付标准封顶后，成本控制能力直接决定盈亏。关键控制变量包括集采执行率、临床路径覆盖率、平均住院日和药耗占比。</w:t>
      </w:r>
    </w:p>
    <w:p w14:paraId="13A42C45">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第三维度——激励相容，源自Hurwicz机制设计理论</w:t>
      </w:r>
      <w:r>
        <w:rPr>
          <w:rStyle w:val="51"/>
          <w:rFonts w:hint="eastAsia"/>
          <w:lang w:eastAsia="zh-CN"/>
        </w:rPr>
        <w:t>[7]</w:t>
      </w:r>
      <w:r>
        <w:rPr>
          <w:rFonts w:hint="eastAsia" w:ascii="宋体" w:hAnsi="宋体" w:eastAsia="宋体" w:cs="宋体"/>
          <w:color w:val="auto"/>
          <w:lang w:eastAsia="zh-CN"/>
        </w:rPr>
        <w:t>和Jensen代理理论</w:t>
      </w:r>
      <w:r>
        <w:rPr>
          <w:rStyle w:val="51"/>
          <w:rFonts w:hint="eastAsia"/>
          <w:lang w:eastAsia="zh-CN"/>
        </w:rPr>
        <w:t>[4]</w:t>
      </w:r>
      <w:r>
        <w:rPr>
          <w:rFonts w:hint="eastAsia" w:ascii="宋体" w:hAnsi="宋体" w:eastAsia="宋体" w:cs="宋体"/>
          <w:color w:val="auto"/>
          <w:lang w:eastAsia="zh-CN"/>
        </w:rPr>
        <w:t>。在信息不对称环境下，医院管理层与临床科室之间、集团总部与下属医院之间均存在利益冲突。有效的绩效机制必须使个体自利行为与组织整体目标一致——即</w:t>
      </w:r>
      <w:r>
        <w:rPr>
          <w:rFonts w:hint="eastAsia" w:ascii="宋体" w:hAnsi="宋体" w:cs="宋体"/>
          <w:color w:val="auto"/>
          <w:lang w:eastAsia="zh-CN"/>
        </w:rPr>
        <w:t>“</w:t>
      </w:r>
      <w:r>
        <w:rPr>
          <w:rFonts w:hint="eastAsia" w:ascii="宋体" w:hAnsi="宋体" w:eastAsia="宋体" w:cs="宋体"/>
          <w:color w:val="auto"/>
          <w:lang w:eastAsia="zh-CN"/>
        </w:rPr>
        <w:t>控制成本、提升质量</w:t>
      </w:r>
      <w:r>
        <w:rPr>
          <w:rFonts w:hint="eastAsia" w:ascii="宋体" w:hAnsi="宋体" w:cs="宋体"/>
          <w:color w:val="auto"/>
          <w:lang w:eastAsia="zh-CN"/>
        </w:rPr>
        <w:t>”</w:t>
      </w:r>
      <w:r>
        <w:rPr>
          <w:rFonts w:hint="eastAsia" w:ascii="宋体" w:hAnsi="宋体" w:eastAsia="宋体" w:cs="宋体"/>
          <w:color w:val="auto"/>
          <w:lang w:eastAsia="zh-CN"/>
        </w:rPr>
        <w:t>成为每个参与者的最优选择。</w:t>
      </w:r>
    </w:p>
    <w:p w14:paraId="0A340B0C">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三维之间存在内在逻辑关系：价值创造回答</w:t>
      </w:r>
      <w:r>
        <w:rPr>
          <w:rFonts w:hint="eastAsia" w:ascii="宋体" w:hAnsi="宋体" w:cs="宋体"/>
          <w:color w:val="auto"/>
          <w:lang w:eastAsia="zh-CN"/>
        </w:rPr>
        <w:t>“</w:t>
      </w:r>
      <w:r>
        <w:rPr>
          <w:rFonts w:hint="eastAsia" w:ascii="宋体" w:hAnsi="宋体" w:eastAsia="宋体" w:cs="宋体"/>
          <w:color w:val="auto"/>
          <w:lang w:eastAsia="zh-CN"/>
        </w:rPr>
        <w:t>做什么</w:t>
      </w:r>
      <w:r>
        <w:rPr>
          <w:rFonts w:hint="eastAsia" w:ascii="宋体" w:hAnsi="宋体" w:cs="宋体"/>
          <w:color w:val="auto"/>
          <w:lang w:eastAsia="zh-CN"/>
        </w:rPr>
        <w:t>”</w:t>
      </w:r>
      <w:r>
        <w:rPr>
          <w:rFonts w:hint="eastAsia" w:ascii="宋体" w:hAnsi="宋体" w:eastAsia="宋体" w:cs="宋体"/>
          <w:color w:val="auto"/>
          <w:lang w:eastAsia="zh-CN"/>
        </w:rPr>
        <w:t>（学科定位与病种选择），成本控制回答</w:t>
      </w:r>
      <w:r>
        <w:rPr>
          <w:rFonts w:hint="eastAsia" w:ascii="宋体" w:hAnsi="宋体" w:cs="宋体"/>
          <w:color w:val="auto"/>
          <w:lang w:eastAsia="zh-CN"/>
        </w:rPr>
        <w:t>“</w:t>
      </w:r>
      <w:r>
        <w:rPr>
          <w:rFonts w:hint="eastAsia" w:ascii="宋体" w:hAnsi="宋体" w:eastAsia="宋体" w:cs="宋体"/>
          <w:color w:val="auto"/>
          <w:lang w:eastAsia="zh-CN"/>
        </w:rPr>
        <w:t>怎么做</w:t>
      </w:r>
      <w:r>
        <w:rPr>
          <w:rFonts w:hint="eastAsia" w:ascii="宋体" w:hAnsi="宋体" w:cs="宋体"/>
          <w:color w:val="auto"/>
          <w:lang w:eastAsia="zh-CN"/>
        </w:rPr>
        <w:t>”</w:t>
      </w:r>
      <w:r>
        <w:rPr>
          <w:rFonts w:hint="eastAsia" w:ascii="宋体" w:hAnsi="宋体" w:eastAsia="宋体" w:cs="宋体"/>
          <w:color w:val="auto"/>
          <w:lang w:eastAsia="zh-CN"/>
        </w:rPr>
        <w:t>（资源配置与效率提升），激励相容回答</w:t>
      </w:r>
      <w:r>
        <w:rPr>
          <w:rFonts w:hint="eastAsia" w:ascii="宋体" w:hAnsi="宋体" w:cs="宋体"/>
          <w:color w:val="auto"/>
          <w:lang w:eastAsia="zh-CN"/>
        </w:rPr>
        <w:t>“</w:t>
      </w:r>
      <w:r>
        <w:rPr>
          <w:rFonts w:hint="eastAsia" w:ascii="宋体" w:hAnsi="宋体" w:eastAsia="宋体" w:cs="宋体"/>
          <w:color w:val="auto"/>
          <w:lang w:eastAsia="zh-CN"/>
        </w:rPr>
        <w:t>为谁做</w:t>
      </w:r>
      <w:r>
        <w:rPr>
          <w:rFonts w:hint="eastAsia" w:ascii="宋体" w:hAnsi="宋体" w:cs="宋体"/>
          <w:color w:val="auto"/>
          <w:lang w:eastAsia="zh-CN"/>
        </w:rPr>
        <w:t>”</w:t>
      </w:r>
      <w:r>
        <w:rPr>
          <w:rFonts w:hint="eastAsia" w:ascii="宋体" w:hAnsi="宋体" w:eastAsia="宋体" w:cs="宋体"/>
          <w:color w:val="auto"/>
          <w:lang w:eastAsia="zh-CN"/>
        </w:rPr>
        <w:t>（利益分配与行为引导）。三者缺一不可：有价值创造而无成本控制，将陷入</w:t>
      </w:r>
      <w:r>
        <w:rPr>
          <w:rFonts w:hint="eastAsia" w:ascii="宋体" w:hAnsi="宋体" w:cs="宋体"/>
          <w:color w:val="auto"/>
          <w:lang w:eastAsia="zh-CN"/>
        </w:rPr>
        <w:t>“</w:t>
      </w:r>
      <w:r>
        <w:rPr>
          <w:rFonts w:hint="eastAsia" w:ascii="宋体" w:hAnsi="宋体" w:eastAsia="宋体" w:cs="宋体"/>
          <w:color w:val="auto"/>
          <w:lang w:eastAsia="zh-CN"/>
        </w:rPr>
        <w:t>CMI陷阱</w:t>
      </w:r>
      <w:r>
        <w:rPr>
          <w:rFonts w:hint="eastAsia" w:ascii="宋体" w:hAnsi="宋体" w:cs="宋体"/>
          <w:color w:val="auto"/>
          <w:lang w:eastAsia="zh-CN"/>
        </w:rPr>
        <w:t>”</w:t>
      </w:r>
      <w:r>
        <w:rPr>
          <w:rFonts w:hint="eastAsia" w:ascii="宋体" w:hAnsi="宋体" w:eastAsia="宋体" w:cs="宋体"/>
          <w:color w:val="auto"/>
          <w:lang w:eastAsia="zh-CN"/>
        </w:rPr>
        <w:t>；有成本控制而无激励相容，将遭遇执行阻力；有激励相容而无价值创造方向，将失去战略焦点。</w:t>
      </w:r>
    </w:p>
    <w:p w14:paraId="796864EC">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二、双重干预叠加的理论逻辑</w:t>
      </w:r>
    </w:p>
    <w:p w14:paraId="46771A46">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本研究将2024年定义为</w:t>
      </w:r>
      <w:r>
        <w:rPr>
          <w:rFonts w:hint="eastAsia" w:ascii="宋体" w:hAnsi="宋体" w:cs="宋体"/>
          <w:color w:val="auto"/>
          <w:lang w:eastAsia="zh-CN"/>
        </w:rPr>
        <w:t>“</w:t>
      </w:r>
      <w:r>
        <w:rPr>
          <w:rFonts w:hint="eastAsia" w:ascii="宋体" w:hAnsi="宋体" w:eastAsia="宋体" w:cs="宋体"/>
          <w:color w:val="auto"/>
          <w:lang w:eastAsia="zh-CN"/>
        </w:rPr>
        <w:t>双重转折点</w:t>
      </w:r>
      <w:r>
        <w:rPr>
          <w:rFonts w:hint="eastAsia" w:ascii="宋体" w:hAnsi="宋体" w:cs="宋体"/>
          <w:color w:val="auto"/>
          <w:lang w:eastAsia="zh-CN"/>
        </w:rPr>
        <w:t>”</w:t>
      </w:r>
      <w:r>
        <w:rPr>
          <w:rFonts w:hint="eastAsia" w:ascii="宋体" w:hAnsi="宋体" w:eastAsia="宋体" w:cs="宋体"/>
          <w:color w:val="auto"/>
          <w:lang w:eastAsia="zh-CN"/>
        </w:rPr>
        <w:t>，在三维框架基础上叠加</w:t>
      </w:r>
      <w:r>
        <w:rPr>
          <w:rFonts w:hint="eastAsia" w:ascii="宋体" w:hAnsi="宋体" w:cs="宋体"/>
          <w:color w:val="auto"/>
          <w:lang w:eastAsia="zh-CN"/>
        </w:rPr>
        <w:t>“</w:t>
      </w:r>
      <w:r>
        <w:rPr>
          <w:rFonts w:hint="eastAsia" w:ascii="宋体" w:hAnsi="宋体" w:eastAsia="宋体" w:cs="宋体"/>
          <w:color w:val="auto"/>
          <w:lang w:eastAsia="zh-CN"/>
        </w:rPr>
        <w:t>外部冲击—内部变革</w:t>
      </w:r>
      <w:r>
        <w:rPr>
          <w:rFonts w:hint="eastAsia" w:ascii="宋体" w:hAnsi="宋体" w:cs="宋体"/>
          <w:color w:val="auto"/>
          <w:lang w:eastAsia="zh-CN"/>
        </w:rPr>
        <w:t>”</w:t>
      </w:r>
      <w:r>
        <w:rPr>
          <w:rFonts w:hint="eastAsia" w:ascii="宋体" w:hAnsi="宋体" w:eastAsia="宋体" w:cs="宋体"/>
          <w:color w:val="auto"/>
          <w:lang w:eastAsia="zh-CN"/>
        </w:rPr>
        <w:t>的双重干预维度。</w:t>
      </w:r>
    </w:p>
    <w:p w14:paraId="5D6BB895">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外部冲击（医保收紧）构成第一重干预，通过ITS模型中的β₂系数（即时效应）捕捉。由于管理措施存在3—6个月的实施时滞，干预点附近的即时效应主要反映外部政策压力，而非内部管理变革的成果。</w:t>
      </w:r>
    </w:p>
    <w:p w14:paraId="20739CCE">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内部变革（管理转型）构成第二重干预，通过ITS模型中的β₃系数（斜率变化效应）捕捉。β₃反映的是干预后盈余率变化趋势的转折——正值意味着持续改善，其大小和显著性取决于管理措施的落地速度和执行力度。</w:t>
      </w:r>
    </w:p>
    <w:p w14:paraId="3599C714">
      <w:p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这一框架的关键预判是：在同一外部冲击下（β₂性质相似），不同医院的β₃将因管理响应速度不同而显著分化。积极响应型医院（如H1）快速落地管理措施，在6个月内基本吸收外部冲击，β₃接近零（冲击被抵消）；滞后响应型医院（如H3）因启动延迟，前期持续恶化但后期改善显著，β₃显著为正（</w:t>
      </w:r>
      <w:r>
        <w:rPr>
          <w:rFonts w:hint="eastAsia" w:ascii="宋体" w:hAnsi="宋体" w:cs="宋体"/>
          <w:color w:val="auto"/>
          <w:lang w:eastAsia="zh-CN"/>
        </w:rPr>
        <w:t>“</w:t>
      </w:r>
      <w:r>
        <w:rPr>
          <w:rFonts w:hint="eastAsia" w:ascii="宋体" w:hAnsi="宋体" w:eastAsia="宋体" w:cs="宋体"/>
          <w:color w:val="auto"/>
          <w:lang w:eastAsia="zh-CN"/>
        </w:rPr>
        <w:t>先恶化后改善</w:t>
      </w:r>
      <w:r>
        <w:rPr>
          <w:rFonts w:hint="eastAsia" w:ascii="宋体" w:hAnsi="宋体" w:cs="宋体"/>
          <w:color w:val="auto"/>
          <w:lang w:eastAsia="zh-CN"/>
        </w:rPr>
        <w:t>”</w:t>
      </w:r>
      <w:r>
        <w:rPr>
          <w:rFonts w:hint="eastAsia" w:ascii="宋体" w:hAnsi="宋体" w:eastAsia="宋体" w:cs="宋体"/>
          <w:color w:val="auto"/>
          <w:lang w:eastAsia="zh-CN"/>
        </w:rPr>
        <w:t>模式）。这一理论预判将在第四章通过实证分析加以检验。</w:t>
      </w:r>
    </w:p>
    <w:p w14:paraId="744257E6">
      <w:pPr>
        <w:numPr>
          <w:ilvl w:val="0"/>
          <w:numId w:val="6"/>
        </w:numPr>
        <w:adjustRightInd w:val="0"/>
        <w:snapToGrid w:val="0"/>
        <w:spacing w:line="240" w:lineRule="auto"/>
        <w:ind w:firstLine="480"/>
        <w:rPr>
          <w:rFonts w:hint="eastAsia" w:ascii="宋体" w:hAnsi="宋体" w:eastAsia="宋体" w:cs="宋体"/>
          <w:color w:val="auto"/>
          <w:lang w:eastAsia="zh-CN"/>
        </w:rPr>
      </w:pPr>
      <w:r>
        <w:rPr>
          <w:rFonts w:hint="eastAsia" w:ascii="宋体" w:hAnsi="宋体" w:eastAsia="宋体" w:cs="宋体"/>
          <w:color w:val="auto"/>
          <w:lang w:eastAsia="zh-CN"/>
        </w:rPr>
        <w:t>理论框架示意</w:t>
      </w:r>
    </w:p>
    <w:p w14:paraId="5103820A">
      <w:pPr>
        <w:pStyle w:val="12"/>
        <w:bidi w:val="0"/>
        <w:rPr>
          <w:rFonts w:hint="eastAsia" w:ascii="宋体" w:hAnsi="宋体" w:eastAsia="宋体" w:cs="宋体"/>
          <w:color w:val="auto"/>
          <w:lang w:eastAsia="zh-CN"/>
        </w:rPr>
      </w:pPr>
      <w:r>
        <w:t>图 2.1  基于双重干预的“价值创造—成本控制—激励相容”三维分析框架</w:t>
      </w:r>
    </w:p>
    <w:p w14:paraId="598CF973">
      <w:pPr>
        <w:adjustRightInd w:val="0"/>
        <w:snapToGrid w:val="0"/>
        <w:spacing w:line="240" w:lineRule="auto"/>
        <w:ind w:firstLine="480"/>
        <w:jc w:val="center"/>
        <w:rPr>
          <w:rFonts w:hint="eastAsia" w:ascii="宋体" w:hAnsi="宋体" w:eastAsia="宋体" w:cs="宋体"/>
          <w:color w:val="auto"/>
          <w:lang w:eastAsia="zh-CN"/>
        </w:rPr>
      </w:pPr>
      <w:r>
        <w:rPr>
          <w:rFonts w:hint="eastAsia" w:ascii="宋体" w:hAnsi="宋体" w:eastAsia="宋体" w:cs="宋体"/>
          <w:color w:val="auto"/>
          <w:lang w:eastAsia="zh-CN"/>
        </w:rPr>
        <w:drawing>
          <wp:inline distT="0" distB="0" distL="114300" distR="114300">
            <wp:extent cx="5682615" cy="4065905"/>
            <wp:effectExtent l="0" t="0" r="13335" b="10795"/>
            <wp:docPr id="3" name="图片 3" descr="图2-1_三维分析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2-1_三维分析框架"/>
                    <pic:cNvPicPr>
                      <a:picLocks noChangeAspect="1"/>
                    </pic:cNvPicPr>
                  </pic:nvPicPr>
                  <pic:blipFill>
                    <a:blip r:embed="rId21"/>
                    <a:stretch>
                      <a:fillRect/>
                    </a:stretch>
                  </pic:blipFill>
                  <pic:spPr>
                    <a:xfrm>
                      <a:off x="0" y="0"/>
                      <a:ext cx="5682615" cy="4065905"/>
                    </a:xfrm>
                    <a:prstGeom prst="rect">
                      <a:avLst/>
                    </a:prstGeom>
                  </pic:spPr>
                </pic:pic>
              </a:graphicData>
            </a:graphic>
          </wp:inline>
        </w:drawing>
      </w:r>
    </w:p>
    <w:p w14:paraId="6112A3ED">
      <w:pPr>
        <w:pStyle w:val="65"/>
        <w:bidi w:val="0"/>
        <w:rPr>
          <w:rFonts w:hint="eastAsia"/>
          <w:lang w:eastAsia="zh-CN"/>
        </w:rPr>
      </w:pPr>
      <w:r>
        <w:rPr>
          <w:rFonts w:hint="eastAsia"/>
          <w:lang w:eastAsia="zh-CN"/>
        </w:rPr>
        <w:t>数据来源：作者基于Porter（2006）、Kaplan（2011）、Hurwicz（1973）、Jensen（1976）理论构建</w:t>
      </w:r>
    </w:p>
    <w:p w14:paraId="71CB053E">
      <w:pPr>
        <w:adjustRightInd w:val="0"/>
        <w:snapToGrid w:val="0"/>
        <w:spacing w:line="400" w:lineRule="exact"/>
        <w:ind w:firstLine="480"/>
        <w:rPr>
          <w:rFonts w:hint="eastAsia" w:ascii="宋体" w:hAnsi="宋体" w:eastAsia="宋体" w:cs="宋体"/>
          <w:color w:val="auto"/>
        </w:rPr>
      </w:pPr>
      <w:r>
        <w:rPr>
          <w:rFonts w:ascii="宋体" w:hAnsi="宋体"/>
        </w:rPr>
        <w:t>图 2.1展示了本研究的理论分析框架。框架由两个层次构成：底层为“价值创造—成本控制—激励相容”三维分析维度，顶层为“外部医保收紧+内部管理转型”的双重干预叠加，两者通过ITS模型中的β₂（即时效应）和β₃（斜率变化效应）参数实现实证连接。三家代表性医院（H1/H2/H3）在框架中分别对应不同的响应类型，为后续章节的嵌入式多案例比较提供理论锚定。</w:t>
      </w:r>
    </w:p>
    <w:p w14:paraId="77DC8C76">
      <w:pPr>
        <w:pStyle w:val="3"/>
        <w:bidi w:val="0"/>
        <w:rPr>
          <w:rFonts w:hint="eastAsia"/>
        </w:rPr>
      </w:pPr>
      <w:bookmarkStart w:id="46" w:name="_Toc24066"/>
      <w:r>
        <w:rPr>
          <w:rFonts w:hint="eastAsia"/>
        </w:rPr>
        <w:t>本章小结</w:t>
      </w:r>
      <w:bookmarkEnd w:id="46"/>
    </w:p>
    <w:p w14:paraId="32AA3E8A">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本章系统梳理了本研究的三大理论基石及其内在逻辑。</w:t>
      </w:r>
    </w:p>
    <w:p w14:paraId="55D86127">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协同理论揭示了医疗服务与供应链协同的价值逻辑，同时警示了供应链利润可能掩盖临床效率低下的</w:t>
      </w:r>
      <w:r>
        <w:rPr>
          <w:rFonts w:hint="eastAsia" w:ascii="宋体" w:hAnsi="宋体" w:cs="宋体"/>
          <w:color w:val="auto"/>
          <w:lang w:eastAsia="zh-CN"/>
        </w:rPr>
        <w:t>“</w:t>
      </w:r>
      <w:r>
        <w:rPr>
          <w:rFonts w:hint="eastAsia" w:ascii="宋体" w:hAnsi="宋体" w:eastAsia="宋体" w:cs="宋体"/>
          <w:color w:val="auto"/>
        </w:rPr>
        <w:t>双刃剑</w:t>
      </w:r>
      <w:r>
        <w:rPr>
          <w:rFonts w:hint="eastAsia" w:ascii="宋体" w:hAnsi="宋体" w:cs="宋体"/>
          <w:color w:val="auto"/>
          <w:lang w:eastAsia="zh-CN"/>
        </w:rPr>
        <w:t>”</w:t>
      </w:r>
      <w:r>
        <w:rPr>
          <w:rFonts w:hint="eastAsia" w:ascii="宋体" w:hAnsi="宋体" w:eastAsia="宋体" w:cs="宋体"/>
          <w:color w:val="auto"/>
        </w:rPr>
        <w:t>风险——这一洞察为第三章的供应链分析和第五章的利益再平衡策略设计奠定了理论基础。</w:t>
      </w:r>
    </w:p>
    <w:p w14:paraId="5371362F">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价值医疗理论为理解DRG/DIP改革的内在逻辑和</w:t>
      </w:r>
      <w:r>
        <w:rPr>
          <w:rFonts w:hint="eastAsia" w:ascii="宋体" w:hAnsi="宋体" w:cs="宋体"/>
          <w:color w:val="auto"/>
          <w:lang w:eastAsia="zh-CN"/>
        </w:rPr>
        <w:t>“</w:t>
      </w:r>
      <w:r>
        <w:rPr>
          <w:rFonts w:hint="eastAsia" w:ascii="宋体" w:hAnsi="宋体" w:eastAsia="宋体" w:cs="宋体"/>
          <w:color w:val="auto"/>
        </w:rPr>
        <w:t>CMI陷阱</w:t>
      </w:r>
      <w:r>
        <w:rPr>
          <w:rFonts w:hint="eastAsia" w:ascii="宋体" w:hAnsi="宋体" w:cs="宋体"/>
          <w:color w:val="auto"/>
          <w:lang w:eastAsia="zh-CN"/>
        </w:rPr>
        <w:t>”</w:t>
      </w:r>
      <w:r>
        <w:rPr>
          <w:rFonts w:hint="eastAsia" w:ascii="宋体" w:hAnsi="宋体" w:eastAsia="宋体" w:cs="宋体"/>
          <w:color w:val="auto"/>
        </w:rPr>
        <w:t>现象提供了核心分析工具，本研究进一步提出CMI陷阱具有阶段性特征和动态可突破性——这一命题将在第四章以H3医院案例进行实证验证。</w:t>
      </w:r>
    </w:p>
    <w:p w14:paraId="6381BF65">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激励相容理论为绩效机制设计提供了方法论指导，明确了参与约束、激励约束和个人理性三项基本条件——这些条件将直接指导第五章和第六章的复合绩效体系设计。</w:t>
      </w:r>
    </w:p>
    <w:p w14:paraId="2F72341C">
      <w:pPr>
        <w:adjustRightInd w:val="0"/>
        <w:snapToGrid w:val="0"/>
        <w:spacing w:line="400" w:lineRule="exact"/>
        <w:ind w:firstLine="480"/>
        <w:rPr>
          <w:rFonts w:hint="eastAsia" w:ascii="宋体" w:hAnsi="宋体" w:eastAsia="宋体" w:cs="宋体"/>
          <w:color w:val="auto"/>
        </w:rPr>
      </w:pPr>
      <w:r>
        <w:rPr>
          <w:rFonts w:hint="eastAsia" w:ascii="宋体" w:hAnsi="宋体" w:eastAsia="宋体" w:cs="宋体"/>
          <w:color w:val="auto"/>
        </w:rPr>
        <w:t>在上述理论基础上，本研究构建了</w:t>
      </w:r>
      <w:r>
        <w:rPr>
          <w:rFonts w:hint="eastAsia" w:ascii="宋体" w:hAnsi="宋体" w:cs="宋体"/>
          <w:color w:val="auto"/>
          <w:lang w:eastAsia="zh-CN"/>
        </w:rPr>
        <w:t>“</w:t>
      </w:r>
      <w:r>
        <w:rPr>
          <w:rFonts w:hint="eastAsia" w:ascii="宋体" w:hAnsi="宋体" w:eastAsia="宋体" w:cs="宋体"/>
          <w:color w:val="auto"/>
        </w:rPr>
        <w:t>价值创造—成本控制—激励相容</w:t>
      </w:r>
      <w:r>
        <w:rPr>
          <w:rFonts w:hint="eastAsia" w:ascii="宋体" w:hAnsi="宋体" w:cs="宋体"/>
          <w:color w:val="auto"/>
          <w:lang w:eastAsia="zh-CN"/>
        </w:rPr>
        <w:t>”</w:t>
      </w:r>
      <w:r>
        <w:rPr>
          <w:rFonts w:hint="eastAsia" w:ascii="宋体" w:hAnsi="宋体" w:eastAsia="宋体" w:cs="宋体"/>
          <w:color w:val="auto"/>
        </w:rPr>
        <w:t>三维分析框架，并嵌入2024年</w:t>
      </w:r>
      <w:r>
        <w:rPr>
          <w:rFonts w:hint="eastAsia" w:ascii="宋体" w:hAnsi="宋体" w:cs="宋体"/>
          <w:color w:val="auto"/>
          <w:lang w:eastAsia="zh-CN"/>
        </w:rPr>
        <w:t>“</w:t>
      </w:r>
      <w:r>
        <w:rPr>
          <w:rFonts w:hint="eastAsia" w:ascii="宋体" w:hAnsi="宋体" w:eastAsia="宋体" w:cs="宋体"/>
          <w:color w:val="auto"/>
        </w:rPr>
        <w:t>双重干预叠加</w:t>
      </w:r>
      <w:r>
        <w:rPr>
          <w:rFonts w:hint="eastAsia" w:ascii="宋体" w:hAnsi="宋体" w:cs="宋体"/>
          <w:color w:val="auto"/>
          <w:lang w:eastAsia="zh-CN"/>
        </w:rPr>
        <w:t>”</w:t>
      </w:r>
      <w:r>
        <w:rPr>
          <w:rFonts w:hint="eastAsia" w:ascii="宋体" w:hAnsi="宋体" w:eastAsia="宋体" w:cs="宋体"/>
          <w:color w:val="auto"/>
        </w:rPr>
        <w:t>情境，形成了贯穿全文的理论主线。第三章将首先运用这一框架对</w:t>
      </w:r>
      <w:r>
        <w:rPr>
          <w:rFonts w:hint="eastAsia" w:ascii="宋体" w:hAnsi="宋体" w:cs="宋体"/>
          <w:color w:val="auto"/>
          <w:lang w:eastAsia="zh-CN"/>
        </w:rPr>
        <w:t>A医疗集团</w:t>
      </w:r>
      <w:r>
        <w:rPr>
          <w:rFonts w:hint="eastAsia" w:ascii="宋体" w:hAnsi="宋体" w:eastAsia="宋体" w:cs="宋体"/>
          <w:color w:val="auto"/>
        </w:rPr>
        <w:t>的财务现状和三家代表性医院进行诊断分析。</w:t>
      </w:r>
    </w:p>
    <w:bookmarkEnd w:id="31"/>
    <w:bookmarkEnd w:id="32"/>
    <w:p w14:paraId="2617CB91">
      <w:pPr>
        <w:pStyle w:val="2"/>
        <w:adjustRightInd w:val="0"/>
        <w:snapToGrid w:val="0"/>
        <w:spacing w:before="480" w:after="360" w:line="240" w:lineRule="auto"/>
        <w:rPr>
          <w:b w:val="0"/>
          <w:color w:val="auto"/>
          <w:sz w:val="32"/>
          <w:szCs w:val="32"/>
        </w:rPr>
      </w:pPr>
      <w:bookmarkStart w:id="47" w:name="_Toc24400"/>
      <w:r>
        <w:rPr>
          <w:rFonts w:hint="eastAsia" w:hAnsi="黑体"/>
          <w:b w:val="0"/>
          <w:color w:val="auto"/>
          <w:sz w:val="32"/>
          <w:szCs w:val="32"/>
        </w:rPr>
        <w:t>行业环境分析与</w:t>
      </w:r>
      <w:r>
        <w:rPr>
          <w:rFonts w:hint="eastAsia" w:hAnsi="黑体"/>
          <w:b w:val="0"/>
          <w:color w:val="auto"/>
          <w:sz w:val="32"/>
          <w:szCs w:val="32"/>
          <w:lang w:eastAsia="zh-CN"/>
        </w:rPr>
        <w:t>A医疗集团</w:t>
      </w:r>
      <w:r>
        <w:rPr>
          <w:rFonts w:hint="eastAsia" w:hAnsi="黑体"/>
          <w:b w:val="0"/>
          <w:color w:val="auto"/>
          <w:sz w:val="32"/>
          <w:szCs w:val="32"/>
        </w:rPr>
        <w:t>现状剖析</w:t>
      </w:r>
      <w:bookmarkEnd w:id="47"/>
    </w:p>
    <w:p w14:paraId="609268B1">
      <w:pPr>
        <w:keepNext/>
        <w:keepLines/>
        <w:numPr>
          <w:ilvl w:val="1"/>
          <w:numId w:val="1"/>
        </w:numPr>
        <w:bidi w:val="0"/>
        <w:spacing w:before="50" w:beforeLines="50"/>
        <w:ind w:left="575" w:leftChars="0" w:hanging="575" w:firstLineChars="0"/>
        <w:outlineLvl w:val="1"/>
        <w:rPr>
          <w:rFonts w:hint="eastAsia" w:ascii="Times New Roman" w:hAnsi="Times New Roman" w:eastAsia="黑体" w:cs="Times New Roman"/>
          <w:b/>
          <w:bCs/>
          <w:kern w:val="2"/>
          <w:sz w:val="30"/>
          <w:szCs w:val="32"/>
          <w:lang w:val="en-US" w:eastAsia="zh-CN" w:bidi="ar-SA"/>
        </w:rPr>
      </w:pPr>
      <w:bookmarkStart w:id="48" w:name="_Toc4448"/>
      <w:r>
        <w:rPr>
          <w:rFonts w:hint="eastAsia" w:ascii="Times New Roman" w:hAnsi="Times New Roman" w:eastAsia="黑体" w:cs="Times New Roman"/>
          <w:b/>
          <w:bCs/>
          <w:kern w:val="2"/>
          <w:sz w:val="30"/>
          <w:szCs w:val="32"/>
          <w:lang w:val="en-US" w:eastAsia="zh-CN" w:bidi="ar-SA"/>
        </w:rPr>
        <w:t>DRG/DIP改革的宏观背景与行业冲击</w:t>
      </w:r>
      <w:bookmarkEnd w:id="48"/>
    </w:p>
    <w:p w14:paraId="200913EB">
      <w:pPr>
        <w:pStyle w:val="4"/>
        <w:bidi w:val="0"/>
        <w:rPr>
          <w:rFonts w:hint="eastAsia"/>
        </w:rPr>
      </w:pPr>
      <w:bookmarkStart w:id="49" w:name="_Toc4660"/>
      <w:r>
        <w:rPr>
          <w:rFonts w:hint="eastAsia"/>
        </w:rPr>
        <w:t>医保基金收支压力凸显</w:t>
      </w:r>
      <w:bookmarkEnd w:id="49"/>
    </w:p>
    <w:p w14:paraId="5756EE58">
      <w:pPr>
        <w:rPr>
          <w:rFonts w:hint="eastAsia"/>
        </w:rPr>
      </w:pPr>
    </w:p>
    <w:p w14:paraId="5A5AD6D1">
      <w:pPr>
        <w:rPr>
          <w:rFonts w:hint="eastAsia"/>
          <w:b/>
          <w:bCs/>
        </w:rPr>
      </w:pPr>
      <w:r>
        <w:rPr>
          <w:rFonts w:hint="eastAsia"/>
          <w:b/>
          <w:bCs/>
        </w:rPr>
        <w:t>一、人口老龄化加速医保支出增长</w:t>
      </w:r>
    </w:p>
    <w:p w14:paraId="688AA2DD">
      <w:pPr>
        <w:rPr>
          <w:rFonts w:hint="eastAsia"/>
        </w:rPr>
      </w:pPr>
      <w:r>
        <w:rPr>
          <w:rFonts w:hint="eastAsia"/>
        </w:rPr>
        <w:t>中国正在经历快速的人口老龄化进程。根据国家卫生健康委员会发布的《2023年我国卫生健康事业发展统计公报》</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31</w:t>
      </w:r>
      <w:r>
        <w:rPr>
          <w:rFonts w:hint="default" w:ascii="Times New Roman" w:hAnsi="Times New Roman" w:eastAsia="宋体" w:cs="Times New Roman"/>
          <w:kern w:val="2"/>
          <w:sz w:val="24"/>
          <w:szCs w:val="24"/>
          <w:vertAlign w:val="superscript"/>
        </w:rPr>
        <w:t>]</w:t>
      </w:r>
      <w:r>
        <w:rPr>
          <w:rFonts w:hint="eastAsia"/>
        </w:rPr>
        <w:t>，2023年中国65岁及以上人口占总人口比例达到14.9%，标志着我国正式进入中度老龄化社会。老龄人口医疗需求显著高于年轻人口，人均医疗费用约为后者的3-5倍。这一人口结构变化直接推动医保基金支出快速增长。</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23</w:t>
      </w:r>
      <w:r>
        <w:rPr>
          <w:rFonts w:hint="default" w:ascii="Times New Roman" w:hAnsi="Times New Roman" w:eastAsia="宋体" w:cs="Times New Roman"/>
          <w:kern w:val="2"/>
          <w:sz w:val="24"/>
          <w:szCs w:val="24"/>
          <w:vertAlign w:val="superscript"/>
        </w:rPr>
        <w:t>]</w:t>
      </w:r>
    </w:p>
    <w:p w14:paraId="30B8937F">
      <w:pPr>
        <w:rPr>
          <w:rFonts w:hint="eastAsia"/>
        </w:rPr>
      </w:pPr>
      <w:r>
        <w:rPr>
          <w:rFonts w:hint="eastAsia"/>
        </w:rPr>
        <w:t>国家医疗保障局数据显示，全国基本医疗保险基金支出从2018年的1.76万亿元增长至2023年的2.89万亿元，年均增速达10.5%，显著超过同期GDP增速（约5.2%）和医保基金收入增速（约8.2%）</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41</w:t>
      </w:r>
      <w:r>
        <w:rPr>
          <w:rFonts w:hint="default" w:ascii="Times New Roman" w:hAnsi="Times New Roman" w:eastAsia="宋体" w:cs="Times New Roman"/>
          <w:kern w:val="2"/>
          <w:sz w:val="24"/>
          <w:szCs w:val="24"/>
          <w:vertAlign w:val="superscript"/>
        </w:rPr>
        <w:t>]</w:t>
      </w:r>
      <w:r>
        <w:rPr>
          <w:rFonts w:hint="eastAsia"/>
        </w:rPr>
        <w:t>。这一</w:t>
      </w:r>
      <w:r>
        <w:rPr>
          <w:rFonts w:hint="eastAsia"/>
          <w:lang w:eastAsia="zh-CN"/>
        </w:rPr>
        <w:t>“</w:t>
      </w:r>
      <w:r>
        <w:rPr>
          <w:rFonts w:hint="eastAsia"/>
        </w:rPr>
        <w:t>剪刀差</w:t>
      </w:r>
      <w:r>
        <w:rPr>
          <w:rFonts w:hint="eastAsia"/>
          <w:lang w:eastAsia="zh-CN"/>
        </w:rPr>
        <w:t>”</w:t>
      </w:r>
      <w:r>
        <w:rPr>
          <w:rFonts w:hint="eastAsia"/>
        </w:rPr>
        <w:t>意味着医保基金收支平衡面临长期结构性压力。</w:t>
      </w:r>
    </w:p>
    <w:p w14:paraId="6FBE046E">
      <w:pPr>
        <w:rPr>
          <w:rFonts w:hint="eastAsia"/>
          <w:b/>
          <w:bCs/>
        </w:rPr>
      </w:pPr>
      <w:r>
        <w:rPr>
          <w:rFonts w:hint="eastAsia"/>
          <w:b/>
          <w:bCs/>
        </w:rPr>
        <w:t>二、疫情冲击加剧基金失衡</w:t>
      </w:r>
    </w:p>
    <w:p w14:paraId="20DED6F1">
      <w:pPr>
        <w:rPr>
          <w:rFonts w:hint="eastAsia"/>
        </w:rPr>
      </w:pPr>
      <w:r>
        <w:rPr>
          <w:rFonts w:hint="eastAsia"/>
        </w:rPr>
        <w:t>2020</w:t>
      </w:r>
      <w:r>
        <w:rPr>
          <w:rFonts w:hint="eastAsia"/>
          <w:lang w:eastAsia="zh-CN"/>
        </w:rPr>
        <w:t>—2022年</w:t>
      </w:r>
      <w:r>
        <w:rPr>
          <w:rFonts w:hint="eastAsia"/>
        </w:rPr>
        <w:t>新冠疫情期间，各地医保基金为支持抗疫实施了一系列宽松政策：医保定点医疗机构扩容，审核标准适度放宽；新冠患者治疗费用实行全额医保报销；部分地区延迟清算审核时间以减轻医院资金压力</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3</w:t>
      </w:r>
      <w:r>
        <w:rPr>
          <w:rFonts w:hint="default" w:ascii="Times New Roman" w:hAnsi="Times New Roman" w:eastAsia="宋体" w:cs="Times New Roman"/>
          <w:kern w:val="2"/>
          <w:sz w:val="24"/>
          <w:szCs w:val="24"/>
          <w:vertAlign w:val="superscript"/>
        </w:rPr>
        <w:t>]</w:t>
      </w:r>
      <w:r>
        <w:rPr>
          <w:rFonts w:hint="eastAsia"/>
        </w:rPr>
        <w:t>。这些措施虽然在特殊时期发挥了积极作用，但也客观上造成医保基金支出的超常规增长。</w:t>
      </w:r>
    </w:p>
    <w:p w14:paraId="44C91A9E">
      <w:pPr>
        <w:rPr>
          <w:rFonts w:hint="eastAsia"/>
        </w:rPr>
      </w:pPr>
      <w:r>
        <w:rPr>
          <w:rFonts w:hint="eastAsia"/>
        </w:rPr>
        <w:t>疫情防控政策调整后（2023年起），医保基金面临</w:t>
      </w:r>
      <w:r>
        <w:rPr>
          <w:rFonts w:hint="eastAsia"/>
          <w:lang w:eastAsia="zh-CN"/>
        </w:rPr>
        <w:t>“</w:t>
      </w:r>
      <w:r>
        <w:rPr>
          <w:rFonts w:hint="eastAsia"/>
        </w:rPr>
        <w:t>后疫情时代</w:t>
      </w:r>
      <w:r>
        <w:rPr>
          <w:rFonts w:hint="eastAsia"/>
          <w:lang w:eastAsia="zh-CN"/>
        </w:rPr>
        <w:t>”</w:t>
      </w:r>
      <w:r>
        <w:rPr>
          <w:rFonts w:hint="eastAsia"/>
        </w:rPr>
        <w:t>的严峻挑战。根据国家医保局《2023年医疗保障事业发展统计</w:t>
      </w:r>
      <w:r>
        <w:rPr>
          <w:rFonts w:hint="eastAsia"/>
          <w:lang w:val="en-US" w:eastAsia="zh-CN"/>
        </w:rPr>
        <w:t>公</w:t>
      </w:r>
      <w:r>
        <w:rPr>
          <w:rFonts w:hint="eastAsia"/>
        </w:rPr>
        <w:t>报》</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42</w:t>
      </w:r>
      <w:r>
        <w:rPr>
          <w:rFonts w:hint="default" w:ascii="Times New Roman" w:hAnsi="Times New Roman" w:eastAsia="宋体" w:cs="Times New Roman"/>
          <w:kern w:val="2"/>
          <w:sz w:val="24"/>
          <w:szCs w:val="24"/>
          <w:vertAlign w:val="superscript"/>
        </w:rPr>
        <w:t>]</w:t>
      </w:r>
      <w:r>
        <w:rPr>
          <w:rFonts w:hint="eastAsia"/>
        </w:rPr>
        <w:t>，医保基金当期结余率从2019年的15.3%骤降至2023年的8.7%，部分统筹区甚至出现当年赤字。医保基金</w:t>
      </w:r>
      <w:r>
        <w:rPr>
          <w:rFonts w:hint="eastAsia"/>
          <w:lang w:eastAsia="zh-CN"/>
        </w:rPr>
        <w:t>“</w:t>
      </w:r>
      <w:r>
        <w:rPr>
          <w:rFonts w:hint="eastAsia"/>
        </w:rPr>
        <w:t>蓄水池</w:t>
      </w:r>
      <w:r>
        <w:rPr>
          <w:rFonts w:hint="eastAsia"/>
          <w:lang w:eastAsia="zh-CN"/>
        </w:rPr>
        <w:t>”</w:t>
      </w:r>
      <w:r>
        <w:rPr>
          <w:rFonts w:hint="eastAsia"/>
        </w:rPr>
        <w:t>功能减弱，倒逼支付方式改革加速推进。</w:t>
      </w:r>
    </w:p>
    <w:p w14:paraId="6BA24E2E">
      <w:pPr>
        <w:rPr>
          <w:rFonts w:hint="eastAsia"/>
          <w:b/>
          <w:bCs/>
        </w:rPr>
      </w:pPr>
      <w:r>
        <w:rPr>
          <w:rFonts w:hint="eastAsia"/>
          <w:b/>
          <w:bCs/>
        </w:rPr>
        <w:t>三、改革倒逼：从按项目付费到按价值付费</w:t>
      </w:r>
    </w:p>
    <w:p w14:paraId="46820916">
      <w:pPr>
        <w:rPr>
          <w:rFonts w:hint="eastAsia"/>
        </w:rPr>
      </w:pPr>
      <w:r>
        <w:rPr>
          <w:rFonts w:hint="eastAsia"/>
          <w:lang w:eastAsia="zh-CN"/>
        </w:rPr>
        <w:t>传统</w:t>
      </w:r>
      <w:r>
        <w:rPr>
          <w:rFonts w:hint="eastAsia"/>
        </w:rPr>
        <w:t>按项目付费（Fee-For-Service, FFS）模式下，医疗机构收入与服务项目数量直接挂钩，存在内生性的过度医疗激励</w:t>
      </w:r>
      <w:r>
        <w:rPr>
          <w:rStyle w:val="51"/>
          <w:rFonts w:hint="eastAsia"/>
          <w:lang w:val="en-US" w:eastAsia="zh-CN"/>
        </w:rPr>
        <w:t>[1]</w:t>
      </w:r>
      <w:r>
        <w:rPr>
          <w:rFonts w:hint="eastAsia"/>
        </w:rPr>
        <w:t>。医院有动力</w:t>
      </w:r>
      <w:r>
        <w:rPr>
          <w:rFonts w:hint="eastAsia"/>
          <w:lang w:eastAsia="zh-CN"/>
        </w:rPr>
        <w:t>“</w:t>
      </w:r>
      <w:r>
        <w:rPr>
          <w:rFonts w:hint="eastAsia"/>
        </w:rPr>
        <w:t>多做多得</w:t>
      </w:r>
      <w:r>
        <w:rPr>
          <w:rFonts w:hint="eastAsia"/>
          <w:lang w:eastAsia="zh-CN"/>
        </w:rPr>
        <w:t>”</w:t>
      </w:r>
      <w:r>
        <w:rPr>
          <w:rFonts w:hint="eastAsia"/>
        </w:rPr>
        <w:t>，推高药品耗材使用量。2022年全国药品耗材费用占医疗总费用比例仍达42%，远超OECD国家平均水平（基于可比口径约25%）</w:t>
      </w:r>
      <w:r>
        <w:rPr>
          <w:rFonts w:hint="eastAsia"/>
          <w:lang w:eastAsia="zh-CN"/>
        </w:rPr>
        <w:t>（</w:t>
      </w:r>
      <w:r>
        <w:rPr>
          <w:rFonts w:hint="eastAsia"/>
        </w:rPr>
        <w:t>OECD, 2023, Health at a Glance</w:t>
      </w:r>
      <w:r>
        <w:rPr>
          <w:rFonts w:hint="eastAsia"/>
          <w:lang w:eastAsia="zh-CN"/>
        </w:rPr>
        <w:t>）</w:t>
      </w:r>
      <w:r>
        <w:rPr>
          <w:rFonts w:hint="eastAsia"/>
        </w:rPr>
        <w:t>。这种支付方式导致医保基金支出增速（10.5%）持续超过收入增速（8.2%），形成不可持续的财务缺口。</w:t>
      </w:r>
    </w:p>
    <w:p w14:paraId="59685028">
      <w:pPr>
        <w:rPr>
          <w:rFonts w:hint="eastAsia"/>
        </w:rPr>
      </w:pPr>
      <w:r>
        <w:rPr>
          <w:rFonts w:hint="eastAsia"/>
        </w:rPr>
        <w:t>为破解这一困局，国家医保局大力推进DRG/DIP支付方式改革。2024年成为DRG/DIP改革全面落地元年。国家医保局《关于DRG/DIP支付方式改革三年行动计划的通知》</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9</w:t>
      </w:r>
      <w:r>
        <w:rPr>
          <w:rFonts w:hint="default" w:ascii="Times New Roman" w:hAnsi="Times New Roman" w:eastAsia="宋体" w:cs="Times New Roman"/>
          <w:kern w:val="2"/>
          <w:sz w:val="24"/>
          <w:szCs w:val="24"/>
          <w:vertAlign w:val="superscript"/>
        </w:rPr>
        <w:t>]</w:t>
      </w:r>
      <w:r>
        <w:rPr>
          <w:rFonts w:hint="eastAsia"/>
        </w:rPr>
        <w:t>明确要求：2024年底前所有统筹区全部实施DRG或DIP支付方式；2025年DRG/DIP支付覆盖的医保基金占比达到70%以上。这标志着中国医保支付从</w:t>
      </w:r>
      <w:r>
        <w:rPr>
          <w:rFonts w:hint="eastAsia"/>
          <w:lang w:eastAsia="zh-CN"/>
        </w:rPr>
        <w:t>“</w:t>
      </w:r>
      <w:r>
        <w:rPr>
          <w:rFonts w:hint="eastAsia"/>
        </w:rPr>
        <w:t>按项目付费</w:t>
      </w:r>
      <w:r>
        <w:rPr>
          <w:rFonts w:hint="eastAsia"/>
          <w:lang w:eastAsia="zh-CN"/>
        </w:rPr>
        <w:t>”</w:t>
      </w:r>
      <w:r>
        <w:rPr>
          <w:rFonts w:hint="eastAsia"/>
        </w:rPr>
        <w:t>向</w:t>
      </w:r>
      <w:r>
        <w:rPr>
          <w:rFonts w:hint="eastAsia"/>
          <w:lang w:eastAsia="zh-CN"/>
        </w:rPr>
        <w:t>“</w:t>
      </w:r>
      <w:r>
        <w:rPr>
          <w:rFonts w:hint="eastAsia"/>
        </w:rPr>
        <w:t>按价值付费</w:t>
      </w:r>
      <w:r>
        <w:rPr>
          <w:rFonts w:hint="eastAsia"/>
          <w:lang w:eastAsia="zh-CN"/>
        </w:rPr>
        <w:t>”</w:t>
      </w:r>
      <w:r>
        <w:rPr>
          <w:rFonts w:hint="eastAsia"/>
        </w:rPr>
        <w:t>的历史性转变</w:t>
      </w:r>
      <w:r>
        <w:rPr>
          <w:rStyle w:val="51"/>
          <w:rFonts w:hint="default"/>
        </w:rPr>
        <w:t>[10]</w:t>
      </w:r>
      <w:r>
        <w:rPr>
          <w:rFonts w:hint="eastAsia"/>
        </w:rPr>
        <w:t>。</w:t>
      </w:r>
    </w:p>
    <w:p w14:paraId="381633BE">
      <w:pPr>
        <w:pStyle w:val="4"/>
        <w:bidi w:val="0"/>
        <w:rPr>
          <w:rFonts w:hint="eastAsia"/>
        </w:rPr>
      </w:pPr>
      <w:bookmarkStart w:id="50" w:name="_Toc24542"/>
      <w:r>
        <w:rPr>
          <w:rFonts w:hint="eastAsia"/>
        </w:rPr>
        <w:t>非公医疗集团面临的系统性困境</w:t>
      </w:r>
      <w:bookmarkEnd w:id="50"/>
    </w:p>
    <w:p w14:paraId="47048CBA">
      <w:pPr>
        <w:rPr>
          <w:rFonts w:hint="eastAsia"/>
        </w:rPr>
      </w:pPr>
      <w:r>
        <w:rPr>
          <w:rFonts w:hint="eastAsia"/>
        </w:rPr>
        <w:t>一、收入来源结构性风险</w:t>
      </w:r>
    </w:p>
    <w:p w14:paraId="1BFEE6AF">
      <w:pPr>
        <w:rPr>
          <w:rFonts w:hint="eastAsia"/>
        </w:rPr>
      </w:pPr>
      <w:r>
        <w:rPr>
          <w:rFonts w:hint="eastAsia"/>
        </w:rPr>
        <w:t>非公医疗集团收入高度依赖医保基金。以</w:t>
      </w:r>
      <w:r>
        <w:rPr>
          <w:rFonts w:hint="eastAsia"/>
          <w:lang w:eastAsia="zh-CN"/>
        </w:rPr>
        <w:t>A医疗集团</w:t>
      </w:r>
      <w:r>
        <w:rPr>
          <w:rFonts w:hint="eastAsia"/>
        </w:rPr>
        <w:t>为例，2023年医保结算收入占总医疗收入比例达78%，自费收入仅占22%。这一收入结构在行业内具有普遍性。根据中国非公立医疗机构协会《2024年非公医疗行业发展报告》</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rPr>
        <w:t>，上市医疗集团医保收入占比普遍在</w:t>
      </w:r>
      <w:r>
        <w:rPr>
          <w:rFonts w:hint="eastAsia"/>
          <w:lang w:eastAsia="zh-CN"/>
        </w:rPr>
        <w:t>70%—85%</w:t>
      </w:r>
      <w:r>
        <w:rPr>
          <w:rFonts w:hint="eastAsia"/>
        </w:rPr>
        <w:t>之间。</w:t>
      </w:r>
    </w:p>
    <w:p w14:paraId="6CD12B97">
      <w:pPr>
        <w:rPr>
          <w:rFonts w:hint="eastAsia"/>
        </w:rPr>
      </w:pPr>
      <w:r>
        <w:rPr>
          <w:rFonts w:hint="eastAsia"/>
        </w:rPr>
        <w:t>高医保依赖度意味着支付政策变化将对医疗集团财务产生决定性影响。当DRG/DIP支付将单病例收入</w:t>
      </w:r>
      <w:r>
        <w:rPr>
          <w:rFonts w:hint="eastAsia"/>
          <w:lang w:eastAsia="zh-CN"/>
        </w:rPr>
        <w:t>“</w:t>
      </w:r>
      <w:r>
        <w:rPr>
          <w:rFonts w:hint="eastAsia"/>
        </w:rPr>
        <w:t>封顶</w:t>
      </w:r>
      <w:r>
        <w:rPr>
          <w:rFonts w:hint="eastAsia"/>
          <w:lang w:eastAsia="zh-CN"/>
        </w:rPr>
        <w:t>”</w:t>
      </w:r>
      <w:r>
        <w:rPr>
          <w:rFonts w:hint="eastAsia"/>
        </w:rPr>
        <w:t>后，医疗集团传统的</w:t>
      </w:r>
      <w:r>
        <w:rPr>
          <w:rFonts w:hint="eastAsia"/>
          <w:lang w:eastAsia="zh-CN"/>
        </w:rPr>
        <w:t>“</w:t>
      </w:r>
      <w:r>
        <w:rPr>
          <w:rFonts w:hint="eastAsia"/>
        </w:rPr>
        <w:t>以量补价</w:t>
      </w:r>
      <w:r>
        <w:rPr>
          <w:rFonts w:hint="eastAsia"/>
          <w:lang w:eastAsia="zh-CN"/>
        </w:rPr>
        <w:t>”</w:t>
      </w:r>
      <w:r>
        <w:rPr>
          <w:rFonts w:hint="eastAsia"/>
        </w:rPr>
        <w:t>模式失效</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6</w:t>
      </w:r>
      <w:r>
        <w:rPr>
          <w:rFonts w:hint="default" w:ascii="Times New Roman" w:hAnsi="Times New Roman" w:eastAsia="宋体" w:cs="Times New Roman"/>
          <w:kern w:val="2"/>
          <w:sz w:val="24"/>
          <w:szCs w:val="24"/>
          <w:vertAlign w:val="superscript"/>
        </w:rPr>
        <w:t>]</w:t>
      </w:r>
      <w:r>
        <w:rPr>
          <w:rFonts w:hint="eastAsia"/>
        </w:rPr>
        <w:t>，而自费医疗市场增长乏力（2022</w:t>
      </w:r>
      <w:r>
        <w:rPr>
          <w:rFonts w:hint="eastAsia"/>
          <w:lang w:eastAsia="zh-CN"/>
        </w:rPr>
        <w:t>—</w:t>
      </w:r>
      <w:r>
        <w:rPr>
          <w:rFonts w:hint="eastAsia"/>
        </w:rPr>
        <w:t>2024年年均增速仅约3%），难以对冲医保收入下降。这种收入来源单一化构成系统性风险。</w:t>
      </w:r>
    </w:p>
    <w:p w14:paraId="00B40BEB">
      <w:pPr>
        <w:rPr>
          <w:rFonts w:hint="eastAsia"/>
        </w:rPr>
      </w:pPr>
      <w:r>
        <w:rPr>
          <w:rFonts w:hint="eastAsia"/>
        </w:rPr>
        <w:t>二、</w:t>
      </w:r>
      <w:r>
        <w:rPr>
          <w:rFonts w:hint="eastAsia"/>
          <w:lang w:eastAsia="zh-CN"/>
        </w:rPr>
        <w:t>“</w:t>
      </w:r>
      <w:r>
        <w:rPr>
          <w:rFonts w:hint="eastAsia"/>
        </w:rPr>
        <w:t>增收不增利</w:t>
      </w:r>
      <w:r>
        <w:rPr>
          <w:rFonts w:hint="eastAsia"/>
          <w:lang w:eastAsia="zh-CN"/>
        </w:rPr>
        <w:t>”</w:t>
      </w:r>
      <w:r>
        <w:rPr>
          <w:rFonts w:hint="eastAsia"/>
        </w:rPr>
        <w:t>困局普遍化</w:t>
      </w:r>
    </w:p>
    <w:p w14:paraId="17C5BF74">
      <w:pPr>
        <w:rPr>
          <w:rFonts w:hint="eastAsia"/>
        </w:rPr>
      </w:pPr>
      <w:r>
        <w:rPr>
          <w:rFonts w:hint="eastAsia"/>
        </w:rPr>
        <w:t>以</w:t>
      </w:r>
      <w:r>
        <w:rPr>
          <w:rFonts w:hint="eastAsia"/>
          <w:lang w:eastAsia="zh-CN"/>
        </w:rPr>
        <w:t>A医疗集团</w:t>
      </w:r>
      <w:r>
        <w:rPr>
          <w:rFonts w:hint="eastAsia"/>
        </w:rPr>
        <w:t>为代表的非公医疗公司2022</w:t>
      </w:r>
      <w:r>
        <w:rPr>
          <w:rFonts w:hint="eastAsia"/>
          <w:lang w:eastAsia="zh-CN"/>
        </w:rPr>
        <w:t>—</w:t>
      </w:r>
      <w:r>
        <w:rPr>
          <w:rFonts w:hint="eastAsia"/>
        </w:rPr>
        <w:t>2024年财务数据呈现典型的</w:t>
      </w:r>
      <w:r>
        <w:rPr>
          <w:rFonts w:hint="eastAsia"/>
          <w:lang w:eastAsia="zh-CN"/>
        </w:rPr>
        <w:t>“</w:t>
      </w:r>
      <w:r>
        <w:rPr>
          <w:rFonts w:hint="eastAsia"/>
        </w:rPr>
        <w:t>增收不增利</w:t>
      </w:r>
      <w:r>
        <w:rPr>
          <w:rFonts w:hint="eastAsia"/>
          <w:lang w:eastAsia="zh-CN"/>
        </w:rPr>
        <w:t>”</w:t>
      </w:r>
      <w:r>
        <w:rPr>
          <w:rFonts w:hint="eastAsia"/>
        </w:rPr>
        <w:t>特征。根据中国非公立医疗机构协会《2024年非公医疗行业发展报告》</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rPr>
        <w:t>，上市医疗集团营业收入保持增长态势，2022</w:t>
      </w:r>
      <w:r>
        <w:rPr>
          <w:rFonts w:hint="eastAsia"/>
          <w:lang w:eastAsia="zh-CN"/>
        </w:rPr>
        <w:t>—</w:t>
      </w:r>
      <w:r>
        <w:rPr>
          <w:rFonts w:hint="eastAsia"/>
        </w:rPr>
        <w:t>2024年平均增幅约</w:t>
      </w:r>
      <w:r>
        <w:rPr>
          <w:rFonts w:hint="eastAsia"/>
          <w:lang w:eastAsia="zh-CN"/>
        </w:rPr>
        <w:t>15%—20%</w:t>
      </w:r>
      <w:r>
        <w:rPr>
          <w:rFonts w:hint="eastAsia"/>
        </w:rPr>
        <w:t>，但归属母公司股东净利润普遍下降</w:t>
      </w:r>
      <w:r>
        <w:rPr>
          <w:rFonts w:hint="eastAsia"/>
          <w:lang w:eastAsia="zh-CN"/>
        </w:rPr>
        <w:t>10%—25%</w:t>
      </w:r>
      <w:r>
        <w:rPr>
          <w:rFonts w:hint="eastAsia"/>
        </w:rPr>
        <w:t>，经营活动现金流下降</w:t>
      </w:r>
      <w:r>
        <w:rPr>
          <w:rFonts w:hint="eastAsia"/>
          <w:lang w:eastAsia="zh-CN"/>
        </w:rPr>
        <w:t>20%—30%</w:t>
      </w:r>
      <w:r>
        <w:rPr>
          <w:rFonts w:hint="eastAsia"/>
        </w:rPr>
        <w:t>。</w:t>
      </w:r>
    </w:p>
    <w:p w14:paraId="6C0A2E39">
      <w:pPr>
        <w:rPr>
          <w:rFonts w:hint="eastAsia"/>
        </w:rPr>
      </w:pPr>
      <w:r>
        <w:rPr>
          <w:rFonts w:hint="eastAsia"/>
          <w:lang w:eastAsia="zh-CN"/>
        </w:rPr>
        <w:t>“</w:t>
      </w:r>
      <w:r>
        <w:rPr>
          <w:rFonts w:hint="eastAsia"/>
        </w:rPr>
        <w:t>增收不增利</w:t>
      </w:r>
      <w:r>
        <w:rPr>
          <w:rFonts w:hint="eastAsia"/>
          <w:lang w:eastAsia="zh-CN"/>
        </w:rPr>
        <w:t>”</w:t>
      </w:r>
      <w:r>
        <w:rPr>
          <w:rFonts w:hint="eastAsia"/>
        </w:rPr>
        <w:t>背后存在深层结构性矛盾。收入端，DRG/DIP支付</w:t>
      </w:r>
      <w:r>
        <w:rPr>
          <w:rFonts w:hint="eastAsia"/>
          <w:lang w:eastAsia="zh-CN"/>
        </w:rPr>
        <w:t>“</w:t>
      </w:r>
      <w:r>
        <w:rPr>
          <w:rFonts w:hint="eastAsia"/>
        </w:rPr>
        <w:t>封顶</w:t>
      </w:r>
      <w:r>
        <w:rPr>
          <w:rFonts w:hint="eastAsia"/>
          <w:lang w:eastAsia="zh-CN"/>
        </w:rPr>
        <w:t>”</w:t>
      </w:r>
      <w:r>
        <w:rPr>
          <w:rFonts w:hint="eastAsia"/>
        </w:rPr>
        <w:t>机制使边际收入递减，医院增收空间受限。成本端，人力成本刚性上涨（年均约8%）</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4</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44</w:t>
      </w:r>
      <w:r>
        <w:rPr>
          <w:rFonts w:hint="default" w:ascii="Times New Roman" w:hAnsi="Times New Roman" w:eastAsia="宋体" w:cs="Times New Roman"/>
          <w:kern w:val="2"/>
          <w:sz w:val="24"/>
          <w:szCs w:val="24"/>
          <w:vertAlign w:val="superscript"/>
        </w:rPr>
        <w:t>]</w:t>
      </w:r>
      <w:r>
        <w:rPr>
          <w:rFonts w:hint="eastAsia"/>
        </w:rPr>
        <w:t>，药品耗材采购成本虽有下降但难以完全对冲人力成本上升。现金流端，医保清算账期从疫情前的平均45天延长至2024年的60</w:t>
      </w:r>
      <w:r>
        <w:rPr>
          <w:rFonts w:hint="eastAsia"/>
          <w:lang w:eastAsia="zh-CN"/>
        </w:rPr>
        <w:t>—</w:t>
      </w:r>
      <w:r>
        <w:rPr>
          <w:rFonts w:hint="eastAsia"/>
        </w:rPr>
        <w:t>120天（因地区而异</w:t>
      </w:r>
      <w:r>
        <w:rPr>
          <w:rFonts w:hint="eastAsia"/>
          <w:lang w:eastAsia="zh-CN"/>
        </w:rPr>
        <w:t>，</w:t>
      </w:r>
      <w:r>
        <w:rPr>
          <w:rFonts w:hint="eastAsia"/>
        </w:rPr>
        <w:t>本研究涉及的三家医院平均约60</w:t>
      </w:r>
      <w:r>
        <w:rPr>
          <w:rFonts w:hint="eastAsia"/>
          <w:lang w:eastAsia="zh-CN"/>
        </w:rPr>
        <w:t>—</w:t>
      </w:r>
      <w:r>
        <w:rPr>
          <w:rFonts w:hint="eastAsia"/>
        </w:rPr>
        <w:t>90天），占用医院大量流动资金</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rPr>
        <w:t>。三重挤压导致医疗集团盈利能力和现金创造能力双重下降。</w:t>
      </w:r>
    </w:p>
    <w:p w14:paraId="742E94F3">
      <w:pPr>
        <w:rPr>
          <w:rFonts w:hint="eastAsia"/>
        </w:rPr>
      </w:pPr>
      <w:r>
        <w:rPr>
          <w:rFonts w:hint="eastAsia"/>
        </w:rPr>
        <w:t>三</w:t>
      </w:r>
      <w:r>
        <w:rPr>
          <w:rFonts w:hint="eastAsia"/>
          <w:lang w:eastAsia="zh-CN"/>
        </w:rPr>
        <w:t>、</w:t>
      </w:r>
      <w:r>
        <w:rPr>
          <w:rFonts w:hint="eastAsia"/>
        </w:rPr>
        <w:t>医疗服务板块在资本市场的估值水平持续下行。Wind数据显示，医疗服务板块平均市盈率（PE-TTM）从2021年峰值的35倍下降至2024年末的18倍</w:t>
      </w:r>
      <w:r>
        <w:rPr>
          <w:rFonts w:hint="default" w:ascii="Times New Roman" w:hAnsi="Times New Roman" w:eastAsia="宋体" w:cs="Times New Roman"/>
          <w:kern w:val="2"/>
          <w:sz w:val="24"/>
          <w:szCs w:val="24"/>
          <w:vertAlign w:val="superscript"/>
        </w:rPr>
        <w:t>[4</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，跌幅接近50%。同期，消费医疗板块（口腔、眼科等）市盈率维持在25倍左右</w:t>
      </w:r>
      <w:r>
        <w:rPr>
          <w:rFonts w:hint="default" w:ascii="Times New Roman" w:hAnsi="Times New Roman" w:eastAsia="宋体" w:cs="Times New Roman"/>
          <w:kern w:val="2"/>
          <w:sz w:val="24"/>
          <w:szCs w:val="24"/>
          <w:vertAlign w:val="superscript"/>
        </w:rPr>
        <w:t>[4</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，分化明显。</w:t>
      </w:r>
    </w:p>
    <w:p w14:paraId="0351E236">
      <w:pPr>
        <w:rPr>
          <w:rFonts w:hint="eastAsia"/>
        </w:rPr>
      </w:pPr>
      <w:r>
        <w:rPr>
          <w:rFonts w:hint="eastAsia"/>
        </w:rPr>
        <w:t>市场对医疗服务板块的担忧主要集中于三个方面：第一，医保政策不确定性，DRG/DIP分组方案和点值标准存在调整风险；第二，盈利能力下滑趋势，</w:t>
      </w:r>
      <w:r>
        <w:rPr>
          <w:rFonts w:hint="eastAsia"/>
          <w:lang w:eastAsia="zh-CN"/>
        </w:rPr>
        <w:t>“</w:t>
      </w:r>
      <w:r>
        <w:rPr>
          <w:rFonts w:hint="eastAsia"/>
        </w:rPr>
        <w:t>增收不增利</w:t>
      </w:r>
      <w:r>
        <w:rPr>
          <w:rFonts w:hint="eastAsia"/>
          <w:lang w:eastAsia="zh-CN"/>
        </w:rPr>
        <w:t>”</w:t>
      </w:r>
      <w:r>
        <w:rPr>
          <w:rFonts w:hint="eastAsia"/>
        </w:rPr>
        <w:t>格局可能持续；第三，现金流恶化风险，账期延长和坏账损失可能进一步侵蚀财务质量。这种估值压力倒逼医疗集团必须从规模扩张转向质量提升，以重建投资者信心。</w:t>
      </w:r>
    </w:p>
    <w:p w14:paraId="3AB5940B">
      <w:pPr>
        <w:pStyle w:val="4"/>
        <w:bidi w:val="0"/>
        <w:rPr>
          <w:rFonts w:hint="eastAsia"/>
        </w:rPr>
      </w:pPr>
      <w:bookmarkStart w:id="51" w:name="_Toc1759"/>
      <w:r>
        <w:rPr>
          <w:rFonts w:hint="eastAsia"/>
        </w:rPr>
        <w:t>行业转型的紧迫性与方向</w:t>
      </w:r>
      <w:bookmarkEnd w:id="51"/>
    </w:p>
    <w:p w14:paraId="7AC6472E">
      <w:pPr>
        <w:rPr>
          <w:rFonts w:hint="eastAsia"/>
        </w:rPr>
      </w:pPr>
      <w:r>
        <w:rPr>
          <w:rFonts w:hint="eastAsia"/>
        </w:rPr>
        <w:t>一、从规模扩张到价值运营的范式转换</w:t>
      </w:r>
    </w:p>
    <w:p w14:paraId="4565C82A">
      <w:pPr>
        <w:rPr>
          <w:rFonts w:hint="eastAsia"/>
        </w:rPr>
      </w:pPr>
      <w:r>
        <w:rPr>
          <w:rFonts w:hint="eastAsia"/>
        </w:rPr>
        <w:t>中国非公医疗行业正在经历发展模式的根本性转变。2015</w:t>
      </w:r>
      <w:r>
        <w:rPr>
          <w:rFonts w:hint="eastAsia"/>
          <w:lang w:eastAsia="zh-CN"/>
        </w:rPr>
        <w:t>—2022年</w:t>
      </w:r>
      <w:r>
        <w:rPr>
          <w:rFonts w:hint="eastAsia"/>
        </w:rPr>
        <w:t>是非公医疗的</w:t>
      </w:r>
      <w:r>
        <w:rPr>
          <w:rFonts w:hint="eastAsia"/>
          <w:lang w:eastAsia="zh-CN"/>
        </w:rPr>
        <w:t>“</w:t>
      </w:r>
      <w:r>
        <w:rPr>
          <w:rFonts w:hint="eastAsia"/>
        </w:rPr>
        <w:t>黄金扩张期</w:t>
      </w:r>
      <w:r>
        <w:rPr>
          <w:rFonts w:hint="eastAsia"/>
          <w:lang w:eastAsia="zh-CN"/>
        </w:rPr>
        <w:t>”</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27</w:t>
      </w:r>
      <w:r>
        <w:rPr>
          <w:rFonts w:hint="default" w:ascii="Times New Roman" w:hAnsi="Times New Roman" w:eastAsia="宋体" w:cs="Times New Roman"/>
          <w:kern w:val="2"/>
          <w:sz w:val="24"/>
          <w:szCs w:val="24"/>
          <w:vertAlign w:val="superscript"/>
        </w:rPr>
        <w:t>]</w:t>
      </w:r>
      <w:r>
        <w:rPr>
          <w:rFonts w:hint="eastAsia"/>
        </w:rPr>
        <w:t>，行业普遍采取</w:t>
      </w:r>
      <w:r>
        <w:rPr>
          <w:rFonts w:hint="eastAsia"/>
          <w:lang w:eastAsia="zh-CN"/>
        </w:rPr>
        <w:t>“</w:t>
      </w:r>
      <w:r>
        <w:rPr>
          <w:rFonts w:hint="eastAsia"/>
        </w:rPr>
        <w:t>跑马圈地</w:t>
      </w:r>
      <w:r>
        <w:rPr>
          <w:rFonts w:hint="eastAsia"/>
          <w:lang w:eastAsia="zh-CN"/>
        </w:rPr>
        <w:t>”</w:t>
      </w:r>
      <w:r>
        <w:rPr>
          <w:rFonts w:hint="eastAsia"/>
        </w:rPr>
        <w:t>战略：通过并购扩大床位规模，以收入规模作为核心考核指标，依靠设备投入和专家引进提升竞争力。这种粗放型增长模式在医保支付宽松、资本市场热捧的背景下行之有效</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24</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5</w:t>
      </w:r>
      <w:r>
        <w:rPr>
          <w:rFonts w:hint="default" w:ascii="Times New Roman" w:hAnsi="Times New Roman" w:eastAsia="宋体" w:cs="Times New Roman"/>
          <w:kern w:val="2"/>
          <w:sz w:val="24"/>
          <w:szCs w:val="24"/>
          <w:vertAlign w:val="superscript"/>
        </w:rPr>
        <w:t>]</w:t>
      </w:r>
      <w:r>
        <w:rPr>
          <w:rFonts w:hint="eastAsia"/>
        </w:rPr>
        <w:t>。</w:t>
      </w:r>
    </w:p>
    <w:p w14:paraId="151809A9">
      <w:pPr>
        <w:rPr>
          <w:rFonts w:hint="eastAsia"/>
        </w:rPr>
      </w:pPr>
      <w:r>
        <w:rPr>
          <w:rFonts w:hint="eastAsia"/>
        </w:rPr>
        <w:t>但2023年以来，行业进入</w:t>
      </w:r>
      <w:r>
        <w:rPr>
          <w:rFonts w:hint="eastAsia"/>
          <w:lang w:eastAsia="zh-CN"/>
        </w:rPr>
        <w:t>“</w:t>
      </w:r>
      <w:r>
        <w:rPr>
          <w:rFonts w:hint="eastAsia"/>
        </w:rPr>
        <w:t>精细化运营期</w:t>
      </w:r>
      <w:r>
        <w:rPr>
          <w:rFonts w:hint="eastAsia"/>
          <w:lang w:eastAsia="zh-CN"/>
        </w:rPr>
        <w:t>”</w:t>
      </w:r>
      <w:r>
        <w:rPr>
          <w:rFonts w:hint="eastAsia"/>
        </w:rPr>
        <w:t>。新的发展模式强调</w:t>
      </w:r>
      <w:r>
        <w:rPr>
          <w:rFonts w:hint="eastAsia"/>
          <w:lang w:eastAsia="zh-CN"/>
        </w:rPr>
        <w:t>，</w:t>
      </w:r>
      <w:r>
        <w:rPr>
          <w:rFonts w:hint="eastAsia"/>
        </w:rPr>
        <w:t>战略上从规模扩张转向提质增效，从</w:t>
      </w:r>
      <w:r>
        <w:rPr>
          <w:rFonts w:hint="eastAsia"/>
          <w:lang w:eastAsia="zh-CN"/>
        </w:rPr>
        <w:t>“</w:t>
      </w:r>
      <w:r>
        <w:rPr>
          <w:rFonts w:hint="eastAsia"/>
        </w:rPr>
        <w:t>做大</w:t>
      </w:r>
      <w:r>
        <w:rPr>
          <w:rFonts w:hint="eastAsia"/>
          <w:lang w:eastAsia="zh-CN"/>
        </w:rPr>
        <w:t>”</w:t>
      </w:r>
      <w:r>
        <w:rPr>
          <w:rFonts w:hint="eastAsia"/>
        </w:rPr>
        <w:t>转向</w:t>
      </w:r>
      <w:r>
        <w:rPr>
          <w:rFonts w:hint="eastAsia"/>
          <w:lang w:eastAsia="zh-CN"/>
        </w:rPr>
        <w:t>“</w:t>
      </w:r>
      <w:r>
        <w:rPr>
          <w:rFonts w:hint="eastAsia"/>
        </w:rPr>
        <w:t>做强</w:t>
      </w:r>
      <w:r>
        <w:rPr>
          <w:rFonts w:hint="eastAsia"/>
          <w:lang w:eastAsia="zh-CN"/>
        </w:rPr>
        <w:t>”</w:t>
      </w:r>
      <w:r>
        <w:rPr>
          <w:rFonts w:hint="eastAsia"/>
        </w:rPr>
        <w:t>；考核上从床位数、收入规模转向医保盈余率、床位周转率、CMI值等质量指标；竞争上从拼设备、拼专家转向拼管理能力、拼运营效率、拼成本控制。这一范式转换符合价值医疗理念</w:t>
      </w:r>
      <w:r>
        <w:rPr>
          <w:rStyle w:val="51"/>
          <w:rFonts w:hint="eastAsia"/>
        </w:rPr>
        <w:t>[1</w:t>
      </w:r>
      <w:r>
        <w:rPr>
          <w:rStyle w:val="51"/>
          <w:rFonts w:hint="eastAsia"/>
          <w:lang w:val="en-US" w:eastAsia="zh-CN"/>
        </w:rPr>
        <w:t>2</w:t>
      </w:r>
      <w:r>
        <w:rPr>
          <w:rStyle w:val="51"/>
          <w:rFonts w:hint="eastAsia"/>
        </w:rPr>
        <w:t>]</w:t>
      </w:r>
      <w:r>
        <w:rPr>
          <w:rFonts w:hint="eastAsia"/>
        </w:rPr>
        <w:t>。</w:t>
      </w:r>
    </w:p>
    <w:p w14:paraId="0B711014">
      <w:pPr>
        <w:rPr>
          <w:rFonts w:hint="eastAsia"/>
        </w:rPr>
      </w:pPr>
      <w:r>
        <w:rPr>
          <w:rFonts w:hint="eastAsia"/>
        </w:rPr>
        <w:t>二、行业分化加剧</w:t>
      </w:r>
    </w:p>
    <w:p w14:paraId="254BE3BA">
      <w:pPr>
        <w:rPr>
          <w:rFonts w:hint="eastAsia"/>
        </w:rPr>
      </w:pPr>
      <w:r>
        <w:rPr>
          <w:rFonts w:hint="eastAsia"/>
        </w:rPr>
        <w:t>面对改革冲击，医疗集团呈现明显分化。领先集团（如华润医疗、国药控股医疗等）2024年医保盈余率维持正值或微负，财务表现相对稳健</w:t>
      </w:r>
      <w:r>
        <w:rPr>
          <w:rFonts w:hint="eastAsia"/>
          <w:lang w:eastAsia="zh-CN"/>
        </w:rPr>
        <w:t>。</w:t>
      </w:r>
      <w:r>
        <w:rPr>
          <w:rFonts w:hint="eastAsia"/>
        </w:rPr>
        <w:t>这些集团提前布局信息化系统（HIS-医保对接、成本核算等），推进管理标准化（临床路径、DRG编码规范等），建立了较强的管理输出能力</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rPr>
        <w:t>。</w:t>
      </w:r>
    </w:p>
    <w:p w14:paraId="08C32199">
      <w:pPr>
        <w:rPr>
          <w:rFonts w:hint="eastAsia"/>
        </w:rPr>
      </w:pPr>
      <w:r>
        <w:rPr>
          <w:rFonts w:hint="eastAsia"/>
        </w:rPr>
        <w:t>而部分区域性医疗集团2024年医保盈余率深度为负（-15%以下），粗放管理模式延续，信息化建设滞后，财务风险快速累积</w:t>
      </w:r>
      <w:r>
        <w:rPr>
          <w:rFonts w:hint="eastAsia"/>
          <w:lang w:eastAsia="zh-CN"/>
        </w:rPr>
        <w:t>，</w:t>
      </w:r>
      <w:r>
        <w:rPr>
          <w:rFonts w:hint="eastAsia"/>
        </w:rPr>
        <w:t>部分中小医疗集团甚至面临现金流断裂风险，不得不收缩业务、出售资产。行业</w:t>
      </w:r>
      <w:r>
        <w:rPr>
          <w:rFonts w:hint="eastAsia"/>
          <w:lang w:eastAsia="zh-CN"/>
        </w:rPr>
        <w:t>“</w:t>
      </w:r>
      <w:r>
        <w:rPr>
          <w:rFonts w:hint="eastAsia"/>
        </w:rPr>
        <w:t>马太效应</w:t>
      </w:r>
      <w:r>
        <w:rPr>
          <w:rFonts w:hint="eastAsia"/>
          <w:lang w:eastAsia="zh-CN"/>
        </w:rPr>
        <w:t>”</w:t>
      </w:r>
      <w:r>
        <w:rPr>
          <w:rFonts w:hint="eastAsia"/>
        </w:rPr>
        <w:t>凸显，强者愈强、弱者愈弱。</w:t>
      </w:r>
    </w:p>
    <w:p w14:paraId="659D0D5C">
      <w:pPr>
        <w:rPr>
          <w:rFonts w:hint="eastAsia"/>
        </w:rPr>
      </w:pPr>
      <w:r>
        <w:rPr>
          <w:rFonts w:hint="eastAsia"/>
        </w:rPr>
        <w:t>三、政策窗口期的战略选择</w:t>
      </w:r>
    </w:p>
    <w:p w14:paraId="6FB7A990">
      <w:pPr>
        <w:rPr>
          <w:rFonts w:hint="eastAsia"/>
        </w:rPr>
      </w:pPr>
      <w:r>
        <w:rPr>
          <w:rFonts w:hint="eastAsia"/>
        </w:rPr>
        <w:t>2024</w:t>
      </w:r>
      <w:r>
        <w:rPr>
          <w:rFonts w:hint="eastAsia"/>
          <w:lang w:eastAsia="zh-CN"/>
        </w:rPr>
        <w:t>—</w:t>
      </w:r>
      <w:r>
        <w:rPr>
          <w:rFonts w:hint="eastAsia"/>
        </w:rPr>
        <w:t>2026年是非公医疗行业的关键转型期。这一阶段具有三个特征：第一，政策相对稳定，DRG/DIP 2.0版本分组方案于2024年7月发布</w:t>
      </w:r>
      <w:r>
        <w:rPr>
          <w:rFonts w:hint="eastAsia"/>
          <w:lang w:eastAsia="zh-CN"/>
        </w:rPr>
        <w:t>，</w:t>
      </w:r>
      <w:r>
        <w:rPr>
          <w:rFonts w:hint="eastAsia"/>
        </w:rPr>
        <w:t>9月落地后</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30</w:t>
      </w:r>
      <w:r>
        <w:rPr>
          <w:rFonts w:hint="default" w:ascii="Times New Roman" w:hAnsi="Times New Roman" w:eastAsia="宋体" w:cs="Times New Roman"/>
          <w:kern w:val="2"/>
          <w:sz w:val="24"/>
          <w:szCs w:val="24"/>
          <w:vertAlign w:val="superscript"/>
        </w:rPr>
        <w:t>]</w:t>
      </w:r>
      <w:r>
        <w:rPr>
          <w:rFonts w:hint="eastAsia"/>
        </w:rPr>
        <w:t>，预计未来</w:t>
      </w:r>
      <w:r>
        <w:rPr>
          <w:rFonts w:hint="eastAsia"/>
          <w:lang w:eastAsia="zh-CN"/>
        </w:rPr>
        <w:t>2～3年</w:t>
      </w:r>
      <w:r>
        <w:rPr>
          <w:rFonts w:hint="eastAsia"/>
        </w:rPr>
        <w:t>不会有重大调整，医疗集团可以据此制定中长期策略；第二，管理红利释放窗口期，率先完成管理转型的集团将在3-5年内持续受益；第三，落后者仍有追赶机会，通过学习标杆经验、引入专业管理团队，仍可在1-2年内实现财务改善</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25</w:t>
      </w:r>
      <w:r>
        <w:rPr>
          <w:rFonts w:hint="default" w:ascii="Times New Roman" w:hAnsi="Times New Roman" w:eastAsia="宋体" w:cs="Times New Roman"/>
          <w:kern w:val="2"/>
          <w:sz w:val="24"/>
          <w:szCs w:val="24"/>
          <w:vertAlign w:val="superscript"/>
        </w:rPr>
        <w:t>]</w:t>
      </w:r>
      <w:r>
        <w:rPr>
          <w:rFonts w:hint="eastAsia"/>
        </w:rPr>
        <w:t>。</w:t>
      </w:r>
    </w:p>
    <w:p w14:paraId="73AC89D5">
      <w:pPr>
        <w:rPr>
          <w:rFonts w:hint="eastAsia"/>
        </w:rPr>
      </w:pPr>
      <w:r>
        <w:rPr>
          <w:rFonts w:hint="eastAsia"/>
        </w:rPr>
        <w:t>对于非公医疗集团而言，当前最紧迫的任务是抓住政策窗口期，完成从规模驱动向价值驱动的战略转型。</w:t>
      </w:r>
    </w:p>
    <w:p w14:paraId="3A99AB52">
      <w:pPr>
        <w:pStyle w:val="4"/>
        <w:bidi w:val="0"/>
        <w:rPr>
          <w:rFonts w:hint="eastAsia"/>
        </w:rPr>
      </w:pPr>
      <w:bookmarkStart w:id="52" w:name="_Toc8332"/>
      <w:r>
        <w:rPr>
          <w:rFonts w:hint="eastAsia"/>
        </w:rPr>
        <w:t>研究问题的提出</w:t>
      </w:r>
      <w:bookmarkEnd w:id="52"/>
    </w:p>
    <w:p w14:paraId="1382B8FF">
      <w:pPr>
        <w:rPr>
          <w:rFonts w:hint="eastAsia"/>
        </w:rPr>
      </w:pPr>
      <w:r>
        <w:rPr>
          <w:rFonts w:hint="eastAsia"/>
        </w:rPr>
        <w:t>在上述行业背景下，本研究聚焦于以下核心问题：</w:t>
      </w:r>
    </w:p>
    <w:p w14:paraId="30820BE3">
      <w:pPr>
        <w:rPr>
          <w:rFonts w:hint="eastAsia"/>
        </w:rPr>
      </w:pPr>
      <w:r>
        <w:rPr>
          <w:rFonts w:hint="eastAsia"/>
        </w:rPr>
        <w:t>问题一（行业层面）：DRG/DIP改革对医疗集团的冲击程度如何？2024年医保政策收紧对不同类型医院（综合医院/专科医院、三级医院/二级医院、DRG支付/DIP支付）的影响是否存在显著差异？冲击的即时效应和长期效应分别有多大？这些问题关系到行业整体如何评估改革影响、制定应对策略。</w:t>
      </w:r>
    </w:p>
    <w:p w14:paraId="20C26155">
      <w:pPr>
        <w:rPr>
          <w:rFonts w:hint="eastAsia"/>
        </w:rPr>
      </w:pPr>
      <w:r>
        <w:rPr>
          <w:rFonts w:hint="eastAsia"/>
        </w:rPr>
        <w:t>问题二（管理层面）：集团管理转型能否对冲外部政策冲击？2024年</w:t>
      </w:r>
      <w:r>
        <w:rPr>
          <w:rFonts w:hint="eastAsia"/>
          <w:lang w:eastAsia="zh-CN"/>
        </w:rPr>
        <w:t>A医疗集团</w:t>
      </w:r>
      <w:r>
        <w:rPr>
          <w:rFonts w:hint="eastAsia"/>
        </w:rPr>
        <w:t>启动管理逻辑根本性调整，从粗放型管理转向精细化管理，预算与三年高质量发展规划严格挂钩。这种内部管理变革能否有效对冲外部医保收紧压力？管理措施从启动到见效的时滞规律是什么？不同响应速度的医院在财务表现上存在多大差异？</w:t>
      </w:r>
    </w:p>
    <w:p w14:paraId="719E9574">
      <w:pPr>
        <w:rPr>
          <w:rFonts w:hint="eastAsia"/>
        </w:rPr>
      </w:pPr>
      <w:r>
        <w:rPr>
          <w:rFonts w:hint="eastAsia"/>
        </w:rPr>
        <w:t>问题三（机制层面）：高CMI医院是否必然陷入</w:t>
      </w:r>
      <w:r>
        <w:rPr>
          <w:rFonts w:hint="eastAsia"/>
          <w:lang w:eastAsia="zh-CN"/>
        </w:rPr>
        <w:t>“</w:t>
      </w:r>
      <w:r>
        <w:rPr>
          <w:rFonts w:hint="eastAsia"/>
        </w:rPr>
        <w:t>CMI陷阱</w:t>
      </w:r>
      <w:r>
        <w:rPr>
          <w:rFonts w:hint="eastAsia"/>
          <w:lang w:eastAsia="zh-CN"/>
        </w:rPr>
        <w:t>”</w:t>
      </w:r>
      <w:r>
        <w:rPr>
          <w:rFonts w:hint="eastAsia"/>
        </w:rPr>
        <w:t>？CMI（病例组合指数）是衡量医院收治病例技术难度的指标。所谓</w:t>
      </w:r>
      <w:r>
        <w:rPr>
          <w:rFonts w:hint="eastAsia"/>
          <w:lang w:eastAsia="zh-CN"/>
        </w:rPr>
        <w:t>“</w:t>
      </w:r>
      <w:r>
        <w:rPr>
          <w:rFonts w:hint="eastAsia"/>
        </w:rPr>
        <w:t>CMI陷阱</w:t>
      </w:r>
      <w:r>
        <w:rPr>
          <w:rFonts w:hint="eastAsia"/>
          <w:lang w:eastAsia="zh-CN"/>
        </w:rPr>
        <w:t>”</w:t>
      </w:r>
      <w:r>
        <w:rPr>
          <w:rFonts w:hint="eastAsia"/>
        </w:rPr>
        <w:t>指高病例难度导致成本超支的困境。传统观点认为高CMI医院因成本高企必然亏损。但是否存在通过管理优化实现</w:t>
      </w:r>
      <w:r>
        <w:rPr>
          <w:rFonts w:hint="eastAsia"/>
          <w:lang w:eastAsia="zh-CN"/>
        </w:rPr>
        <w:t>“</w:t>
      </w:r>
      <w:r>
        <w:rPr>
          <w:rFonts w:hint="eastAsia"/>
        </w:rPr>
        <w:t>高CMI+高盈余</w:t>
      </w:r>
      <w:r>
        <w:rPr>
          <w:rFonts w:hint="eastAsia"/>
          <w:lang w:eastAsia="zh-CN"/>
        </w:rPr>
        <w:t>”</w:t>
      </w:r>
      <w:r>
        <w:rPr>
          <w:rFonts w:hint="eastAsia"/>
        </w:rPr>
        <w:t>的路径？如何在不降低医疗技术水平的前提下实现财务可持续？</w:t>
      </w:r>
    </w:p>
    <w:p w14:paraId="2C6C4650">
      <w:pPr>
        <w:rPr>
          <w:rFonts w:hint="eastAsia"/>
        </w:rPr>
      </w:pPr>
      <w:r>
        <w:rPr>
          <w:rFonts w:hint="eastAsia"/>
        </w:rPr>
        <w:t>本研究以</w:t>
      </w:r>
      <w:r>
        <w:rPr>
          <w:rFonts w:hint="eastAsia"/>
          <w:lang w:eastAsia="zh-CN"/>
        </w:rPr>
        <w:t>A医疗集团</w:t>
      </w:r>
      <w:r>
        <w:rPr>
          <w:rFonts w:hint="eastAsia"/>
        </w:rPr>
        <w:t>为典型案例，选取三家代表性医院。H1为中部地区综合医院，实施DRG支付；H2为</w:t>
      </w:r>
      <w:r>
        <w:rPr>
          <w:rFonts w:hint="eastAsia"/>
          <w:lang w:eastAsia="zh-CN"/>
        </w:rPr>
        <w:t>北部</w:t>
      </w:r>
      <w:r>
        <w:rPr>
          <w:rFonts w:hint="eastAsia"/>
        </w:rPr>
        <w:t>地区综合医院，实施DRG支付；H3为东部地区某专科医院，实施DIP支付。三家医院分别代表不同支付方式（DRG/DIP）、不同医院类型（综合/专科）、不同经济发展水平（中部/</w:t>
      </w:r>
      <w:r>
        <w:rPr>
          <w:rFonts w:hint="eastAsia"/>
          <w:lang w:val="en-US" w:eastAsia="zh-CN"/>
        </w:rPr>
        <w:t>北部</w:t>
      </w:r>
      <w:r>
        <w:rPr>
          <w:rFonts w:hint="eastAsia"/>
        </w:rPr>
        <w:t>/东部），具有一定代表性。本研究重点分析H1和H3两家医院的对比，因两者在管理响应速度上形成鲜明对比：H1为积极响应型（2024年1月立即启动），H3为滞后响应型（2024年7月启动），这种差异为验证</w:t>
      </w:r>
      <w:r>
        <w:rPr>
          <w:rFonts w:hint="eastAsia"/>
          <w:lang w:eastAsia="zh-CN"/>
        </w:rPr>
        <w:t>“</w:t>
      </w:r>
      <w:r>
        <w:rPr>
          <w:rFonts w:hint="eastAsia"/>
        </w:rPr>
        <w:t>管理响应速度决定损失规模</w:t>
      </w:r>
      <w:r>
        <w:rPr>
          <w:rFonts w:hint="eastAsia"/>
          <w:lang w:eastAsia="zh-CN"/>
        </w:rPr>
        <w:t>”</w:t>
      </w:r>
      <w:r>
        <w:rPr>
          <w:rFonts w:hint="eastAsia"/>
        </w:rPr>
        <w:t>的假设提供了理想的准实验条件。</w:t>
      </w:r>
    </w:p>
    <w:p w14:paraId="24917A17">
      <w:pPr>
        <w:pStyle w:val="3"/>
        <w:bidi w:val="0"/>
        <w:rPr>
          <w:rFonts w:hint="eastAsia"/>
        </w:rPr>
      </w:pPr>
      <w:bookmarkStart w:id="53" w:name="_Toc11109"/>
      <w:r>
        <w:rPr>
          <w:rFonts w:hint="eastAsia"/>
          <w:lang w:eastAsia="zh-CN"/>
        </w:rPr>
        <w:t>A医疗集团</w:t>
      </w:r>
      <w:r>
        <w:rPr>
          <w:rFonts w:hint="eastAsia"/>
        </w:rPr>
        <w:t>财务表现：</w:t>
      </w:r>
      <w:r>
        <w:rPr>
          <w:rFonts w:hint="eastAsia"/>
          <w:lang w:val="en-US" w:eastAsia="zh-CN"/>
        </w:rPr>
        <w:t>近年</w:t>
      </w:r>
      <w:r>
        <w:rPr>
          <w:rFonts w:hint="eastAsia"/>
        </w:rPr>
        <w:t>轨迹分析</w:t>
      </w:r>
      <w:bookmarkEnd w:id="53"/>
    </w:p>
    <w:p w14:paraId="5FF80DC6">
      <w:pPr>
        <w:pStyle w:val="4"/>
        <w:bidi w:val="0"/>
        <w:rPr>
          <w:rFonts w:hint="eastAsia"/>
        </w:rPr>
      </w:pPr>
      <w:bookmarkStart w:id="54" w:name="_Toc14190"/>
      <w:r>
        <w:rPr>
          <w:rFonts w:hint="eastAsia"/>
        </w:rPr>
        <w:t>集团发展历程：从战略调整期到管理转型</w:t>
      </w:r>
      <w:bookmarkEnd w:id="54"/>
    </w:p>
    <w:p w14:paraId="33F06FB8">
      <w:pPr>
        <w:rPr>
          <w:rFonts w:hint="eastAsia"/>
          <w:lang w:eastAsia="zh-CN"/>
        </w:rPr>
      </w:pPr>
      <w:r>
        <w:rPr>
          <w:rFonts w:hint="eastAsia"/>
          <w:lang w:eastAsia="zh-CN"/>
        </w:rPr>
        <w:t>A医疗集团的发展历程呈现典型的“扩张—调整—转型”三阶段特征。早期通过产业并购快速形成医疗服务与供应链协同布局，建立起覆盖多区域的医疗服务网络；中期经历行业政策调整与内部管理优化期，重点解决规模扩张后的管理协同与效率提升问题；近期进入以“收入质量优化”为核心的内涵式增长阶段。这一阶段的教训表明：缺乏精细化管理和协同效应的单纯规模堆砌，无法在医疗行业持续生存。</w:t>
      </w:r>
    </w:p>
    <w:p w14:paraId="79C4652C">
      <w:pPr>
        <w:rPr>
          <w:rFonts w:hint="eastAsia" w:eastAsia="宋体"/>
          <w:lang w:eastAsia="zh-CN"/>
        </w:rPr>
      </w:pPr>
      <w:r>
        <w:rPr>
          <w:rFonts w:hint="eastAsia"/>
          <w:lang w:eastAsia="zh-CN"/>
        </w:rPr>
        <w:t>正是在这一“战略调整期结束后亟待提质增效”的关键节点，2024年集团迎来了具有深远意义的“双重转折点”：外部层面，疫情后医保政策全面收紧、DRG/DIP清算审核从严；内部层面，集团启动管理逻辑的根本性调整，从粗放型管理转向精细化管理，预算与三年高质量发展规划严格挂钩。这一双重叠加，构成了本研究的核心分析背景。</w:t>
      </w:r>
    </w:p>
    <w:p w14:paraId="4A9205DC">
      <w:pPr>
        <w:rPr>
          <w:rFonts w:hint="eastAsia"/>
        </w:rPr>
      </w:pPr>
    </w:p>
    <w:p w14:paraId="4210AC6B">
      <w:pPr>
        <w:pStyle w:val="4"/>
        <w:bidi w:val="0"/>
        <w:rPr>
          <w:rFonts w:hint="eastAsia"/>
        </w:rPr>
      </w:pPr>
      <w:bookmarkStart w:id="55" w:name="_Toc12556"/>
      <w:r>
        <w:rPr>
          <w:rFonts w:hint="eastAsia"/>
        </w:rPr>
        <w:t>整体财务概览：增收不增利的困局</w:t>
      </w:r>
      <w:bookmarkEnd w:id="55"/>
    </w:p>
    <w:p w14:paraId="4EF93C51">
      <w:pPr>
        <w:rPr>
          <w:rFonts w:hint="eastAsia"/>
        </w:rPr>
      </w:pPr>
      <w:r>
        <w:rPr>
          <w:rFonts w:hint="eastAsia"/>
        </w:rPr>
        <w:t>基于A医疗集团近年财务数据（已脱敏处理</w:t>
      </w:r>
      <w:r>
        <w:rPr>
          <w:rFonts w:hint="eastAsia"/>
          <w:lang w:eastAsia="zh-CN"/>
        </w:rPr>
        <w:t>）</w:t>
      </w:r>
      <w:r>
        <w:rPr>
          <w:rFonts w:hint="eastAsia"/>
        </w:rPr>
        <w:t>，本研究对其关键财务指标进行了趋势分析。</w:t>
      </w:r>
    </w:p>
    <w:p w14:paraId="2F92AF17">
      <w:pPr>
        <w:jc w:val="center"/>
        <w:rPr>
          <w:rFonts w:hint="eastAsia" w:ascii="Times New Roman" w:hAnsi="Times New Roman" w:eastAsia="宋体" w:cs="Times New Roman"/>
          <w:b/>
          <w:kern w:val="2"/>
          <w:sz w:val="21"/>
          <w:szCs w:val="20"/>
          <w:lang w:val="en-US" w:eastAsia="zh-CN" w:bidi="ar-SA"/>
        </w:rPr>
      </w:pPr>
      <w:r>
        <w:rPr>
          <w:rFonts w:ascii="Times New Roman" w:hAnsi="Times New Roman"/>
          <w:sz w:val="21"/>
        </w:rPr>
        <w:t>表 3.1 A医疗集团近年关键财务指标</w:t>
      </w:r>
    </w:p>
    <w:tbl>
      <w:tblPr>
        <w:tblStyle w:val="30"/>
        <w:tblW w:w="8952" w:type="dxa"/>
        <w:tblInd w:w="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14"/>
        <w:gridCol w:w="1312"/>
        <w:gridCol w:w="1388"/>
        <w:gridCol w:w="1277"/>
        <w:gridCol w:w="1498"/>
        <w:gridCol w:w="2263"/>
      </w:tblGrid>
      <w:tr w14:paraId="4B409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90" w:hRule="atLeast"/>
        </w:trPr>
        <w:tc>
          <w:tcPr>
            <w:tcW w:w="1214" w:type="dxa"/>
            <w:tcBorders>
              <w:top w:val="single" w:color="000000" w:sz="4" w:space="0"/>
              <w:left w:val="single" w:color="000000" w:sz="4" w:space="0"/>
              <w:bottom w:val="single" w:color="000000" w:sz="4" w:space="0"/>
              <w:right w:val="single" w:color="000000" w:sz="4" w:space="0"/>
              <w:tl2br w:val="nil"/>
            </w:tcBorders>
            <w:shd w:val="clear" w:color="auto" w:fill="FFFFFF"/>
            <w:tcMar>
              <w:top w:w="0" w:type="dxa"/>
              <w:left w:w="0" w:type="dxa"/>
              <w:bottom w:w="0" w:type="dxa"/>
              <w:right w:w="0" w:type="dxa"/>
            </w:tcMar>
            <w:vAlign w:val="center"/>
          </w:tcPr>
          <w:p w14:paraId="33F78346">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eastAsia" w:ascii="Times New Roman" w:hAnsi="Times New Roman" w:eastAsia="宋体" w:cstheme="minorBidi"/>
                <w:b w:val="0"/>
                <w:bCs w:val="0"/>
                <w:i w:val="0"/>
                <w:color w:val="000000"/>
                <w:kern w:val="0"/>
                <w:sz w:val="22"/>
                <w:szCs w:val="22"/>
                <w:lang w:val="en-US" w:eastAsia="zh-CN"/>
              </w:rPr>
              <w:t>指标</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71442E4">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管理转型初期（T年）</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78E01A9">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eastAsia" w:cstheme="minorBidi"/>
                <w:b w:val="0"/>
                <w:bCs w:val="0"/>
                <w:i w:val="0"/>
                <w:color w:val="000000"/>
                <w:kern w:val="0"/>
                <w:sz w:val="22"/>
                <w:szCs w:val="22"/>
                <w:lang w:val="en-US" w:eastAsia="zh-CN"/>
              </w:rPr>
              <w:t>深化提升</w:t>
            </w:r>
            <w:r>
              <w:rPr>
                <w:rFonts w:hint="default" w:ascii="Times New Roman" w:hAnsi="Times New Roman" w:eastAsia="宋体" w:cstheme="minorBidi"/>
                <w:b w:val="0"/>
                <w:bCs w:val="0"/>
                <w:i w:val="0"/>
                <w:color w:val="000000"/>
                <w:kern w:val="0"/>
                <w:sz w:val="22"/>
                <w:szCs w:val="22"/>
                <w:lang w:val="en-US" w:eastAsia="zh-CN"/>
              </w:rPr>
              <w:t>期（T+1年）</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D99F4ED">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增长峰值期（T+2年）</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85F169E">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近期（T+3年，E）</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A7411A8">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趋势特征说明</w:t>
            </w:r>
          </w:p>
        </w:tc>
      </w:tr>
      <w:tr w14:paraId="0DB6D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794D8BA">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营收规模</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A66E09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约30</w:t>
            </w:r>
            <w:r>
              <w:rPr>
                <w:rFonts w:hint="eastAsia" w:cstheme="minorBidi"/>
                <w:b w:val="0"/>
                <w:i w:val="0"/>
                <w:kern w:val="0"/>
                <w:sz w:val="22"/>
                <w:szCs w:val="22"/>
                <w:lang w:val="en-US" w:eastAsia="zh-CN"/>
              </w:rPr>
              <w:t>亿元</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9CDD10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35亿—40亿</w:t>
            </w:r>
            <w:r>
              <w:rPr>
                <w:rFonts w:hint="default" w:ascii="Times New Roman" w:hAnsi="Times New Roman" w:eastAsia="宋体" w:cstheme="minorBidi"/>
                <w:b w:val="0"/>
                <w:i w:val="0"/>
                <w:kern w:val="0"/>
                <w:sz w:val="22"/>
                <w:szCs w:val="22"/>
                <w:lang w:val="en-US" w:eastAsia="zh-CN"/>
              </w:rPr>
              <w:t>元区间</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73E037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接近40亿元规模</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323F66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回落至30亿元下方</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63F7B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先扬后抑，近期显著承压</w:t>
            </w:r>
          </w:p>
        </w:tc>
      </w:tr>
      <w:tr w14:paraId="6DD0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16F69FA7">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营收增速</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428EC8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39678E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温和增长（约</w:t>
            </w:r>
            <w:r>
              <w:rPr>
                <w:rFonts w:hint="eastAsia" w:cstheme="minorBidi"/>
                <w:b w:val="0"/>
                <w:i w:val="0"/>
                <w:kern w:val="0"/>
                <w:sz w:val="22"/>
                <w:szCs w:val="22"/>
                <w:lang w:val="en-US" w:eastAsia="zh-CN"/>
              </w:rPr>
              <w:t>10%—15%</w:t>
            </w:r>
            <w:r>
              <w:rPr>
                <w:rFonts w:hint="default" w:ascii="Times New Roman" w:hAnsi="Times New Roman" w:eastAsia="宋体" w:cstheme="minorBidi"/>
                <w:b w:val="0"/>
                <w:i w:val="0"/>
                <w:kern w:val="0"/>
                <w:sz w:val="22"/>
                <w:szCs w:val="22"/>
                <w:lang w:val="en-US" w:eastAsia="zh-CN"/>
              </w:rPr>
              <w:t>）</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4FC8D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增速放缓（个位数增长）</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63FC38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显著下滑（降幅超20%）</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D20D16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2025年面临较大压力</w:t>
            </w:r>
          </w:p>
        </w:tc>
      </w:tr>
      <w:tr w14:paraId="57292B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A3C4293">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收入结构</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C65088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医疗主业占比超八成</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1CBE4A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医疗主业稳健增长</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0B0BD0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医疗主业占比维持高位</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406669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医疗主业有所收缩</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AC513A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核心业务贡献度保持八二开</w:t>
            </w:r>
          </w:p>
        </w:tc>
      </w:tr>
      <w:tr w14:paraId="6847C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5BB57AA">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eastAsia" w:ascii="Times New Roman" w:hAnsi="Times New Roman" w:eastAsia="宋体" w:cstheme="minorBidi"/>
                <w:b w:val="0"/>
                <w:bCs w:val="0"/>
                <w:i w:val="0"/>
                <w:color w:val="000000"/>
                <w:kern w:val="0"/>
                <w:sz w:val="22"/>
                <w:szCs w:val="22"/>
                <w:lang w:val="en-US" w:eastAsia="zh-CN"/>
              </w:rPr>
              <w:t>盈利</w:t>
            </w:r>
            <w:r>
              <w:rPr>
                <w:rFonts w:hint="default" w:ascii="Times New Roman" w:hAnsi="Times New Roman" w:eastAsia="宋体" w:cstheme="minorBidi"/>
                <w:b w:val="0"/>
                <w:bCs w:val="0"/>
                <w:i w:val="0"/>
                <w:color w:val="000000"/>
                <w:kern w:val="0"/>
                <w:sz w:val="22"/>
                <w:szCs w:val="22"/>
                <w:lang w:val="en-US" w:eastAsia="zh-CN"/>
              </w:rPr>
              <w:t>水平</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577859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微利状态</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D026D8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盈亏平衡线附近</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5D8B8B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大幅改善（数倍增长）</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CE2704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由盈转亏（数千万级亏损）</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60F07F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利润波动剧烈，近期承压</w:t>
            </w:r>
          </w:p>
        </w:tc>
      </w:tr>
      <w:tr w14:paraId="644F6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A50085A">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毛利率</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05CD2A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28%—29%</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B43E52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约30</w:t>
            </w:r>
            <w:r>
              <w:rPr>
                <w:rFonts w:hint="eastAsia" w:cstheme="minorBidi"/>
                <w:b w:val="0"/>
                <w:i w:val="0"/>
                <w:kern w:val="0"/>
                <w:sz w:val="22"/>
                <w:szCs w:val="22"/>
                <w:lang w:val="en-US" w:eastAsia="zh-CN"/>
              </w:rPr>
              <w:t>%</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1F0FC6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30%—31%</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AD60A5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降至约</w:t>
            </w:r>
            <w:r>
              <w:rPr>
                <w:rFonts w:hint="eastAsia" w:cstheme="minorBidi"/>
                <w:b w:val="0"/>
                <w:i w:val="0"/>
                <w:kern w:val="0"/>
                <w:sz w:val="22"/>
                <w:szCs w:val="22"/>
                <w:lang w:val="en-US" w:eastAsia="zh-CN"/>
              </w:rPr>
              <w:t>25%—27%</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4677DC1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近期下滑约3</w:t>
            </w:r>
            <w:r>
              <w:rPr>
                <w:rFonts w:hint="eastAsia" w:cstheme="minorBidi"/>
                <w:b w:val="0"/>
                <w:i w:val="0"/>
                <w:kern w:val="0"/>
                <w:sz w:val="22"/>
                <w:szCs w:val="22"/>
                <w:lang w:val="en-US" w:eastAsia="zh-CN"/>
              </w:rPr>
              <w:t>—</w:t>
            </w:r>
            <w:r>
              <w:rPr>
                <w:rFonts w:hint="default" w:ascii="Times New Roman" w:hAnsi="Times New Roman" w:eastAsia="宋体" w:cstheme="minorBidi"/>
                <w:b w:val="0"/>
                <w:i w:val="0"/>
                <w:kern w:val="0"/>
                <w:sz w:val="22"/>
                <w:szCs w:val="22"/>
                <w:lang w:val="en-US" w:eastAsia="zh-CN"/>
              </w:rPr>
              <w:t>5个百分点</w:t>
            </w:r>
          </w:p>
        </w:tc>
      </w:tr>
      <w:tr w14:paraId="3B903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c>
          <w:tcPr>
            <w:tcW w:w="1214"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537A2933">
            <w:pPr>
              <w:widowControl/>
              <w:spacing w:after="0" w:line="240" w:lineRule="auto"/>
              <w:ind w:firstLine="0" w:firstLineChars="0"/>
              <w:jc w:val="left"/>
              <w:textAlignment w:val="auto"/>
              <w:rPr>
                <w:rFonts w:hint="eastAsia" w:ascii="Times New Roman" w:hAnsi="Times New Roman" w:eastAsia="宋体" w:cstheme="minorBidi"/>
                <w:b w:val="0"/>
                <w:bCs w:val="0"/>
                <w:i w:val="0"/>
                <w:color w:val="000000"/>
                <w:kern w:val="0"/>
                <w:sz w:val="22"/>
                <w:szCs w:val="22"/>
                <w:lang w:val="en-US" w:eastAsia="en-US"/>
              </w:rPr>
            </w:pPr>
            <w:r>
              <w:rPr>
                <w:rFonts w:hint="default" w:ascii="Times New Roman" w:hAnsi="Times New Roman" w:eastAsia="宋体" w:cstheme="minorBidi"/>
                <w:b w:val="0"/>
                <w:bCs w:val="0"/>
                <w:i w:val="0"/>
                <w:color w:val="000000"/>
                <w:kern w:val="0"/>
                <w:sz w:val="22"/>
                <w:szCs w:val="22"/>
                <w:lang w:val="en-US" w:eastAsia="zh-CN"/>
              </w:rPr>
              <w:t>资产负债率</w:t>
            </w:r>
          </w:p>
        </w:tc>
        <w:tc>
          <w:tcPr>
            <w:tcW w:w="1312"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09A4586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约</w:t>
            </w:r>
            <w:r>
              <w:rPr>
                <w:rFonts w:hint="eastAsia" w:cstheme="minorBidi"/>
                <w:b w:val="0"/>
                <w:i w:val="0"/>
                <w:kern w:val="0"/>
                <w:sz w:val="22"/>
                <w:szCs w:val="22"/>
                <w:lang w:val="en-US" w:eastAsia="zh-CN"/>
              </w:rPr>
              <w:t>65%—70%</w:t>
            </w:r>
          </w:p>
        </w:tc>
        <w:tc>
          <w:tcPr>
            <w:tcW w:w="138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654CA70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降至</w:t>
            </w:r>
            <w:r>
              <w:rPr>
                <w:rFonts w:hint="eastAsia" w:cstheme="minorBidi"/>
                <w:b w:val="0"/>
                <w:i w:val="0"/>
                <w:kern w:val="0"/>
                <w:sz w:val="22"/>
                <w:szCs w:val="22"/>
                <w:lang w:val="en-US" w:eastAsia="zh-CN"/>
              </w:rPr>
              <w:t>60%—65%</w:t>
            </w:r>
            <w:r>
              <w:rPr>
                <w:rFonts w:hint="default" w:ascii="Times New Roman" w:hAnsi="Times New Roman" w:eastAsia="宋体" w:cstheme="minorBidi"/>
                <w:b w:val="0"/>
                <w:i w:val="0"/>
                <w:kern w:val="0"/>
                <w:sz w:val="22"/>
                <w:szCs w:val="22"/>
                <w:lang w:val="en-US" w:eastAsia="zh-CN"/>
              </w:rPr>
              <w:t>区间</w:t>
            </w:r>
          </w:p>
        </w:tc>
        <w:tc>
          <w:tcPr>
            <w:tcW w:w="1277"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38ED958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回升至</w:t>
            </w:r>
            <w:r>
              <w:rPr>
                <w:rFonts w:hint="eastAsia" w:cstheme="minorBidi"/>
                <w:b w:val="0"/>
                <w:i w:val="0"/>
                <w:kern w:val="0"/>
                <w:sz w:val="22"/>
                <w:szCs w:val="22"/>
                <w:lang w:val="en-US" w:eastAsia="zh-CN"/>
              </w:rPr>
              <w:t>65%—70%</w:t>
            </w:r>
          </w:p>
        </w:tc>
        <w:tc>
          <w:tcPr>
            <w:tcW w:w="1498"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26B59BA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维持</w:t>
            </w:r>
            <w:r>
              <w:rPr>
                <w:rFonts w:hint="eastAsia" w:cstheme="minorBidi"/>
                <w:b w:val="0"/>
                <w:i w:val="0"/>
                <w:kern w:val="0"/>
                <w:sz w:val="22"/>
                <w:szCs w:val="22"/>
                <w:lang w:val="en-US" w:eastAsia="zh-CN"/>
              </w:rPr>
              <w:t>65%—70%</w:t>
            </w:r>
            <w:r>
              <w:rPr>
                <w:rFonts w:hint="default" w:ascii="Times New Roman" w:hAnsi="Times New Roman" w:eastAsia="宋体" w:cstheme="minorBidi"/>
                <w:b w:val="0"/>
                <w:i w:val="0"/>
                <w:kern w:val="0"/>
                <w:sz w:val="22"/>
                <w:szCs w:val="22"/>
                <w:lang w:val="en-US" w:eastAsia="zh-CN"/>
              </w:rPr>
              <w:t>高位</w:t>
            </w:r>
          </w:p>
        </w:tc>
        <w:tc>
          <w:tcPr>
            <w:tcW w:w="2263" w:type="dxa"/>
            <w:tcBorders>
              <w:top w:val="single" w:color="000000" w:sz="4" w:space="0"/>
              <w:left w:val="single" w:color="000000" w:sz="4" w:space="0"/>
              <w:bottom w:val="single" w:color="000000" w:sz="4" w:space="0"/>
              <w:right w:val="single" w:color="000000" w:sz="4" w:space="0"/>
            </w:tcBorders>
            <w:shd w:val="clear" w:color="auto" w:fill="FFFFFF"/>
            <w:tcMar>
              <w:top w:w="0" w:type="dxa"/>
              <w:left w:w="0" w:type="dxa"/>
              <w:bottom w:w="0" w:type="dxa"/>
              <w:right w:w="0" w:type="dxa"/>
            </w:tcMar>
            <w:vAlign w:val="top"/>
          </w:tcPr>
          <w:p w14:paraId="7F07CEC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default" w:ascii="Times New Roman" w:hAnsi="Times New Roman" w:eastAsia="宋体" w:cstheme="minorBidi"/>
                <w:b w:val="0"/>
                <w:i w:val="0"/>
                <w:kern w:val="0"/>
                <w:sz w:val="22"/>
                <w:szCs w:val="22"/>
                <w:lang w:val="en-US" w:eastAsia="zh-CN"/>
              </w:rPr>
              <w:t>杠杆水平持续偏高</w:t>
            </w:r>
          </w:p>
        </w:tc>
      </w:tr>
    </w:tbl>
    <w:p w14:paraId="01C44A75">
      <w:pPr>
        <w:rPr>
          <w:rFonts w:hint="eastAsia"/>
        </w:rPr>
      </w:pPr>
    </w:p>
    <w:p w14:paraId="5A1A7703">
      <w:pPr>
        <w:rPr>
          <w:rFonts w:hint="eastAsia"/>
        </w:rPr>
      </w:pPr>
      <w:r>
        <w:rPr>
          <w:rFonts w:hint="eastAsia"/>
        </w:rPr>
        <w:t>资料来源：A医疗集团内部经营管理资料（经脱敏与区间化处理），T年代表战略调整完成后的基准年份</w:t>
      </w:r>
    </w:p>
    <w:p w14:paraId="60906C94">
      <w:pPr>
        <w:rPr>
          <w:rFonts w:hint="eastAsia"/>
        </w:rPr>
      </w:pPr>
      <w:r>
        <w:rPr>
          <w:rFonts w:hint="eastAsia"/>
        </w:rPr>
        <w:t>关键趋势分析：</w:t>
      </w:r>
    </w:p>
    <w:p w14:paraId="7068B1CF">
      <w:pPr>
        <w:rPr>
          <w:rFonts w:hint="eastAsia"/>
        </w:rPr>
      </w:pPr>
      <w:r>
        <w:rPr>
          <w:rFonts w:hint="eastAsia"/>
        </w:rPr>
        <w:t>特征一：战略调整后初期呈现</w:t>
      </w:r>
      <w:r>
        <w:rPr>
          <w:rFonts w:hint="eastAsia"/>
          <w:lang w:eastAsia="zh-CN"/>
        </w:rPr>
        <w:t>“</w:t>
      </w:r>
      <w:r>
        <w:rPr>
          <w:rFonts w:hint="eastAsia"/>
        </w:rPr>
        <w:t>恢复性增长</w:t>
      </w:r>
      <w:r>
        <w:rPr>
          <w:rFonts w:hint="eastAsia"/>
          <w:lang w:eastAsia="zh-CN"/>
        </w:rPr>
        <w:t>”</w:t>
      </w:r>
      <w:r>
        <w:rPr>
          <w:rFonts w:hint="eastAsia"/>
        </w:rPr>
        <w:t>态势。在完成治理结构优化</w:t>
      </w:r>
      <w:r>
        <w:rPr>
          <w:rFonts w:hint="eastAsia"/>
          <w:lang w:val="en-US" w:eastAsia="zh-CN"/>
        </w:rPr>
        <w:t>后</w:t>
      </w:r>
      <w:r>
        <w:rPr>
          <w:rFonts w:hint="eastAsia"/>
        </w:rPr>
        <w:t>的管理输出期（T年至T+2年），集团营收规模从约30亿元级逐步提升至接近40亿元水平，实现温和增长；归母净利润从盈亏平衡线附近（微利数千万级别）大幅改善至亿元以上水平，实现数倍增长。这一改善部分得益于医药板块的利润贡献释放，部分得益于重整后管理效率提升与成本优化。</w:t>
      </w:r>
    </w:p>
    <w:p w14:paraId="74F0873F">
      <w:pPr>
        <w:rPr>
          <w:rFonts w:hint="eastAsia"/>
        </w:rPr>
      </w:pPr>
      <w:r>
        <w:rPr>
          <w:rFonts w:hint="eastAsia"/>
        </w:rPr>
        <w:t>特征二：近期形成</w:t>
      </w:r>
      <w:r>
        <w:rPr>
          <w:rFonts w:hint="eastAsia"/>
          <w:lang w:eastAsia="zh-CN"/>
        </w:rPr>
        <w:t>“</w:t>
      </w:r>
      <w:r>
        <w:rPr>
          <w:rFonts w:hint="eastAsia"/>
        </w:rPr>
        <w:t>断崖式</w:t>
      </w:r>
      <w:r>
        <w:rPr>
          <w:rFonts w:hint="eastAsia"/>
          <w:lang w:eastAsia="zh-CN"/>
        </w:rPr>
        <w:t>”</w:t>
      </w:r>
      <w:r>
        <w:rPr>
          <w:rFonts w:hint="eastAsia"/>
        </w:rPr>
        <w:t>调整压力。最新财年（T+3年）前三季度收入规模同比出现显著下滑（降幅超过两成），预计全年将回落至30亿元</w:t>
      </w:r>
      <w:r>
        <w:rPr>
          <w:rFonts w:hint="eastAsia"/>
          <w:lang w:eastAsia="zh-CN"/>
        </w:rPr>
        <w:t>以下</w:t>
      </w:r>
      <w:r>
        <w:rPr>
          <w:rFonts w:hint="eastAsia"/>
        </w:rPr>
        <w:t>。毛利率从前期约</w:t>
      </w:r>
      <w:r>
        <w:rPr>
          <w:rFonts w:hint="eastAsia"/>
          <w:lang w:eastAsia="zh-CN"/>
        </w:rPr>
        <w:t>30%—31%</w:t>
      </w:r>
      <w:r>
        <w:rPr>
          <w:rFonts w:hint="eastAsia"/>
        </w:rPr>
        <w:t>的较高水平骤降至</w:t>
      </w:r>
      <w:r>
        <w:rPr>
          <w:rFonts w:hint="eastAsia"/>
          <w:lang w:eastAsia="zh-CN"/>
        </w:rPr>
        <w:t>25%—27%</w:t>
      </w:r>
      <w:r>
        <w:rPr>
          <w:rFonts w:hint="eastAsia"/>
        </w:rPr>
        <w:t>（下滑约3</w:t>
      </w:r>
      <w:r>
        <w:rPr>
          <w:rFonts w:hint="eastAsia"/>
          <w:lang w:eastAsia="zh-CN"/>
        </w:rPr>
        <w:t>—</w:t>
      </w:r>
      <w:r>
        <w:rPr>
          <w:rFonts w:hint="eastAsia"/>
        </w:rPr>
        <w:t>5个百分点）。归母净利润由盈转亏，预计全年亏损</w:t>
      </w:r>
      <w:r>
        <w:rPr>
          <w:rFonts w:hint="eastAsia"/>
          <w:lang w:eastAsia="zh-CN"/>
        </w:rPr>
        <w:t>数千万</w:t>
      </w:r>
      <w:r>
        <w:rPr>
          <w:rFonts w:hint="eastAsia"/>
        </w:rPr>
        <w:t>，这是重整以来首次出现年度亏损预期。</w:t>
      </w:r>
    </w:p>
    <w:p w14:paraId="4AB4A777">
      <w:pPr>
        <w:rPr>
          <w:rFonts w:hint="eastAsia"/>
        </w:rPr>
      </w:pPr>
      <w:r>
        <w:rPr>
          <w:rFonts w:hint="eastAsia"/>
        </w:rPr>
        <w:t>特征三：增长轨迹印证</w:t>
      </w:r>
      <w:r>
        <w:rPr>
          <w:rFonts w:hint="eastAsia"/>
          <w:lang w:eastAsia="zh-CN"/>
        </w:rPr>
        <w:t>“</w:t>
      </w:r>
      <w:r>
        <w:rPr>
          <w:rFonts w:hint="eastAsia"/>
        </w:rPr>
        <w:t>双重转折点</w:t>
      </w:r>
      <w:r>
        <w:rPr>
          <w:rFonts w:hint="eastAsia"/>
          <w:lang w:eastAsia="zh-CN"/>
        </w:rPr>
        <w:t>”</w:t>
      </w:r>
      <w:r>
        <w:rPr>
          <w:rFonts w:hint="eastAsia"/>
        </w:rPr>
        <w:t>判断。T+2年虽然集团整体盈利水平创重整以来新高，但医疗主业已现承压迹象；进入T+3年，医保支付政策冲击全面显现，加之部分内部管理措施尚在推广适配期，财务表现明显恶化。这一</w:t>
      </w:r>
      <w:r>
        <w:rPr>
          <w:rFonts w:hint="eastAsia"/>
          <w:lang w:eastAsia="zh-CN"/>
        </w:rPr>
        <w:t>“</w:t>
      </w:r>
      <w:r>
        <w:rPr>
          <w:rFonts w:hint="eastAsia"/>
        </w:rPr>
        <w:t>前高后低</w:t>
      </w:r>
      <w:r>
        <w:rPr>
          <w:rFonts w:hint="eastAsia"/>
          <w:lang w:eastAsia="zh-CN"/>
        </w:rPr>
        <w:t>”</w:t>
      </w:r>
      <w:r>
        <w:rPr>
          <w:rFonts w:hint="eastAsia"/>
        </w:rPr>
        <w:t>的反转轨迹印证了本研究的核心判断：外部政策冲击与内部变革调整的叠加效应，在特定时期（T+2至T+3年）集中显现，形成经营层面的双重考验。</w:t>
      </w:r>
    </w:p>
    <w:p w14:paraId="5FB08B85">
      <w:pPr>
        <w:rPr>
          <w:rFonts w:hint="eastAsia"/>
        </w:rPr>
      </w:pPr>
    </w:p>
    <w:p w14:paraId="6A1A2006">
      <w:pPr>
        <w:pStyle w:val="3"/>
        <w:bidi w:val="0"/>
        <w:rPr>
          <w:rFonts w:hint="eastAsia"/>
        </w:rPr>
      </w:pPr>
      <w:bookmarkStart w:id="56" w:name="_Toc16563"/>
      <w:r>
        <w:rPr>
          <w:rFonts w:hint="eastAsia"/>
        </w:rPr>
        <w:t>供应链协同的</w:t>
      </w:r>
      <w:r>
        <w:rPr>
          <w:rFonts w:hint="eastAsia"/>
          <w:lang w:eastAsia="zh-CN"/>
        </w:rPr>
        <w:t>“</w:t>
      </w:r>
      <w:r>
        <w:rPr>
          <w:rFonts w:hint="eastAsia"/>
        </w:rPr>
        <w:t>双刃剑</w:t>
      </w:r>
      <w:r>
        <w:rPr>
          <w:rFonts w:hint="eastAsia"/>
          <w:lang w:eastAsia="zh-CN"/>
        </w:rPr>
        <w:t>”</w:t>
      </w:r>
      <w:r>
        <w:rPr>
          <w:rFonts w:hint="eastAsia"/>
        </w:rPr>
        <w:t>效应：利润蓄水池与院区抽水机</w:t>
      </w:r>
      <w:bookmarkEnd w:id="56"/>
    </w:p>
    <w:p w14:paraId="45F074F4">
      <w:pPr>
        <w:pStyle w:val="4"/>
        <w:bidi w:val="0"/>
        <w:rPr>
          <w:rFonts w:hint="eastAsia"/>
        </w:rPr>
      </w:pPr>
      <w:bookmarkStart w:id="57" w:name="_Toc23335"/>
      <w:r>
        <w:rPr>
          <w:rFonts w:hint="eastAsia"/>
        </w:rPr>
        <w:t>供应链平台的利润挖掘机制</w:t>
      </w:r>
      <w:bookmarkEnd w:id="57"/>
    </w:p>
    <w:p w14:paraId="25D6BC1A">
      <w:pPr>
        <w:rPr>
          <w:rFonts w:hint="eastAsia"/>
        </w:rPr>
      </w:pPr>
      <w:r>
        <w:rPr>
          <w:rFonts w:hint="eastAsia"/>
          <w:lang w:eastAsia="zh-CN"/>
        </w:rPr>
        <w:t>A医疗集团</w:t>
      </w:r>
      <w:r>
        <w:rPr>
          <w:rFonts w:hint="eastAsia"/>
        </w:rPr>
        <w:t>的供应链平台通过三大机制实现利润挖掘：</w:t>
      </w:r>
    </w:p>
    <w:p w14:paraId="0F5CA00D">
      <w:pPr>
        <w:rPr>
          <w:rFonts w:hint="eastAsia"/>
        </w:rPr>
      </w:pPr>
      <w:r>
        <w:rPr>
          <w:rFonts w:hint="eastAsia"/>
        </w:rPr>
        <w:t>机制一：</w:t>
      </w:r>
      <w:r>
        <w:rPr>
          <w:rFonts w:hint="eastAsia"/>
          <w:lang w:eastAsia="zh-CN"/>
        </w:rPr>
        <w:t>集中管理协同收益</w:t>
      </w:r>
      <w:r>
        <w:rPr>
          <w:rFonts w:hint="eastAsia"/>
        </w:rPr>
        <w:t>率提升。 2022年，集团对供应链</w:t>
      </w:r>
      <w:r>
        <w:rPr>
          <w:rFonts w:hint="eastAsia"/>
          <w:lang w:eastAsia="zh-CN"/>
        </w:rPr>
        <w:t>集中管理协同收益</w:t>
      </w:r>
      <w:r>
        <w:rPr>
          <w:rFonts w:hint="eastAsia"/>
        </w:rPr>
        <w:t>率进行了系统性调整。其中最具代表性的举措是</w:t>
      </w:r>
      <w:r>
        <w:rPr>
          <w:rFonts w:hint="eastAsia"/>
          <w:lang w:val="en-US" w:eastAsia="zh-CN"/>
        </w:rPr>
        <w:t>某</w:t>
      </w:r>
      <w:r>
        <w:rPr>
          <w:rFonts w:hint="eastAsia"/>
        </w:rPr>
        <w:t>核心品</w:t>
      </w:r>
      <w:r>
        <w:rPr>
          <w:rFonts w:hint="eastAsia"/>
          <w:lang w:eastAsia="zh-CN"/>
        </w:rPr>
        <w:t>集中管理协同收益</w:t>
      </w:r>
      <w:r>
        <w:rPr>
          <w:rFonts w:hint="eastAsia"/>
        </w:rPr>
        <w:t>显著上调，供应链平台的单品类利润贡献大幅提升，仅此一项调整，2023 年为集团贡献增量利润超 1500 万元</w:t>
      </w:r>
      <w:r>
        <w:rPr>
          <w:rFonts w:hint="eastAsia"/>
          <w:lang w:eastAsia="zh-CN"/>
        </w:rPr>
        <w:t>。</w:t>
      </w:r>
    </w:p>
    <w:p w14:paraId="6830A2D5">
      <w:pPr>
        <w:rPr>
          <w:rFonts w:hint="eastAsia"/>
        </w:rPr>
      </w:pPr>
      <w:r>
        <w:rPr>
          <w:rFonts w:hint="eastAsia"/>
        </w:rPr>
        <w:t>机制二：账期延长（DPO管理）。 集团通过与供应商的强势谈判，将应付账款周转天数（DPO）从行业平均的90天大幅延长。根据</w:t>
      </w:r>
      <w:r>
        <w:rPr>
          <w:rFonts w:hint="eastAsia"/>
          <w:lang w:val="en-US" w:eastAsia="zh-CN"/>
        </w:rPr>
        <w:t>A</w:t>
      </w:r>
      <w:r>
        <w:rPr>
          <w:rFonts w:hint="eastAsia"/>
        </w:rPr>
        <w:t>医疗集团内部资料（脱敏）</w:t>
      </w:r>
    </w:p>
    <w:p w14:paraId="4CD8A959">
      <w:pPr>
        <w:jc w:val="center"/>
        <w:rPr>
          <w:rFonts w:hint="eastAsia" w:ascii="Times New Roman" w:hAnsi="Times New Roman" w:eastAsia="宋体" w:cs="Times New Roman"/>
          <w:b/>
          <w:kern w:val="2"/>
          <w:sz w:val="21"/>
          <w:szCs w:val="20"/>
          <w:lang w:val="en-US" w:eastAsia="zh-CN" w:bidi="ar-SA"/>
        </w:rPr>
      </w:pPr>
      <w:r>
        <w:rPr>
          <w:rFonts w:ascii="Times New Roman" w:hAnsi="Times New Roman"/>
          <w:sz w:val="21"/>
        </w:rPr>
        <w:t>表 3.2 A医疗集团各院区供应链账期（DPO）情况</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427"/>
        <w:gridCol w:w="1427"/>
        <w:gridCol w:w="946"/>
        <w:gridCol w:w="2416"/>
      </w:tblGrid>
      <w:tr w14:paraId="1C11D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30EB6E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院区</w:t>
            </w:r>
          </w:p>
        </w:tc>
        <w:tc>
          <w:tcPr>
            <w:tcW w:w="0" w:type="auto"/>
          </w:tcPr>
          <w:p w14:paraId="08ACCB6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2022年DPO</w:t>
            </w:r>
          </w:p>
        </w:tc>
        <w:tc>
          <w:tcPr>
            <w:tcW w:w="0" w:type="auto"/>
          </w:tcPr>
          <w:p w14:paraId="5CC208B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2024年DPO</w:t>
            </w:r>
          </w:p>
        </w:tc>
        <w:tc>
          <w:tcPr>
            <w:tcW w:w="0" w:type="auto"/>
          </w:tcPr>
          <w:p w14:paraId="39C397F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增幅</w:t>
            </w:r>
          </w:p>
        </w:tc>
        <w:tc>
          <w:tcPr>
            <w:tcW w:w="0" w:type="auto"/>
          </w:tcPr>
          <w:p w14:paraId="0C34399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备注</w:t>
            </w:r>
          </w:p>
        </w:tc>
      </w:tr>
      <w:tr w14:paraId="7262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62404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H1医院</w:t>
            </w:r>
          </w:p>
        </w:tc>
        <w:tc>
          <w:tcPr>
            <w:tcW w:w="0" w:type="auto"/>
          </w:tcPr>
          <w:p w14:paraId="28A9ED3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180天</w:t>
            </w:r>
          </w:p>
        </w:tc>
        <w:tc>
          <w:tcPr>
            <w:tcW w:w="0" w:type="auto"/>
          </w:tcPr>
          <w:p w14:paraId="1FA7908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270天</w:t>
            </w:r>
          </w:p>
        </w:tc>
        <w:tc>
          <w:tcPr>
            <w:tcW w:w="0" w:type="auto"/>
          </w:tcPr>
          <w:p w14:paraId="1270185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+90天</w:t>
            </w:r>
          </w:p>
        </w:tc>
        <w:tc>
          <w:tcPr>
            <w:tcW w:w="0" w:type="auto"/>
          </w:tcPr>
          <w:p w14:paraId="171E4F7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主动控制，配合现金流</w:t>
            </w:r>
          </w:p>
        </w:tc>
      </w:tr>
      <w:tr w14:paraId="54DD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408188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H2医院</w:t>
            </w:r>
          </w:p>
        </w:tc>
        <w:tc>
          <w:tcPr>
            <w:tcW w:w="0" w:type="auto"/>
          </w:tcPr>
          <w:p w14:paraId="498093C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270天</w:t>
            </w:r>
          </w:p>
        </w:tc>
        <w:tc>
          <w:tcPr>
            <w:tcW w:w="0" w:type="auto"/>
          </w:tcPr>
          <w:p w14:paraId="7011314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390天</w:t>
            </w:r>
          </w:p>
        </w:tc>
        <w:tc>
          <w:tcPr>
            <w:tcW w:w="0" w:type="auto"/>
          </w:tcPr>
          <w:p w14:paraId="2357721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+120天</w:t>
            </w:r>
          </w:p>
        </w:tc>
        <w:tc>
          <w:tcPr>
            <w:tcW w:w="0" w:type="auto"/>
          </w:tcPr>
          <w:p w14:paraId="0AC5859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转型期被动延长</w:t>
            </w:r>
          </w:p>
        </w:tc>
      </w:tr>
      <w:tr w14:paraId="11311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AC631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H3医院</w:t>
            </w:r>
          </w:p>
        </w:tc>
        <w:tc>
          <w:tcPr>
            <w:tcW w:w="0" w:type="auto"/>
          </w:tcPr>
          <w:p w14:paraId="2930F3C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180天</w:t>
            </w:r>
          </w:p>
        </w:tc>
        <w:tc>
          <w:tcPr>
            <w:tcW w:w="0" w:type="auto"/>
          </w:tcPr>
          <w:p w14:paraId="21BC7C9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300天</w:t>
            </w:r>
          </w:p>
        </w:tc>
        <w:tc>
          <w:tcPr>
            <w:tcW w:w="0" w:type="auto"/>
          </w:tcPr>
          <w:p w14:paraId="528F29C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+120天</w:t>
            </w:r>
          </w:p>
        </w:tc>
        <w:tc>
          <w:tcPr>
            <w:tcW w:w="0" w:type="auto"/>
          </w:tcPr>
          <w:p w14:paraId="58E2558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历史欠账压力</w:t>
            </w:r>
          </w:p>
        </w:tc>
      </w:tr>
      <w:tr w14:paraId="70ADC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B43B61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集团平均</w:t>
            </w:r>
          </w:p>
        </w:tc>
        <w:tc>
          <w:tcPr>
            <w:tcW w:w="0" w:type="auto"/>
          </w:tcPr>
          <w:p w14:paraId="5570A84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200天</w:t>
            </w:r>
          </w:p>
        </w:tc>
        <w:tc>
          <w:tcPr>
            <w:tcW w:w="0" w:type="auto"/>
          </w:tcPr>
          <w:p w14:paraId="5159B8F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320天</w:t>
            </w:r>
          </w:p>
        </w:tc>
        <w:tc>
          <w:tcPr>
            <w:tcW w:w="0" w:type="auto"/>
          </w:tcPr>
          <w:p w14:paraId="356FAAC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+120天</w:t>
            </w:r>
          </w:p>
        </w:tc>
        <w:tc>
          <w:tcPr>
            <w:tcW w:w="0" w:type="auto"/>
          </w:tcPr>
          <w:p w14:paraId="5C9AF25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w:t>
            </w:r>
          </w:p>
        </w:tc>
      </w:tr>
    </w:tbl>
    <w:p w14:paraId="58041DF9">
      <w:pPr>
        <w:rPr>
          <w:rFonts w:hint="eastAsia"/>
        </w:rPr>
      </w:pPr>
    </w:p>
    <w:p w14:paraId="7C578D51">
      <w:pPr>
        <w:rPr>
          <w:rFonts w:hint="eastAsia"/>
        </w:rPr>
      </w:pPr>
      <w:r>
        <w:rPr>
          <w:rFonts w:hint="eastAsia"/>
        </w:rPr>
        <w:t>账期延长的财务效应是显著的：按集团年采购额</w:t>
      </w:r>
      <w:r>
        <w:rPr>
          <w:rFonts w:hint="eastAsia"/>
          <w:lang w:val="en-US" w:eastAsia="zh-CN"/>
        </w:rPr>
        <w:t>超</w:t>
      </w:r>
      <w:r>
        <w:rPr>
          <w:rFonts w:hint="eastAsia"/>
        </w:rPr>
        <w:t>1</w:t>
      </w:r>
      <w:r>
        <w:rPr>
          <w:rFonts w:hint="eastAsia"/>
          <w:lang w:val="en-US" w:eastAsia="zh-CN"/>
        </w:rPr>
        <w:t>0</w:t>
      </w:r>
      <w:r>
        <w:rPr>
          <w:rFonts w:hint="eastAsia"/>
        </w:rPr>
        <w:t>亿元、资金成本4%计算，账期从200天延长至320天，相当于额外获得</w:t>
      </w:r>
      <w:r>
        <w:rPr>
          <w:rFonts w:hint="eastAsia"/>
          <w:lang w:val="en-US" w:eastAsia="zh-CN"/>
        </w:rPr>
        <w:t>超1000</w:t>
      </w:r>
      <w:r>
        <w:rPr>
          <w:rFonts w:hint="eastAsia"/>
        </w:rPr>
        <w:t>万元的无息资金收益。</w:t>
      </w:r>
    </w:p>
    <w:p w14:paraId="3E1FE01E">
      <w:pPr>
        <w:rPr>
          <w:rFonts w:hint="eastAsia"/>
        </w:rPr>
      </w:pPr>
      <w:r>
        <w:rPr>
          <w:rFonts w:hint="eastAsia"/>
        </w:rPr>
        <w:t xml:space="preserve">机制三：质保金收缴与历史利润追缴。 </w:t>
      </w:r>
      <w:r>
        <w:rPr>
          <w:rFonts w:hint="eastAsia"/>
          <w:lang w:eastAsia="zh-CN"/>
        </w:rPr>
        <w:t>202</w:t>
      </w:r>
      <w:r>
        <w:rPr>
          <w:rFonts w:hint="eastAsia"/>
          <w:lang w:val="en-US" w:eastAsia="zh-CN"/>
        </w:rPr>
        <w:t>2</w:t>
      </w:r>
      <w:r>
        <w:rPr>
          <w:rFonts w:hint="eastAsia"/>
          <w:lang w:eastAsia="zh-CN"/>
        </w:rPr>
        <w:t>—202</w:t>
      </w:r>
      <w:r>
        <w:rPr>
          <w:rFonts w:hint="eastAsia"/>
          <w:lang w:val="en-US" w:eastAsia="zh-CN"/>
        </w:rPr>
        <w:t>3</w:t>
      </w:r>
      <w:r>
        <w:rPr>
          <w:rFonts w:hint="eastAsia"/>
        </w:rPr>
        <w:t>年间，集团通过供应商质保金制度、历史合规</w:t>
      </w:r>
      <w:r>
        <w:rPr>
          <w:rFonts w:hint="eastAsia"/>
          <w:lang w:val="en-US" w:eastAsia="zh-CN"/>
        </w:rPr>
        <w:t>集中管理协同收益</w:t>
      </w:r>
      <w:r>
        <w:rPr>
          <w:rFonts w:hint="eastAsia"/>
        </w:rPr>
        <w:t>追缴，累计实现数千万元的利润补充。</w:t>
      </w:r>
    </w:p>
    <w:p w14:paraId="2E300D0C">
      <w:pPr>
        <w:pStyle w:val="4"/>
        <w:bidi w:val="0"/>
        <w:rPr>
          <w:rFonts w:hint="eastAsia"/>
        </w:rPr>
      </w:pPr>
      <w:bookmarkStart w:id="58" w:name="_Toc12997"/>
      <w:r>
        <w:rPr>
          <w:rFonts w:hint="eastAsia"/>
          <w:lang w:eastAsia="zh-CN"/>
        </w:rPr>
        <w:t>“</w:t>
      </w:r>
      <w:r>
        <w:rPr>
          <w:rFonts w:hint="eastAsia"/>
        </w:rPr>
        <w:t>双刃剑</w:t>
      </w:r>
      <w:r>
        <w:rPr>
          <w:rFonts w:hint="eastAsia"/>
          <w:lang w:eastAsia="zh-CN"/>
        </w:rPr>
        <w:t>”</w:t>
      </w:r>
      <w:r>
        <w:rPr>
          <w:rFonts w:hint="eastAsia"/>
        </w:rPr>
        <w:t>效应的深度剖析</w:t>
      </w:r>
      <w:bookmarkEnd w:id="58"/>
    </w:p>
    <w:p w14:paraId="107DAE49">
      <w:pPr>
        <w:rPr>
          <w:rFonts w:hint="eastAsia"/>
        </w:rPr>
      </w:pPr>
      <w:r>
        <w:rPr>
          <w:rFonts w:hint="eastAsia"/>
        </w:rPr>
        <w:t>供应链平台的利润挖掘机制，在集团合并报表层面体现为利润贡献，但在院区层面则产生了利润转移效应。这种</w:t>
      </w:r>
      <w:r>
        <w:rPr>
          <w:rFonts w:hint="eastAsia"/>
          <w:lang w:eastAsia="zh-CN"/>
        </w:rPr>
        <w:t>“</w:t>
      </w:r>
      <w:r>
        <w:rPr>
          <w:rFonts w:hint="eastAsia"/>
        </w:rPr>
        <w:t>一方得利、另一方受损</w:t>
      </w:r>
      <w:r>
        <w:rPr>
          <w:rFonts w:hint="eastAsia"/>
          <w:lang w:eastAsia="zh-CN"/>
        </w:rPr>
        <w:t>”</w:t>
      </w:r>
      <w:r>
        <w:rPr>
          <w:rFonts w:hint="eastAsia"/>
        </w:rPr>
        <w:t>的结构，构成了典型的</w:t>
      </w:r>
      <w:r>
        <w:rPr>
          <w:rFonts w:hint="eastAsia"/>
          <w:lang w:eastAsia="zh-CN"/>
        </w:rPr>
        <w:t>“</w:t>
      </w:r>
      <w:r>
        <w:rPr>
          <w:rFonts w:hint="eastAsia"/>
        </w:rPr>
        <w:t>双刃剑</w:t>
      </w:r>
      <w:r>
        <w:rPr>
          <w:rFonts w:hint="eastAsia"/>
          <w:lang w:eastAsia="zh-CN"/>
        </w:rPr>
        <w:t>”</w:t>
      </w:r>
      <w:r>
        <w:rPr>
          <w:rFonts w:hint="eastAsia"/>
        </w:rPr>
        <w:t>效应。</w:t>
      </w:r>
    </w:p>
    <w:p w14:paraId="286B17B0">
      <w:pPr>
        <w:pStyle w:val="5"/>
        <w:bidi w:val="0"/>
        <w:rPr>
          <w:rFonts w:hint="eastAsia"/>
        </w:rPr>
      </w:pPr>
      <w:r>
        <w:rPr>
          <w:rFonts w:hint="eastAsia"/>
        </w:rPr>
        <w:t>正面效应：利润</w:t>
      </w:r>
      <w:r>
        <w:rPr>
          <w:rFonts w:hint="eastAsia"/>
          <w:lang w:eastAsia="zh-CN"/>
        </w:rPr>
        <w:t>“</w:t>
      </w:r>
      <w:r>
        <w:rPr>
          <w:rFonts w:hint="eastAsia"/>
        </w:rPr>
        <w:t>蓄水池</w:t>
      </w:r>
      <w:r>
        <w:rPr>
          <w:rFonts w:hint="eastAsia"/>
          <w:lang w:eastAsia="zh-CN"/>
        </w:rPr>
        <w:t>”</w:t>
      </w:r>
    </w:p>
    <w:p w14:paraId="1AABEB1F">
      <w:pPr>
        <w:rPr>
          <w:rFonts w:hint="eastAsia"/>
        </w:rPr>
      </w:pPr>
      <w:r>
        <w:rPr>
          <w:rFonts w:hint="eastAsia"/>
        </w:rPr>
        <w:t>供应链平台为集团构建了一个稳定的利润</w:t>
      </w:r>
      <w:r>
        <w:rPr>
          <w:rFonts w:hint="eastAsia"/>
          <w:lang w:eastAsia="zh-CN"/>
        </w:rPr>
        <w:t>“</w:t>
      </w:r>
      <w:r>
        <w:rPr>
          <w:rFonts w:hint="eastAsia"/>
        </w:rPr>
        <w:t>蓄水池</w:t>
      </w:r>
      <w:r>
        <w:rPr>
          <w:rFonts w:hint="eastAsia"/>
          <w:lang w:eastAsia="zh-CN"/>
        </w:rPr>
        <w:t>”</w:t>
      </w:r>
      <w:r>
        <w:rPr>
          <w:rFonts w:hint="eastAsia"/>
        </w:rPr>
        <w:t>：</w:t>
      </w:r>
    </w:p>
    <w:p w14:paraId="776D5AB6">
      <w:pPr>
        <w:numPr>
          <w:ilvl w:val="0"/>
          <w:numId w:val="7"/>
        </w:numPr>
        <w:ind w:left="420" w:leftChars="0" w:hanging="420" w:firstLineChars="0"/>
        <w:rPr>
          <w:rFonts w:hint="eastAsia"/>
        </w:rPr>
      </w:pPr>
      <w:r>
        <w:rPr>
          <w:rFonts w:hint="eastAsia"/>
        </w:rPr>
        <w:t>抵御政策冲击：当医保支付收紧导致院端亏损时，供应链利润可部分对冲损失</w:t>
      </w:r>
    </w:p>
    <w:p w14:paraId="1E82B455">
      <w:pPr>
        <w:numPr>
          <w:ilvl w:val="0"/>
          <w:numId w:val="7"/>
        </w:numPr>
        <w:ind w:left="420" w:leftChars="0" w:hanging="420" w:firstLineChars="0"/>
        <w:rPr>
          <w:rFonts w:hint="eastAsia"/>
        </w:rPr>
      </w:pPr>
      <w:r>
        <w:rPr>
          <w:rFonts w:hint="eastAsia"/>
        </w:rPr>
        <w:t>平滑利润波动：供应链利润的稳定性高于医疗服务利润，有助于降低财务波动</w:t>
      </w:r>
    </w:p>
    <w:p w14:paraId="53A077C1">
      <w:pPr>
        <w:numPr>
          <w:ilvl w:val="0"/>
          <w:numId w:val="7"/>
        </w:numPr>
        <w:ind w:left="420" w:leftChars="0" w:hanging="420" w:firstLineChars="0"/>
        <w:rPr>
          <w:rFonts w:hint="eastAsia"/>
        </w:rPr>
      </w:pPr>
      <w:r>
        <w:rPr>
          <w:rFonts w:hint="eastAsia"/>
        </w:rPr>
        <w:t>增强议价能力：集中采购形成的规模效应，提升了对上游供应商的议价能力</w:t>
      </w:r>
    </w:p>
    <w:p w14:paraId="5EE797D5">
      <w:pPr>
        <w:pStyle w:val="5"/>
        <w:bidi w:val="0"/>
        <w:rPr>
          <w:rFonts w:hint="eastAsia"/>
        </w:rPr>
      </w:pPr>
      <w:r>
        <w:rPr>
          <w:rFonts w:hint="eastAsia"/>
        </w:rPr>
        <w:t>负面效应：院区</w:t>
      </w:r>
      <w:r>
        <w:rPr>
          <w:rFonts w:hint="eastAsia"/>
          <w:lang w:eastAsia="zh-CN"/>
        </w:rPr>
        <w:t>“</w:t>
      </w:r>
      <w:r>
        <w:rPr>
          <w:rFonts w:hint="eastAsia"/>
        </w:rPr>
        <w:t>抽水机</w:t>
      </w:r>
      <w:r>
        <w:rPr>
          <w:rFonts w:hint="eastAsia"/>
          <w:lang w:eastAsia="zh-CN"/>
        </w:rPr>
        <w:t>”</w:t>
      </w:r>
    </w:p>
    <w:p w14:paraId="48474A4C">
      <w:pPr>
        <w:rPr>
          <w:rFonts w:hint="eastAsia"/>
        </w:rPr>
      </w:pPr>
      <w:r>
        <w:rPr>
          <w:rFonts w:hint="eastAsia"/>
        </w:rPr>
        <w:t>然而，从委托代理视角审视</w:t>
      </w:r>
      <w:r>
        <w:rPr>
          <w:rFonts w:hint="default" w:ascii="Times New Roman" w:hAnsi="Times New Roman" w:eastAsia="宋体" w:cs="Times New Roman"/>
          <w:sz w:val="24"/>
          <w:szCs w:val="24"/>
          <w:vertAlign w:val="superscript"/>
        </w:rPr>
        <w:t>[49]</w:t>
      </w:r>
      <w:r>
        <w:rPr>
          <w:rFonts w:hint="eastAsia"/>
        </w:rPr>
        <w:t>，供应链平台的</w:t>
      </w:r>
      <w:r>
        <w:rPr>
          <w:rFonts w:hint="eastAsia"/>
          <w:lang w:eastAsia="zh-CN"/>
        </w:rPr>
        <w:t>“</w:t>
      </w:r>
      <w:r>
        <w:rPr>
          <w:rFonts w:hint="eastAsia"/>
        </w:rPr>
        <w:t>抽水机</w:t>
      </w:r>
      <w:r>
        <w:rPr>
          <w:rFonts w:hint="eastAsia"/>
          <w:lang w:eastAsia="zh-CN"/>
        </w:rPr>
        <w:t>”</w:t>
      </w:r>
      <w:r>
        <w:rPr>
          <w:rFonts w:hint="eastAsia"/>
        </w:rPr>
        <w:t>效应本质是目标冲突下的利益侵占：集团（委托人）通过延长账期、提高协同收益率最大化集团整体现金流，但院区（代理人）承担了由此产生的采购成本隐性上涨。这种信息不对称（集团掌握定价权，院区掌握真实成本信息）导致的道德风险，使得供应链协同收益成为变相的代理成本转移：</w:t>
      </w:r>
    </w:p>
    <w:p w14:paraId="4520B538">
      <w:pPr>
        <w:rPr>
          <w:rFonts w:hint="eastAsia"/>
        </w:rPr>
      </w:pPr>
      <w:r>
        <w:rPr>
          <w:rFonts w:hint="eastAsia"/>
        </w:rPr>
        <w:t>第一，</w:t>
      </w:r>
      <w:r>
        <w:rPr>
          <w:rFonts w:hint="eastAsia"/>
          <w:lang w:eastAsia="zh-CN"/>
        </w:rPr>
        <w:t>集中管理协同收益</w:t>
      </w:r>
      <w:r>
        <w:rPr>
          <w:rFonts w:hint="eastAsia"/>
        </w:rPr>
        <w:t>侵蚀院区利润空间。 以</w:t>
      </w:r>
      <w:r>
        <w:rPr>
          <w:rFonts w:hint="eastAsia"/>
          <w:lang w:eastAsia="zh-CN"/>
        </w:rPr>
        <w:t>产品A</w:t>
      </w:r>
      <w:r>
        <w:rPr>
          <w:rFonts w:hint="eastAsia"/>
        </w:rPr>
        <w:t>为例，</w:t>
      </w:r>
      <w:r>
        <w:rPr>
          <w:rFonts w:hint="eastAsia"/>
          <w:lang w:eastAsia="zh-CN"/>
        </w:rPr>
        <w:t>集中管理协同收益</w:t>
      </w:r>
      <w:r>
        <w:rPr>
          <w:rFonts w:hint="eastAsia"/>
          <w:lang w:val="en-US" w:eastAsia="zh-CN"/>
        </w:rPr>
        <w:t>提升2</w:t>
      </w:r>
      <w:r>
        <w:rPr>
          <w:rFonts w:hint="eastAsia"/>
        </w:rPr>
        <w:t>0%后，每100元采购成本中，院区</w:t>
      </w:r>
      <w:r>
        <w:rPr>
          <w:rFonts w:hint="eastAsia"/>
          <w:lang w:val="en-US" w:eastAsia="zh-CN"/>
        </w:rPr>
        <w:t>无形中额外多承担20元</w:t>
      </w:r>
      <w:r>
        <w:rPr>
          <w:rFonts w:hint="eastAsia"/>
        </w:rPr>
        <w:t>成本。对于本已承受医保控费压力的院区而言，这无异于</w:t>
      </w:r>
      <w:r>
        <w:rPr>
          <w:rFonts w:hint="eastAsia"/>
          <w:lang w:eastAsia="zh-CN"/>
        </w:rPr>
        <w:t>“</w:t>
      </w:r>
      <w:r>
        <w:rPr>
          <w:rFonts w:hint="eastAsia"/>
        </w:rPr>
        <w:t>雪上加霜</w:t>
      </w:r>
      <w:r>
        <w:rPr>
          <w:rFonts w:hint="eastAsia"/>
          <w:lang w:eastAsia="zh-CN"/>
        </w:rPr>
        <w:t>”</w:t>
      </w:r>
      <w:r>
        <w:rPr>
          <w:rFonts w:hint="eastAsia"/>
        </w:rPr>
        <w:t>。</w:t>
      </w:r>
    </w:p>
    <w:p w14:paraId="35AFC012">
      <w:pPr>
        <w:rPr>
          <w:rFonts w:hint="eastAsia"/>
        </w:rPr>
      </w:pPr>
      <w:r>
        <w:rPr>
          <w:rFonts w:hint="eastAsia"/>
        </w:rPr>
        <w:t>第二，账期延长转嫁资金成本。 虽然账期延长在集团层面表现为</w:t>
      </w:r>
      <w:r>
        <w:rPr>
          <w:rFonts w:hint="eastAsia"/>
          <w:lang w:eastAsia="zh-CN"/>
        </w:rPr>
        <w:t>“</w:t>
      </w:r>
      <w:r>
        <w:rPr>
          <w:rFonts w:hint="eastAsia"/>
        </w:rPr>
        <w:t>无息负债</w:t>
      </w:r>
      <w:r>
        <w:rPr>
          <w:rFonts w:hint="eastAsia"/>
          <w:lang w:eastAsia="zh-CN"/>
        </w:rPr>
        <w:t>”</w:t>
      </w:r>
      <w:r>
        <w:rPr>
          <w:rFonts w:hint="eastAsia"/>
        </w:rPr>
        <w:t>，但供应商并非慈善机构——他们必然会将资金成本转嫁至采购价格中。据测算，账期每延长100天，采购价格隐性上涨约</w:t>
      </w:r>
      <w:r>
        <w:rPr>
          <w:rFonts w:hint="eastAsia"/>
          <w:lang w:eastAsia="zh-CN"/>
        </w:rPr>
        <w:t>1.5%—2%</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4</w:t>
      </w:r>
      <w:r>
        <w:rPr>
          <w:rFonts w:hint="default" w:ascii="Times New Roman" w:hAnsi="Times New Roman" w:eastAsia="宋体" w:cs="Times New Roman"/>
          <w:kern w:val="2"/>
          <w:sz w:val="24"/>
          <w:szCs w:val="24"/>
          <w:vertAlign w:val="superscript"/>
        </w:rPr>
        <w:t>]</w:t>
      </w:r>
      <w:r>
        <w:rPr>
          <w:rFonts w:hint="eastAsia"/>
        </w:rPr>
        <w:t>。这一隐性成本最终由院区承担。</w:t>
      </w:r>
    </w:p>
    <w:p w14:paraId="48B48FF9">
      <w:pPr>
        <w:rPr>
          <w:rFonts w:hint="eastAsia"/>
        </w:rPr>
      </w:pPr>
      <w:r>
        <w:rPr>
          <w:rFonts w:hint="eastAsia"/>
        </w:rPr>
        <w:t>第三，</w:t>
      </w:r>
      <w:r>
        <w:rPr>
          <w:rFonts w:hint="eastAsia"/>
          <w:lang w:eastAsia="zh-CN"/>
        </w:rPr>
        <w:t>“</w:t>
      </w:r>
      <w:r>
        <w:rPr>
          <w:rFonts w:hint="eastAsia"/>
        </w:rPr>
        <w:t>蓄水池</w:t>
      </w:r>
      <w:r>
        <w:rPr>
          <w:rFonts w:hint="eastAsia"/>
          <w:lang w:eastAsia="zh-CN"/>
        </w:rPr>
        <w:t>”</w:t>
      </w:r>
      <w:r>
        <w:rPr>
          <w:rFonts w:hint="eastAsia"/>
        </w:rPr>
        <w:t>掩盖效率低下。 当集团整体盈利表现尚可时，管理层对个别院区的医保亏损可能缺乏足够的紧迫感。供应链利润的</w:t>
      </w:r>
      <w:r>
        <w:rPr>
          <w:rFonts w:hint="eastAsia"/>
          <w:lang w:eastAsia="zh-CN"/>
        </w:rPr>
        <w:t>“</w:t>
      </w:r>
      <w:r>
        <w:rPr>
          <w:rFonts w:hint="eastAsia"/>
        </w:rPr>
        <w:t>补贴</w:t>
      </w:r>
      <w:r>
        <w:rPr>
          <w:rFonts w:hint="eastAsia"/>
          <w:lang w:eastAsia="zh-CN"/>
        </w:rPr>
        <w:t>”</w:t>
      </w:r>
      <w:r>
        <w:rPr>
          <w:rFonts w:hint="eastAsia"/>
        </w:rPr>
        <w:t>作用，可能延缓院区提升临床效率的改革动力。</w:t>
      </w:r>
    </w:p>
    <w:p w14:paraId="568DDF10">
      <w:pPr>
        <w:rPr>
          <w:rFonts w:hint="eastAsia"/>
        </w:rPr>
      </w:pPr>
      <w:r>
        <w:rPr>
          <w:rFonts w:hint="eastAsia"/>
        </w:rPr>
        <w:t>供应链协同存在</w:t>
      </w:r>
      <w:r>
        <w:rPr>
          <w:rFonts w:hint="eastAsia"/>
          <w:lang w:eastAsia="zh-CN"/>
        </w:rPr>
        <w:t>“</w:t>
      </w:r>
      <w:r>
        <w:rPr>
          <w:rFonts w:hint="eastAsia"/>
        </w:rPr>
        <w:t>双刃剑</w:t>
      </w:r>
      <w:r>
        <w:rPr>
          <w:rFonts w:hint="eastAsia"/>
          <w:lang w:eastAsia="zh-CN"/>
        </w:rPr>
        <w:t>”</w:t>
      </w:r>
      <w:r>
        <w:rPr>
          <w:rFonts w:hint="eastAsia"/>
        </w:rPr>
        <w:t>效应：在集团层面，通过</w:t>
      </w:r>
      <w:r>
        <w:rPr>
          <w:rFonts w:hint="eastAsia"/>
          <w:lang w:eastAsia="zh-CN"/>
        </w:rPr>
        <w:t>集中管理协同收益</w:t>
      </w:r>
      <w:r>
        <w:rPr>
          <w:rFonts w:hint="eastAsia"/>
        </w:rPr>
        <w:t>收缴、账期管理等方式形成利润贡献；但在院区层面，</w:t>
      </w:r>
      <w:r>
        <w:rPr>
          <w:rFonts w:hint="eastAsia"/>
          <w:lang w:eastAsia="zh-CN"/>
        </w:rPr>
        <w:t>集中管理协同收益</w:t>
      </w:r>
      <w:r>
        <w:rPr>
          <w:rFonts w:hint="eastAsia"/>
        </w:rPr>
        <w:t>支出和供应商价格转嫁可能抵消部分收益。</w:t>
      </w:r>
      <w:r>
        <w:rPr>
          <w:rFonts w:hint="eastAsia"/>
          <w:lang w:val="en-US" w:eastAsia="zh-CN"/>
        </w:rPr>
        <w:t>因此，</w:t>
      </w:r>
      <w:r>
        <w:rPr>
          <w:rFonts w:hint="eastAsia"/>
        </w:rPr>
        <w:t>供应链</w:t>
      </w:r>
      <w:r>
        <w:rPr>
          <w:rFonts w:hint="eastAsia"/>
          <w:lang w:eastAsia="zh-CN"/>
        </w:rPr>
        <w:t>“</w:t>
      </w:r>
      <w:r>
        <w:rPr>
          <w:rFonts w:hint="eastAsia"/>
        </w:rPr>
        <w:t>双刃剑</w:t>
      </w:r>
      <w:r>
        <w:rPr>
          <w:rFonts w:hint="eastAsia"/>
          <w:lang w:eastAsia="zh-CN"/>
        </w:rPr>
        <w:t>”</w:t>
      </w:r>
      <w:r>
        <w:rPr>
          <w:rFonts w:hint="eastAsia"/>
        </w:rPr>
        <w:t>的净效应在院区层面趋近于零，甚至为负——集团从供应链获取的收益，几乎完全由院区以各种形式</w:t>
      </w:r>
      <w:r>
        <w:rPr>
          <w:rFonts w:hint="eastAsia"/>
          <w:lang w:eastAsia="zh-CN"/>
        </w:rPr>
        <w:t>“</w:t>
      </w:r>
      <w:r>
        <w:rPr>
          <w:rFonts w:hint="eastAsia"/>
        </w:rPr>
        <w:t>买单</w:t>
      </w:r>
      <w:r>
        <w:rPr>
          <w:rFonts w:hint="eastAsia"/>
          <w:lang w:eastAsia="zh-CN"/>
        </w:rPr>
        <w:t>”</w:t>
      </w:r>
      <w:r>
        <w:rPr>
          <w:rFonts w:hint="eastAsia"/>
        </w:rPr>
        <w:t>。这不是价值创造，而是利益再分配；不是做大蛋糕，而是切分蛋糕。 这一本质，是</w:t>
      </w:r>
      <w:r>
        <w:rPr>
          <w:rFonts w:hint="eastAsia"/>
          <w:lang w:val="en-US" w:eastAsia="zh-CN"/>
        </w:rPr>
        <w:t>高级</w:t>
      </w:r>
      <w:r>
        <w:rPr>
          <w:rFonts w:hint="eastAsia"/>
        </w:rPr>
        <w:t>管理者必须正视的</w:t>
      </w:r>
      <w:r>
        <w:rPr>
          <w:rFonts w:hint="eastAsia"/>
          <w:lang w:eastAsia="zh-CN"/>
        </w:rPr>
        <w:t>“</w:t>
      </w:r>
      <w:r>
        <w:rPr>
          <w:rFonts w:hint="eastAsia"/>
        </w:rPr>
        <w:t>管理灰度</w:t>
      </w:r>
      <w:r>
        <w:rPr>
          <w:rFonts w:hint="eastAsia"/>
          <w:lang w:eastAsia="zh-CN"/>
        </w:rPr>
        <w:t>”</w:t>
      </w:r>
      <w:r>
        <w:rPr>
          <w:rFonts w:hint="eastAsia"/>
        </w:rPr>
        <w:t>。</w:t>
      </w:r>
    </w:p>
    <w:p w14:paraId="1CEE1051">
      <w:pPr>
        <w:pStyle w:val="4"/>
        <w:bidi w:val="0"/>
        <w:rPr>
          <w:rFonts w:hint="eastAsia"/>
        </w:rPr>
      </w:pPr>
      <w:bookmarkStart w:id="59" w:name="_Toc28011"/>
      <w:r>
        <w:rPr>
          <w:rFonts w:hint="eastAsia"/>
        </w:rPr>
        <w:t>供应链协同的可持续性风险</w:t>
      </w:r>
      <w:bookmarkEnd w:id="59"/>
    </w:p>
    <w:p w14:paraId="739A067D">
      <w:pPr>
        <w:rPr>
          <w:rFonts w:hint="eastAsia"/>
        </w:rPr>
      </w:pPr>
      <w:r>
        <w:rPr>
          <w:rFonts w:hint="eastAsia"/>
        </w:rPr>
        <w:t>更值得警惕的是，当前供应链利润挖掘模式的可持续性正在下降：</w:t>
      </w:r>
    </w:p>
    <w:p w14:paraId="15E4ED2C">
      <w:pPr>
        <w:rPr>
          <w:rFonts w:hint="eastAsia"/>
        </w:rPr>
      </w:pPr>
      <w:r>
        <w:rPr>
          <w:rFonts w:hint="eastAsia"/>
        </w:rPr>
        <w:t>风险一：</w:t>
      </w:r>
      <w:r>
        <w:rPr>
          <w:rFonts w:hint="eastAsia"/>
          <w:lang w:eastAsia="zh-CN"/>
        </w:rPr>
        <w:t>集中管理协同收益</w:t>
      </w:r>
      <w:r>
        <w:rPr>
          <w:rFonts w:hint="eastAsia"/>
        </w:rPr>
        <w:t xml:space="preserve">率提升空间见顶。 </w:t>
      </w:r>
      <w:r>
        <w:rPr>
          <w:rFonts w:hint="eastAsia"/>
          <w:lang w:eastAsia="zh-CN"/>
        </w:rPr>
        <w:t>产品A集中管理协同收益</w:t>
      </w:r>
      <w:r>
        <w:rPr>
          <w:rFonts w:hint="eastAsia"/>
        </w:rPr>
        <w:t>已从30%提升至50%，进一步提升将直接推高院区采购成本，触发内部矛盾。</w:t>
      </w:r>
    </w:p>
    <w:p w14:paraId="4247B789">
      <w:pPr>
        <w:rPr>
          <w:rFonts w:hint="eastAsia"/>
        </w:rPr>
      </w:pPr>
      <w:r>
        <w:rPr>
          <w:rFonts w:hint="eastAsia"/>
        </w:rPr>
        <w:t>风险二：账期延长引发供应商反弹。 部分院区账期已超过300天（约10个月），个别甚至达到450天（15个月）。供应商的资金承受能力已近极限，断供风险累积。</w:t>
      </w:r>
    </w:p>
    <w:p w14:paraId="22128314">
      <w:pPr>
        <w:rPr>
          <w:rFonts w:hint="eastAsia"/>
        </w:rPr>
      </w:pPr>
      <w:r>
        <w:rPr>
          <w:rFonts w:hint="eastAsia"/>
        </w:rPr>
        <w:t>风险三：集采政策压缩利润空间。 国家集采和省级联盟集采持续推进，集采品种占比不断提升（部分院区已超过40%），供应链的利润率空间被政策性压缩。</w:t>
      </w:r>
    </w:p>
    <w:p w14:paraId="11E091A2">
      <w:pPr>
        <w:pStyle w:val="3"/>
        <w:bidi w:val="0"/>
        <w:rPr>
          <w:rFonts w:hint="eastAsia"/>
        </w:rPr>
      </w:pPr>
      <w:bookmarkStart w:id="60" w:name="_Toc5545"/>
      <w:r>
        <w:rPr>
          <w:rFonts w:hint="eastAsia"/>
        </w:rPr>
        <w:t>三家代表性医院的现状对比：为第四章实证研究</w:t>
      </w:r>
      <w:r>
        <w:rPr>
          <w:rFonts w:hint="eastAsia"/>
          <w:lang w:eastAsia="zh-CN"/>
        </w:rPr>
        <w:t>做铺垫</w:t>
      </w:r>
      <w:bookmarkEnd w:id="60"/>
    </w:p>
    <w:p w14:paraId="70EBE355">
      <w:pPr>
        <w:rPr>
          <w:rFonts w:hint="eastAsia"/>
        </w:rPr>
      </w:pPr>
      <w:r>
        <w:rPr>
          <w:rFonts w:hint="eastAsia"/>
        </w:rPr>
        <w:t>为深入揭示</w:t>
      </w:r>
      <w:r>
        <w:rPr>
          <w:rFonts w:hint="eastAsia"/>
          <w:lang w:eastAsia="zh-CN"/>
        </w:rPr>
        <w:t>“</w:t>
      </w:r>
      <w:r>
        <w:rPr>
          <w:rFonts w:hint="eastAsia"/>
        </w:rPr>
        <w:t>同一集团、同一政策、不同结果</w:t>
      </w:r>
      <w:r>
        <w:rPr>
          <w:rFonts w:hint="eastAsia"/>
          <w:lang w:eastAsia="zh-CN"/>
        </w:rPr>
        <w:t>”</w:t>
      </w:r>
      <w:r>
        <w:rPr>
          <w:rFonts w:hint="eastAsia"/>
        </w:rPr>
        <w:t>的内在机制，本研究选取</w:t>
      </w:r>
      <w:r>
        <w:rPr>
          <w:rFonts w:hint="eastAsia"/>
          <w:lang w:eastAsia="zh-CN"/>
        </w:rPr>
        <w:t>A医疗集团</w:t>
      </w:r>
      <w:r>
        <w:rPr>
          <w:rFonts w:hint="eastAsia"/>
        </w:rPr>
        <w:t>旗下三家代表性医院进行比较分析。三家医院在区位、规模、学科特色等方面各具特点，更关键的是，三家医院对2024年</w:t>
      </w:r>
      <w:r>
        <w:rPr>
          <w:rFonts w:hint="eastAsia"/>
          <w:lang w:eastAsia="zh-CN"/>
        </w:rPr>
        <w:t>“</w:t>
      </w:r>
      <w:r>
        <w:rPr>
          <w:rFonts w:hint="eastAsia"/>
        </w:rPr>
        <w:t>双重转折点</w:t>
      </w:r>
      <w:r>
        <w:rPr>
          <w:rFonts w:hint="eastAsia"/>
          <w:lang w:eastAsia="zh-CN"/>
        </w:rPr>
        <w:t>”</w:t>
      </w:r>
      <w:r>
        <w:rPr>
          <w:rFonts w:hint="eastAsia"/>
        </w:rPr>
        <w:t>——外部医保收紧与内部管理转型——的响应速度和执行力度呈现显著分化。这种分化为第四章的ITS实证分析提供了理想的准自然实验条件</w:t>
      </w:r>
      <w:r>
        <w:rPr>
          <w:rStyle w:val="51"/>
          <w:rFonts w:hint="eastAsia"/>
        </w:rPr>
        <w:t>[</w:t>
      </w:r>
      <w:r>
        <w:rPr>
          <w:rStyle w:val="51"/>
          <w:rFonts w:hint="eastAsia"/>
          <w:lang w:val="en-US" w:eastAsia="zh-CN"/>
        </w:rPr>
        <w:t>8</w:t>
      </w:r>
      <w:r>
        <w:rPr>
          <w:rStyle w:val="51"/>
          <w:rFonts w:hint="eastAsia"/>
        </w:rPr>
        <w:t>]</w:t>
      </w:r>
      <w:r>
        <w:rPr>
          <w:rFonts w:hint="eastAsia"/>
        </w:rPr>
        <w:t>。</w:t>
      </w:r>
    </w:p>
    <w:p w14:paraId="1B269AC6">
      <w:pPr>
        <w:pStyle w:val="4"/>
        <w:bidi w:val="0"/>
        <w:rPr>
          <w:rFonts w:hint="eastAsia"/>
        </w:rPr>
      </w:pPr>
      <w:bookmarkStart w:id="61" w:name="_Toc32330"/>
      <w:r>
        <w:rPr>
          <w:rFonts w:hint="eastAsia"/>
        </w:rPr>
        <w:t>H1医院：积极响应型的管理标杆</w:t>
      </w:r>
      <w:bookmarkEnd w:id="61"/>
    </w:p>
    <w:p w14:paraId="189DC16F">
      <w:pPr>
        <w:rPr>
          <w:rFonts w:hint="eastAsia"/>
        </w:rPr>
      </w:pPr>
      <w:r>
        <w:rPr>
          <w:rFonts w:hint="eastAsia"/>
        </w:rPr>
        <w:t>基本情况：H1医院位于中部省份</w:t>
      </w:r>
      <w:r>
        <w:rPr>
          <w:rFonts w:hint="eastAsia"/>
          <w:lang w:eastAsia="zh-CN"/>
        </w:rPr>
        <w:t>，</w:t>
      </w:r>
      <w:r>
        <w:rPr>
          <w:rFonts w:hint="eastAsia"/>
        </w:rPr>
        <w:t>综合性医院，开放床位</w:t>
      </w:r>
      <w:r>
        <w:rPr>
          <w:rFonts w:hint="eastAsia"/>
          <w:lang w:val="en-US" w:eastAsia="zh-CN"/>
        </w:rPr>
        <w:t>超700</w:t>
      </w:r>
      <w:r>
        <w:rPr>
          <w:rFonts w:hint="eastAsia"/>
        </w:rPr>
        <w:t>张，年收入</w:t>
      </w:r>
      <w:r>
        <w:rPr>
          <w:rFonts w:hint="eastAsia"/>
          <w:lang w:val="en-US" w:eastAsia="zh-CN"/>
        </w:rPr>
        <w:t>超4</w:t>
      </w:r>
      <w:r>
        <w:rPr>
          <w:rFonts w:hint="eastAsia"/>
        </w:rPr>
        <w:t>亿元，实施DRG支付。该医院自A集团入主后即作为集团精细化管理输出的</w:t>
      </w:r>
      <w:r>
        <w:rPr>
          <w:rFonts w:hint="eastAsia"/>
          <w:lang w:eastAsia="zh-CN"/>
        </w:rPr>
        <w:t>“</w:t>
      </w:r>
      <w:r>
        <w:rPr>
          <w:rFonts w:hint="eastAsia"/>
        </w:rPr>
        <w:t>首站</w:t>
      </w:r>
      <w:r>
        <w:rPr>
          <w:rFonts w:hint="eastAsia"/>
          <w:lang w:eastAsia="zh-CN"/>
        </w:rPr>
        <w:t>”</w:t>
      </w:r>
      <w:r>
        <w:rPr>
          <w:rFonts w:hint="eastAsia"/>
        </w:rPr>
        <w:t>，积累了较为完善的管理基础。</w:t>
      </w:r>
    </w:p>
    <w:p w14:paraId="610E4997">
      <w:pPr>
        <w:rPr>
          <w:rFonts w:hint="eastAsia"/>
        </w:rPr>
      </w:pPr>
      <w:r>
        <w:rPr>
          <w:rFonts w:hint="eastAsia"/>
        </w:rPr>
        <w:t>管理转型的快速响应：2024年1月集团管理转型要求下达后，H1医院展现出极强的执行力，立即采取行动：</w:t>
      </w:r>
    </w:p>
    <w:p w14:paraId="3686C6DE">
      <w:pPr>
        <w:rPr>
          <w:rFonts w:hint="eastAsia"/>
        </w:rPr>
      </w:pPr>
      <w:r>
        <w:rPr>
          <w:rFonts w:hint="eastAsia"/>
        </w:rPr>
        <w:t>（1）2024年1月：成立精细化管理工作组，院长亲自挂帅，直接向集团</w:t>
      </w:r>
      <w:r>
        <w:rPr>
          <w:rFonts w:hint="eastAsia"/>
          <w:lang w:val="en-US" w:eastAsia="zh-CN"/>
        </w:rPr>
        <w:t>分管副总裁</w:t>
      </w:r>
      <w:r>
        <w:rPr>
          <w:rFonts w:hint="eastAsia"/>
        </w:rPr>
        <w:t>汇报。</w:t>
      </w:r>
    </w:p>
    <w:p w14:paraId="71A7684A">
      <w:pPr>
        <w:rPr>
          <w:rFonts w:hint="eastAsia"/>
        </w:rPr>
      </w:pPr>
      <w:r>
        <w:rPr>
          <w:rFonts w:hint="eastAsia"/>
        </w:rPr>
        <w:t>（2）2024年2月：完成全院科室成本核算体系搭建，投入约60万元采购成熟的HIS成本核算模块，在1个月内实现单病种成本追踪自动化。</w:t>
      </w:r>
    </w:p>
    <w:p w14:paraId="68E5C144">
      <w:pPr>
        <w:rPr>
          <w:rFonts w:hint="eastAsia"/>
        </w:rPr>
      </w:pPr>
      <w:r>
        <w:rPr>
          <w:rFonts w:hint="eastAsia"/>
        </w:rPr>
        <w:t>（3）2024年3月：启动临床路径标准化工程，首批覆盖骨科、普外科等10个科室，参照国家卫健委《临床路径管理指导原则（202</w:t>
      </w:r>
      <w:r>
        <w:rPr>
          <w:rFonts w:hint="eastAsia"/>
          <w:lang w:val="en-US" w:eastAsia="zh-CN"/>
        </w:rPr>
        <w:t>4</w:t>
      </w:r>
      <w:r>
        <w:rPr>
          <w:rFonts w:hint="eastAsia"/>
        </w:rPr>
        <w:t>版）》</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2</w:t>
      </w:r>
      <w:r>
        <w:rPr>
          <w:rFonts w:hint="default" w:ascii="Times New Roman" w:hAnsi="Times New Roman" w:eastAsia="宋体" w:cs="Times New Roman"/>
          <w:kern w:val="2"/>
          <w:sz w:val="24"/>
          <w:szCs w:val="24"/>
          <w:vertAlign w:val="superscript"/>
        </w:rPr>
        <w:t>]</w:t>
      </w:r>
      <w:r>
        <w:rPr>
          <w:rFonts w:hint="eastAsia"/>
        </w:rPr>
        <w:t>制定82个病种的临床路径。</w:t>
      </w:r>
    </w:p>
    <w:p w14:paraId="562BF94F">
      <w:pPr>
        <w:rPr>
          <w:rFonts w:hint="eastAsia"/>
        </w:rPr>
      </w:pPr>
      <w:r>
        <w:rPr>
          <w:rFonts w:hint="eastAsia"/>
        </w:rPr>
        <w:t>（4）2024年4</w:t>
      </w:r>
      <w:r>
        <w:rPr>
          <w:rFonts w:hint="eastAsia"/>
          <w:lang w:eastAsia="zh-CN"/>
        </w:rPr>
        <w:t>—</w:t>
      </w:r>
      <w:r>
        <w:rPr>
          <w:rFonts w:hint="eastAsia"/>
        </w:rPr>
        <w:t>6月：集采执行率从28%快速提升至38%，临床路径覆盖率达75%，DRG编码准确率从76%提升至89%。</w:t>
      </w:r>
    </w:p>
    <w:p w14:paraId="0751F576">
      <w:pPr>
        <w:rPr>
          <w:rFonts w:hint="eastAsia"/>
        </w:rPr>
      </w:pPr>
      <w:r>
        <w:rPr>
          <w:rFonts w:hint="eastAsia"/>
        </w:rPr>
        <w:t>核心管理指标：</w:t>
      </w:r>
    </w:p>
    <w:p w14:paraId="061DB4E2">
      <w:pPr>
        <w:jc w:val="center"/>
        <w:rPr>
          <w:rFonts w:hint="default"/>
          <w:lang w:val="en-US"/>
        </w:rPr>
      </w:pPr>
      <w:r>
        <w:rPr>
          <w:rFonts w:ascii="Times New Roman" w:hAnsi="Times New Roman"/>
          <w:sz w:val="21"/>
        </w:rPr>
        <w:t>表 3.3 H1医院核心管理指标</w:t>
      </w:r>
    </w:p>
    <w:tbl>
      <w:tblPr>
        <w:tblStyle w:val="30"/>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32"/>
        <w:gridCol w:w="66"/>
        <w:gridCol w:w="66"/>
        <w:gridCol w:w="81"/>
      </w:tblGrid>
      <w:tr w14:paraId="1D3DD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tbl>
            <w:tblPr>
              <w:tblStyle w:val="30"/>
              <w:tblW w:w="61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09"/>
              <w:gridCol w:w="1052"/>
              <w:gridCol w:w="1052"/>
              <w:gridCol w:w="1844"/>
            </w:tblGrid>
            <w:tr w14:paraId="1EF5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0E0B7C0B">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4E676E">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2023年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CD4753">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2024年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596110">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变动</w:t>
                  </w:r>
                </w:p>
              </w:tc>
            </w:tr>
            <w:tr w14:paraId="7FB17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F099D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9835F6">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0.86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0C8D09">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08CD8F">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+0.02</w:t>
                  </w:r>
                </w:p>
              </w:tc>
            </w:tr>
            <w:tr w14:paraId="60D61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93C398">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集采执行率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1E580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759028">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42%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0F138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+14个百分点</w:t>
                  </w:r>
                </w:p>
              </w:tc>
            </w:tr>
            <w:tr w14:paraId="267E9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79A2B7">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药耗占比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B61E3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33E897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DFABED">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-6个百分点</w:t>
                  </w:r>
                </w:p>
              </w:tc>
            </w:tr>
            <w:tr w14:paraId="73236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32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1BB55A0">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临床路径执行率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81C3C7">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CF70B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75%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B3B2A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+30个百分点</w:t>
                  </w:r>
                </w:p>
              </w:tc>
            </w:tr>
            <w:tr w14:paraId="2F9F9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332"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9533BF">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DPO（天）</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D43FF9E">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280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DA3D21">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270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D02564">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-10天</w:t>
                  </w:r>
                </w:p>
              </w:tc>
            </w:tr>
          </w:tbl>
          <w:p w14:paraId="72451EFB">
            <w:pPr>
              <w:keepNext w:val="0"/>
              <w:keepLines w:val="0"/>
              <w:widowControl/>
              <w:suppressLineNumbers w:val="0"/>
              <w:jc w:val="left"/>
              <w:rPr>
                <w:rFonts w:hint="eastAsia" w:eastAsia="宋体"/>
                <w:lang w:eastAsia="zh-CN"/>
              </w:rPr>
            </w:pPr>
          </w:p>
        </w:tc>
        <w:tc>
          <w:tcPr>
            <w:tcW w:w="0" w:type="auto"/>
            <w:shd w:val="clear" w:color="auto" w:fill="auto"/>
            <w:vAlign w:val="center"/>
          </w:tcPr>
          <w:p w14:paraId="0CACDA2F">
            <w:pPr>
              <w:keepNext w:val="0"/>
              <w:keepLines w:val="0"/>
              <w:widowControl/>
              <w:suppressLineNumbers w:val="0"/>
              <w:jc w:val="left"/>
            </w:pPr>
          </w:p>
        </w:tc>
        <w:tc>
          <w:tcPr>
            <w:tcW w:w="0" w:type="auto"/>
            <w:shd w:val="clear" w:color="auto" w:fill="auto"/>
            <w:vAlign w:val="center"/>
          </w:tcPr>
          <w:p w14:paraId="6E7C3C0F">
            <w:pPr>
              <w:keepNext w:val="0"/>
              <w:keepLines w:val="0"/>
              <w:widowControl/>
              <w:suppressLineNumbers w:val="0"/>
              <w:jc w:val="left"/>
            </w:pPr>
          </w:p>
        </w:tc>
        <w:tc>
          <w:tcPr>
            <w:tcW w:w="0" w:type="auto"/>
            <w:shd w:val="clear" w:color="auto" w:fill="auto"/>
            <w:vAlign w:val="center"/>
          </w:tcPr>
          <w:p w14:paraId="3BC979CC">
            <w:pPr>
              <w:keepNext w:val="0"/>
              <w:keepLines w:val="0"/>
              <w:widowControl/>
              <w:suppressLineNumbers w:val="0"/>
              <w:jc w:val="left"/>
            </w:pPr>
          </w:p>
        </w:tc>
      </w:tr>
    </w:tbl>
    <w:p w14:paraId="1E2F0E7B">
      <w:pPr>
        <w:rPr>
          <w:rFonts w:hint="eastAsia"/>
        </w:rPr>
      </w:pPr>
      <w:r>
        <w:rPr>
          <w:rFonts w:hint="eastAsia"/>
          <w:lang w:eastAsia="zh-CN"/>
        </w:rPr>
        <w:t>“</w:t>
      </w:r>
      <w:r>
        <w:rPr>
          <w:rFonts w:hint="eastAsia"/>
        </w:rPr>
        <w:t>快速止血</w:t>
      </w:r>
      <w:r>
        <w:rPr>
          <w:rFonts w:hint="eastAsia"/>
          <w:lang w:eastAsia="zh-CN"/>
        </w:rPr>
        <w:t>”</w:t>
      </w:r>
      <w:r>
        <w:rPr>
          <w:rFonts w:hint="eastAsia"/>
        </w:rPr>
        <w:t>效应：从财务数据看，H1医院在6个月内基本抵消了外部冲击。2024年1</w:t>
      </w:r>
      <w:r>
        <w:rPr>
          <w:rFonts w:hint="eastAsia"/>
          <w:lang w:eastAsia="zh-CN"/>
        </w:rPr>
        <w:t>—</w:t>
      </w:r>
      <w:r>
        <w:rPr>
          <w:rFonts w:hint="eastAsia"/>
        </w:rPr>
        <w:t>3月盈余率持续下降（消化即时冲击阶段），2024年4</w:t>
      </w:r>
      <w:r>
        <w:rPr>
          <w:rFonts w:hint="eastAsia"/>
          <w:lang w:eastAsia="zh-CN"/>
        </w:rPr>
        <w:t>—</w:t>
      </w:r>
      <w:r>
        <w:rPr>
          <w:rFonts w:hint="eastAsia"/>
        </w:rPr>
        <w:t>6月盈余率开始企稳（管理措施见效阶段），2024年7月至2025年11月盈余率缓慢爬升（持续优化阶段）。这一轨迹将在第四章ITS分析中得到严格的统计验证。</w:t>
      </w:r>
    </w:p>
    <w:p w14:paraId="38CE1FC7">
      <w:pPr>
        <w:rPr>
          <w:rFonts w:hint="eastAsia" w:eastAsia="宋体"/>
          <w:lang w:val="en-US" w:eastAsia="zh-CN"/>
        </w:rPr>
      </w:pPr>
      <w:r>
        <w:rPr>
          <w:rFonts w:hint="eastAsia"/>
        </w:rPr>
        <w:t>管理层评价：</w:t>
      </w:r>
      <w:r>
        <w:rPr>
          <w:rFonts w:hint="eastAsia"/>
          <w:lang w:eastAsia="zh-CN"/>
        </w:rPr>
        <w:t>“</w:t>
      </w:r>
      <w:r>
        <w:rPr>
          <w:rFonts w:hint="eastAsia"/>
        </w:rPr>
        <w:t>不追求高难度手术的</w:t>
      </w:r>
      <w:r>
        <w:rPr>
          <w:rFonts w:hint="eastAsia"/>
          <w:lang w:eastAsia="zh-CN"/>
        </w:rPr>
        <w:t>‘高大上’</w:t>
      </w:r>
      <w:r>
        <w:rPr>
          <w:rFonts w:hint="eastAsia"/>
        </w:rPr>
        <w:t>，而是确保每台手术都能赚钱。</w:t>
      </w:r>
      <w:r>
        <w:rPr>
          <w:rFonts w:hint="eastAsia"/>
          <w:lang w:eastAsia="zh-CN"/>
        </w:rPr>
        <w:t>”</w:t>
      </w:r>
      <w:r>
        <w:rPr>
          <w:rFonts w:hint="eastAsia"/>
        </w:rPr>
        <w:t>这一务实主义导向，使H1成为集团内应对改革冲击最为成功的院区</w:t>
      </w:r>
      <w:r>
        <w:rPr>
          <w:rFonts w:hint="eastAsia"/>
          <w:lang w:eastAsia="zh-CN"/>
        </w:rPr>
        <w:t>。</w:t>
      </w:r>
    </w:p>
    <w:p w14:paraId="0B473C1B">
      <w:pPr>
        <w:pStyle w:val="4"/>
        <w:bidi w:val="0"/>
        <w:rPr>
          <w:rFonts w:hint="eastAsia"/>
        </w:rPr>
      </w:pPr>
      <w:bookmarkStart w:id="62" w:name="_Toc8840"/>
      <w:r>
        <w:rPr>
          <w:rFonts w:hint="eastAsia"/>
        </w:rPr>
        <w:t>H2医院：大体量转型的先行院区</w:t>
      </w:r>
      <w:bookmarkEnd w:id="62"/>
    </w:p>
    <w:p w14:paraId="066D97C7">
      <w:pPr>
        <w:rPr>
          <w:rFonts w:hint="eastAsia" w:eastAsia="宋体"/>
          <w:lang w:eastAsia="zh-CN"/>
        </w:rPr>
      </w:pPr>
      <w:r>
        <w:rPr>
          <w:rFonts w:hint="eastAsia" w:eastAsia="宋体"/>
          <w:lang w:eastAsia="zh-CN"/>
        </w:rPr>
        <w:t>基本情况：H2医院位于</w:t>
      </w:r>
      <w:r>
        <w:rPr>
          <w:rFonts w:hint="eastAsia"/>
          <w:lang w:val="en-US" w:eastAsia="zh-CN"/>
        </w:rPr>
        <w:t>北部省份</w:t>
      </w:r>
      <w:r>
        <w:rPr>
          <w:rFonts w:hint="eastAsia" w:eastAsia="宋体"/>
          <w:lang w:eastAsia="zh-CN"/>
        </w:rPr>
        <w:t>，</w:t>
      </w:r>
      <w:r>
        <w:rPr>
          <w:rFonts w:hint="eastAsia"/>
        </w:rPr>
        <w:t>综合性医院，</w:t>
      </w:r>
      <w:r>
        <w:rPr>
          <w:rFonts w:hint="eastAsia" w:eastAsia="宋体"/>
          <w:lang w:eastAsia="zh-CN"/>
        </w:rPr>
        <w:t>开放床位</w:t>
      </w:r>
      <w:r>
        <w:rPr>
          <w:rFonts w:hint="eastAsia"/>
          <w:lang w:val="en-US" w:eastAsia="zh-CN"/>
        </w:rPr>
        <w:t>超800</w:t>
      </w:r>
      <w:r>
        <w:rPr>
          <w:rFonts w:hint="eastAsia"/>
        </w:rPr>
        <w:t>张</w:t>
      </w:r>
      <w:r>
        <w:rPr>
          <w:rFonts w:hint="eastAsia" w:eastAsia="宋体"/>
          <w:lang w:eastAsia="zh-CN"/>
        </w:rPr>
        <w:t>，年收入</w:t>
      </w:r>
      <w:r>
        <w:rPr>
          <w:rFonts w:hint="eastAsia"/>
          <w:lang w:val="en-US" w:eastAsia="zh-CN"/>
        </w:rPr>
        <w:t>超4</w:t>
      </w:r>
      <w:r>
        <w:rPr>
          <w:rFonts w:hint="eastAsia"/>
        </w:rPr>
        <w:t>亿元</w:t>
      </w:r>
      <w:r>
        <w:rPr>
          <w:rFonts w:hint="eastAsia" w:eastAsia="宋体"/>
          <w:lang w:eastAsia="zh-CN"/>
        </w:rPr>
        <w:t>，实施DRG支付，是集团内体量最大的院区之一。</w:t>
      </w:r>
    </w:p>
    <w:p w14:paraId="2F8E8C73">
      <w:pPr>
        <w:rPr>
          <w:rFonts w:hint="eastAsia" w:eastAsia="宋体"/>
          <w:lang w:eastAsia="zh-CN"/>
        </w:rPr>
      </w:pPr>
      <w:r>
        <w:rPr>
          <w:rFonts w:hint="eastAsia" w:eastAsia="宋体"/>
          <w:lang w:eastAsia="zh-CN"/>
        </w:rPr>
        <w:t>管理转型特征：H2医院是集团内最早启动DRG实际付费的院区，积累了丰富的政策应对经验。2024年1月集团管理转型要求下达后，H2医院的响应速度与H1基本同步（均属</w:t>
      </w:r>
      <w:r>
        <w:rPr>
          <w:rFonts w:hint="eastAsia"/>
          <w:lang w:eastAsia="zh-CN"/>
        </w:rPr>
        <w:t>“</w:t>
      </w:r>
      <w:r>
        <w:rPr>
          <w:rFonts w:hint="eastAsia" w:eastAsia="宋体"/>
          <w:lang w:eastAsia="zh-CN"/>
        </w:rPr>
        <w:t>积极响应型</w:t>
      </w:r>
      <w:r>
        <w:rPr>
          <w:rFonts w:hint="eastAsia"/>
          <w:lang w:eastAsia="zh-CN"/>
        </w:rPr>
        <w:t>”</w:t>
      </w:r>
      <w:r>
        <w:rPr>
          <w:rFonts w:hint="eastAsia" w:eastAsia="宋体"/>
          <w:lang w:eastAsia="zh-CN"/>
        </w:rPr>
        <w:t>），但因体量更大、学科建设投入更高（正在推进</w:t>
      </w:r>
      <w:r>
        <w:rPr>
          <w:rFonts w:hint="eastAsia"/>
          <w:lang w:eastAsia="zh-CN"/>
        </w:rPr>
        <w:t>“</w:t>
      </w:r>
      <w:r>
        <w:rPr>
          <w:rFonts w:hint="eastAsia" w:eastAsia="宋体"/>
          <w:lang w:eastAsia="zh-CN"/>
        </w:rPr>
        <w:t>三级甲等</w:t>
      </w:r>
      <w:r>
        <w:rPr>
          <w:rFonts w:hint="eastAsia"/>
          <w:lang w:eastAsia="zh-CN"/>
        </w:rPr>
        <w:t>”</w:t>
      </w:r>
      <w:r>
        <w:rPr>
          <w:rFonts w:hint="eastAsia" w:eastAsia="宋体"/>
          <w:lang w:eastAsia="zh-CN"/>
        </w:rPr>
        <w:t>创建），转型过程中的阻力和成本也相应更大。</w:t>
      </w:r>
    </w:p>
    <w:p w14:paraId="458C38BF">
      <w:pPr>
        <w:rPr>
          <w:rFonts w:hint="eastAsia" w:eastAsia="宋体"/>
          <w:lang w:eastAsia="zh-CN"/>
        </w:rPr>
      </w:pPr>
      <w:r>
        <w:rPr>
          <w:rFonts w:hint="eastAsia" w:eastAsia="宋体"/>
          <w:lang w:eastAsia="zh-CN"/>
        </w:rPr>
        <w:t>H2医院在2024年1月政策冲击下受到的即时影响最为严重——这部分由外部因素决定（DRG标准较DIP更严格</w:t>
      </w:r>
      <w:r>
        <w:rPr>
          <w:rFonts w:hint="eastAsia"/>
          <w:lang w:eastAsia="zh-CN"/>
        </w:rPr>
        <w:t>，北部</w:t>
      </w:r>
      <w:r>
        <w:rPr>
          <w:rFonts w:hint="eastAsia" w:eastAsia="宋体"/>
          <w:lang w:eastAsia="zh-CN"/>
        </w:rPr>
        <w:t>地区清算审核从严），与管理能力无直接关联。但凭借与H1类似的快速响应和系统化管理措施，H2医院在2024年下半年逐步企稳，其财务改善轨迹与H1趋同。</w:t>
      </w:r>
    </w:p>
    <w:p w14:paraId="1A1C95C6">
      <w:pPr>
        <w:rPr>
          <w:rFonts w:hint="eastAsia" w:eastAsia="宋体"/>
          <w:lang w:eastAsia="zh-CN"/>
        </w:rPr>
      </w:pPr>
      <w:r>
        <w:rPr>
          <w:rFonts w:hint="eastAsia" w:eastAsia="宋体"/>
          <w:lang w:eastAsia="zh-CN"/>
        </w:rPr>
        <w:t>核心管理指标：</w:t>
      </w:r>
    </w:p>
    <w:p w14:paraId="17451C85">
      <w:pPr>
        <w:jc w:val="center"/>
        <w:rPr>
          <w:rFonts w:hint="eastAsia" w:cs="Times New Roman"/>
          <w:b/>
          <w:kern w:val="2"/>
          <w:sz w:val="21"/>
          <w:szCs w:val="20"/>
          <w:lang w:val="en-US" w:eastAsia="zh-CN" w:bidi="ar-SA"/>
        </w:rPr>
      </w:pPr>
      <w:r>
        <w:rPr>
          <w:sz w:val="21"/>
        </w:rPr>
        <w:t>表 3.4 H2医院核心管理指标</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2217"/>
        <w:gridCol w:w="1055"/>
        <w:gridCol w:w="1055"/>
        <w:gridCol w:w="1851"/>
      </w:tblGrid>
      <w:tr w14:paraId="4BF66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0449303">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指标</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0EBA7">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2023年</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1951E5">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2024年</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2420A9">
            <w:pPr>
              <w:widowControl/>
              <w:spacing w:after="0" w:line="240" w:lineRule="auto"/>
              <w:ind w:firstLine="0" w:firstLineChars="0"/>
              <w:jc w:val="left"/>
              <w:textAlignment w:val="auto"/>
              <w:rPr>
                <w:rFonts w:hint="eastAsia" w:ascii="Times New Roman" w:hAnsi="Times New Roman" w:eastAsia="宋体" w:cstheme="minorBidi"/>
                <w:b/>
                <w:bCs/>
                <w:i w:val="0"/>
                <w:color w:val="000000"/>
                <w:kern w:val="0"/>
                <w:sz w:val="22"/>
                <w:szCs w:val="22"/>
                <w:lang w:val="en-US" w:eastAsia="zh-CN"/>
              </w:rPr>
            </w:pPr>
            <w:r>
              <w:rPr>
                <w:rFonts w:hint="eastAsia" w:ascii="Times New Roman" w:hAnsi="Times New Roman" w:eastAsia="宋体" w:cstheme="minorBidi"/>
                <w:b/>
                <w:bCs/>
                <w:i w:val="0"/>
                <w:color w:val="000000"/>
                <w:kern w:val="0"/>
                <w:sz w:val="22"/>
                <w:szCs w:val="22"/>
                <w:lang w:val="en-US" w:eastAsia="zh-CN"/>
              </w:rPr>
              <w:t>变动</w:t>
            </w:r>
          </w:p>
        </w:tc>
      </w:tr>
      <w:tr w14:paraId="25D1A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B5BA50">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CMI值</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00A56">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0.95</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78FB2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1.02</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69B3E">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+0.07</w:t>
            </w:r>
          </w:p>
        </w:tc>
      </w:tr>
      <w:tr w14:paraId="6782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621451">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集采执行率</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501B4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F9A72D">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25%</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05072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+5个百分点</w:t>
            </w:r>
          </w:p>
        </w:tc>
      </w:tr>
      <w:tr w14:paraId="5E134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41B4F9">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药耗占比</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9D0EAB">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40%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43EA80">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38%</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5E754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-2个百分点</w:t>
            </w:r>
          </w:p>
        </w:tc>
      </w:tr>
      <w:tr w14:paraId="24B51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46"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7C3E09">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临床路径执行率</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EB7C0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50%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547A73">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62%</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148C7D">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+12个百分点</w:t>
            </w:r>
          </w:p>
        </w:tc>
      </w:tr>
      <w:tr w14:paraId="542D7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84" w:hRule="atLeast"/>
          <w:jc w:val="center"/>
        </w:trPr>
        <w:tc>
          <w:tcPr>
            <w:tcW w:w="22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57FDF2">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DPO（天）</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9A5648">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380</w:t>
            </w:r>
          </w:p>
        </w:tc>
        <w:tc>
          <w:tcPr>
            <w:tcW w:w="105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4B162E">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390</w:t>
            </w:r>
          </w:p>
        </w:tc>
        <w:tc>
          <w:tcPr>
            <w:tcW w:w="18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DB7C1">
            <w:pPr>
              <w:widowControl/>
              <w:spacing w:after="0" w:line="240" w:lineRule="auto"/>
              <w:ind w:firstLine="0" w:firstLineChars="0"/>
              <w:jc w:val="left"/>
              <w:textAlignment w:val="auto"/>
              <w:rPr>
                <w:rFonts w:hint="eastAsia" w:ascii="Times New Roman" w:hAnsi="Times New Roman" w:eastAsia="宋体" w:cstheme="minorBidi"/>
                <w:b w:val="0"/>
                <w:i w:val="0"/>
                <w:color w:val="000000"/>
                <w:kern w:val="0"/>
                <w:sz w:val="22"/>
                <w:szCs w:val="22"/>
                <w:lang w:val="en-US" w:eastAsia="zh-CN"/>
              </w:rPr>
            </w:pPr>
            <w:r>
              <w:rPr>
                <w:rFonts w:hint="eastAsia" w:ascii="Times New Roman" w:hAnsi="Times New Roman" w:eastAsia="宋体" w:cstheme="minorBidi"/>
                <w:b w:val="0"/>
                <w:i w:val="0"/>
                <w:color w:val="000000"/>
                <w:kern w:val="0"/>
                <w:sz w:val="22"/>
                <w:szCs w:val="22"/>
                <w:lang w:val="en-US" w:eastAsia="zh-CN"/>
              </w:rPr>
              <w:t>+10天</w:t>
            </w:r>
          </w:p>
        </w:tc>
      </w:tr>
    </w:tbl>
    <w:p w14:paraId="40DD04DC">
      <w:pPr>
        <w:rPr>
          <w:rFonts w:hint="eastAsia" w:eastAsia="宋体"/>
          <w:lang w:eastAsia="zh-CN"/>
        </w:rPr>
      </w:pPr>
    </w:p>
    <w:p w14:paraId="37964F4C">
      <w:pPr>
        <w:rPr>
          <w:rFonts w:hint="eastAsia" w:eastAsia="宋体"/>
          <w:lang w:eastAsia="zh-CN"/>
        </w:rPr>
      </w:pPr>
      <w:r>
        <w:rPr>
          <w:rFonts w:hint="eastAsia" w:eastAsia="宋体"/>
          <w:lang w:eastAsia="zh-CN"/>
        </w:rPr>
        <w:t>管理层评价：</w:t>
      </w:r>
      <w:r>
        <w:rPr>
          <w:rFonts w:hint="eastAsia"/>
          <w:lang w:eastAsia="zh-CN"/>
        </w:rPr>
        <w:t>“</w:t>
      </w:r>
      <w:r>
        <w:rPr>
          <w:rFonts w:hint="eastAsia" w:eastAsia="宋体"/>
          <w:lang w:eastAsia="zh-CN"/>
        </w:rPr>
        <w:t>大船难掉头，但方向已经明确。</w:t>
      </w:r>
      <w:r>
        <w:rPr>
          <w:rFonts w:hint="eastAsia"/>
          <w:lang w:eastAsia="zh-CN"/>
        </w:rPr>
        <w:t>”</w:t>
      </w:r>
      <w:r>
        <w:rPr>
          <w:rFonts w:hint="eastAsia" w:eastAsia="宋体"/>
          <w:lang w:eastAsia="zh-CN"/>
        </w:rPr>
        <w:t xml:space="preserve"> H2医院的挑战在于如何在推进三甲创建（需要CMI提升和学科投入）与控制成本（DRG环境下的生存要求）之间取得平衡。</w:t>
      </w:r>
    </w:p>
    <w:p w14:paraId="6319A0B9">
      <w:pPr>
        <w:rPr>
          <w:rFonts w:hint="eastAsia" w:eastAsia="宋体"/>
          <w:lang w:eastAsia="zh-CN"/>
        </w:rPr>
      </w:pPr>
      <w:r>
        <w:rPr>
          <w:rFonts w:hint="eastAsia" w:eastAsia="宋体"/>
          <w:lang w:eastAsia="zh-CN"/>
        </w:rPr>
        <w:t>由于H2医院的管理响应模式与H1类似（均为积极响应型），且财务改善轨迹趋同，本研究在第四章实证部分将H2作为辅助分析对象，重点聚焦H1与H3的对比。</w:t>
      </w:r>
    </w:p>
    <w:p w14:paraId="2D643DC7">
      <w:pPr>
        <w:pStyle w:val="4"/>
        <w:bidi w:val="0"/>
        <w:rPr>
          <w:rFonts w:hint="eastAsia"/>
        </w:rPr>
      </w:pPr>
      <w:bookmarkStart w:id="63" w:name="_Toc21726"/>
      <w:r>
        <w:rPr>
          <w:rFonts w:hint="eastAsia"/>
        </w:rPr>
        <w:t>H3医院：滞后响应型的改善案例</w:t>
      </w:r>
      <w:bookmarkEnd w:id="63"/>
    </w:p>
    <w:p w14:paraId="5CB4C8BD">
      <w:pPr>
        <w:rPr>
          <w:rFonts w:hint="eastAsia"/>
        </w:rPr>
      </w:pPr>
      <w:r>
        <w:rPr>
          <w:rFonts w:hint="eastAsia"/>
        </w:rPr>
        <w:t>基本情况：H3医院位于东部省份，为</w:t>
      </w:r>
      <w:r>
        <w:rPr>
          <w:rFonts w:hint="eastAsia"/>
          <w:lang w:val="en-US" w:eastAsia="zh-CN"/>
        </w:rPr>
        <w:t>专科</w:t>
      </w:r>
      <w:r>
        <w:rPr>
          <w:rFonts w:hint="eastAsia"/>
        </w:rPr>
        <w:t>特色综合医院，开放床位</w:t>
      </w:r>
      <w:r>
        <w:rPr>
          <w:rFonts w:hint="eastAsia"/>
          <w:lang w:val="en-US" w:eastAsia="zh-CN"/>
        </w:rPr>
        <w:t>超700</w:t>
      </w:r>
      <w:r>
        <w:rPr>
          <w:rFonts w:hint="eastAsia"/>
        </w:rPr>
        <w:t>张，年收入</w:t>
      </w:r>
      <w:r>
        <w:rPr>
          <w:rFonts w:hint="eastAsia"/>
          <w:lang w:val="en-US" w:eastAsia="zh-CN"/>
        </w:rPr>
        <w:t>超3</w:t>
      </w:r>
      <w:r>
        <w:rPr>
          <w:rFonts w:hint="eastAsia"/>
        </w:rPr>
        <w:t>亿元，实施DIP支付。2024 年医院经营保持稳定，但 2025 年受医保政策收紧影响，盈利水平显著承压，出现阶段性亏损。</w:t>
      </w:r>
    </w:p>
    <w:p w14:paraId="5302138B">
      <w:pPr>
        <w:rPr>
          <w:rFonts w:hint="eastAsia"/>
        </w:rPr>
      </w:pPr>
      <w:r>
        <w:rPr>
          <w:rFonts w:hint="eastAsia"/>
        </w:rPr>
        <w:t>管理转型的滞后响应：H3医院对2024年1月集团管理转型要求的响应存在明显滞后，经历了</w:t>
      </w:r>
      <w:r>
        <w:rPr>
          <w:rFonts w:hint="eastAsia"/>
          <w:lang w:eastAsia="zh-CN"/>
        </w:rPr>
        <w:t>“</w:t>
      </w:r>
      <w:r>
        <w:rPr>
          <w:rFonts w:hint="eastAsia"/>
        </w:rPr>
        <w:t>观望—启动—见效</w:t>
      </w:r>
      <w:r>
        <w:rPr>
          <w:rFonts w:hint="eastAsia"/>
          <w:lang w:eastAsia="zh-CN"/>
        </w:rPr>
        <w:t>”</w:t>
      </w:r>
      <w:r>
        <w:rPr>
          <w:rFonts w:hint="eastAsia"/>
        </w:rPr>
        <w:t>三个阶段性演进过程：</w:t>
      </w:r>
    </w:p>
    <w:p w14:paraId="61EAEC12">
      <w:pPr>
        <w:rPr>
          <w:rFonts w:hint="eastAsia"/>
        </w:rPr>
      </w:pPr>
      <w:r>
        <w:rPr>
          <w:rFonts w:hint="eastAsia"/>
        </w:rPr>
        <w:t>阶段一（2024年1</w:t>
      </w:r>
      <w:r>
        <w:rPr>
          <w:rFonts w:hint="eastAsia"/>
          <w:lang w:eastAsia="zh-CN"/>
        </w:rPr>
        <w:t>—</w:t>
      </w:r>
      <w:r>
        <w:rPr>
          <w:rFonts w:hint="eastAsia"/>
        </w:rPr>
        <w:t>6月）：观望期。院区管理层对集团要求持观望态度，认为</w:t>
      </w:r>
      <w:r>
        <w:rPr>
          <w:rFonts w:hint="eastAsia"/>
          <w:lang w:eastAsia="zh-CN"/>
        </w:rPr>
        <w:t>“</w:t>
      </w:r>
      <w:r>
        <w:rPr>
          <w:rFonts w:hint="eastAsia"/>
          <w:lang w:val="en-US" w:eastAsia="zh-CN"/>
        </w:rPr>
        <w:t>专科</w:t>
      </w:r>
      <w:r>
        <w:rPr>
          <w:rFonts w:hint="eastAsia"/>
        </w:rPr>
        <w:t>医院特殊性</w:t>
      </w:r>
      <w:r>
        <w:rPr>
          <w:rFonts w:hint="eastAsia"/>
          <w:lang w:eastAsia="zh-CN"/>
        </w:rPr>
        <w:t>”</w:t>
      </w:r>
      <w:r>
        <w:rPr>
          <w:rFonts w:hint="eastAsia"/>
        </w:rPr>
        <w:t>可以豁免部分管理要求。同时，H3医院一度将CMI提升作为学科建设的核心指标，2024年CMI值达到1.31，远高于集团平均水平。然而，高CMI追求带来的高值耗材消耗显著增加（耗材收入占比超过14%），而集采执行率仅8%（集团最低），形成了典型的</w:t>
      </w:r>
      <w:r>
        <w:rPr>
          <w:rFonts w:hint="eastAsia"/>
          <w:lang w:eastAsia="zh-CN"/>
        </w:rPr>
        <w:t>“</w:t>
      </w:r>
      <w:r>
        <w:rPr>
          <w:rFonts w:hint="eastAsia"/>
        </w:rPr>
        <w:t>高技术、高成本、低盈余</w:t>
      </w:r>
      <w:r>
        <w:rPr>
          <w:rFonts w:hint="eastAsia"/>
          <w:lang w:eastAsia="zh-CN"/>
        </w:rPr>
        <w:t>”</w:t>
      </w:r>
      <w:r>
        <w:rPr>
          <w:rFonts w:hint="eastAsia"/>
        </w:rPr>
        <w:t>困局。这一阶段盈余率持续恶化。</w:t>
      </w:r>
    </w:p>
    <w:p w14:paraId="2A78ECEA">
      <w:pPr>
        <w:rPr>
          <w:rFonts w:hint="eastAsia"/>
        </w:rPr>
      </w:pPr>
      <w:r>
        <w:rPr>
          <w:rFonts w:hint="eastAsia"/>
        </w:rPr>
        <w:t>阶段二（2024年7</w:t>
      </w:r>
      <w:r>
        <w:rPr>
          <w:rFonts w:hint="eastAsia"/>
          <w:lang w:eastAsia="zh-CN"/>
        </w:rPr>
        <w:t>—</w:t>
      </w:r>
      <w:r>
        <w:rPr>
          <w:rFonts w:hint="eastAsia"/>
        </w:rPr>
        <w:t>9月）：启动期。2024年中，集团通报H3财务恶化数据，院长被约谈。2024年8月紧急启动成本控制专项行动，重点针对高值耗材集采降价和药品集采扩面。</w:t>
      </w:r>
    </w:p>
    <w:p w14:paraId="742C9515">
      <w:pPr>
        <w:rPr>
          <w:rFonts w:hint="eastAsia"/>
        </w:rPr>
      </w:pPr>
      <w:r>
        <w:rPr>
          <w:rFonts w:hint="eastAsia"/>
        </w:rPr>
        <w:t>阶段三（2024年10月</w:t>
      </w:r>
      <w:r>
        <w:rPr>
          <w:rFonts w:hint="eastAsia"/>
          <w:lang w:eastAsia="zh-CN"/>
        </w:rPr>
        <w:t>—</w:t>
      </w:r>
      <w:r>
        <w:rPr>
          <w:rFonts w:hint="eastAsia"/>
        </w:rPr>
        <w:t>2025年11月）：见效期。成本控制措施在3个月时滞后逐步见效，盈余率从约-25%改善至约-12%。但因滞后6个月启动，2024年上半年承受了本可避免的额外损失。</w:t>
      </w:r>
    </w:p>
    <w:p w14:paraId="15B85780">
      <w:pPr>
        <w:rPr>
          <w:rFonts w:hint="eastAsia"/>
        </w:rPr>
      </w:pPr>
      <w:r>
        <w:rPr>
          <w:rFonts w:hint="eastAsia"/>
        </w:rPr>
        <w:t>核心管理指标：</w:t>
      </w:r>
    </w:p>
    <w:p w14:paraId="5A246F6F">
      <w:pPr>
        <w:jc w:val="center"/>
        <w:rPr>
          <w:rFonts w:hint="eastAsia" w:cs="Times New Roman"/>
          <w:b/>
          <w:kern w:val="2"/>
          <w:sz w:val="21"/>
          <w:szCs w:val="20"/>
          <w:lang w:val="en-US" w:eastAsia="zh-CN" w:bidi="ar-SA"/>
        </w:rPr>
      </w:pPr>
      <w:r>
        <w:rPr>
          <w:sz w:val="21"/>
        </w:rPr>
        <w:t>表 3.5 H3医院核心管理指标</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7" w:type="dxa"/>
          <w:left w:w="17" w:type="dxa"/>
          <w:bottom w:w="17" w:type="dxa"/>
          <w:right w:w="17" w:type="dxa"/>
        </w:tblCellMar>
      </w:tblPr>
      <w:tblGrid>
        <w:gridCol w:w="2246"/>
        <w:gridCol w:w="1069"/>
        <w:gridCol w:w="1069"/>
        <w:gridCol w:w="1875"/>
      </w:tblGrid>
      <w:tr w14:paraId="0FCF6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8703659">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指标</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8272CB">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2023年</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518B33">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2024年</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0113EA">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变动</w:t>
            </w:r>
          </w:p>
        </w:tc>
      </w:tr>
      <w:tr w14:paraId="12EE7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05DBA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CMI值</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26053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1.20</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0D643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1.31</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1A5EF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+0.11</w:t>
            </w:r>
          </w:p>
        </w:tc>
      </w:tr>
      <w:tr w14:paraId="4D1AA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C397D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集采执行率</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6BEC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5%</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591EC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8%</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FA5D4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+3个百分点</w:t>
            </w:r>
          </w:p>
        </w:tc>
      </w:tr>
      <w:tr w14:paraId="235A39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6866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药耗占比</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1C710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44%</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50DC9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46%</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C6871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+2个百分点</w:t>
            </w:r>
          </w:p>
        </w:tc>
      </w:tr>
      <w:tr w14:paraId="776F4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5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DEE12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临床路径执行率</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3DCF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35%</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19CF9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48%</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06997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+13个百分点</w:t>
            </w:r>
          </w:p>
        </w:tc>
      </w:tr>
      <w:tr w14:paraId="086F6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486" w:hRule="atLeast"/>
          <w:jc w:val="center"/>
        </w:trPr>
        <w:tc>
          <w:tcPr>
            <w:tcW w:w="224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429B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DPO（天）</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D5EB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290</w:t>
            </w:r>
          </w:p>
        </w:tc>
        <w:tc>
          <w:tcPr>
            <w:tcW w:w="10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F2FD0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300</w:t>
            </w:r>
          </w:p>
        </w:tc>
        <w:tc>
          <w:tcPr>
            <w:tcW w:w="18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CF1D5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+10天</w:t>
            </w:r>
          </w:p>
        </w:tc>
      </w:tr>
    </w:tbl>
    <w:p w14:paraId="1B7CBECD">
      <w:pPr>
        <w:rPr>
          <w:rFonts w:hint="eastAsia"/>
        </w:rPr>
      </w:pPr>
    </w:p>
    <w:p w14:paraId="6E49C03A">
      <w:pPr>
        <w:rPr>
          <w:rFonts w:hint="eastAsia"/>
        </w:rPr>
      </w:pPr>
    </w:p>
    <w:p w14:paraId="1471CA90">
      <w:pPr>
        <w:rPr>
          <w:rFonts w:hint="eastAsia"/>
        </w:rPr>
      </w:pPr>
      <w:r>
        <w:rPr>
          <w:rFonts w:hint="eastAsia"/>
        </w:rPr>
        <w:t>关键启示：H3的案例证明了两个重要命题。第一，</w:t>
      </w:r>
      <w:r>
        <w:rPr>
          <w:rFonts w:hint="eastAsia"/>
          <w:lang w:eastAsia="zh-CN"/>
        </w:rPr>
        <w:t>“</w:t>
      </w:r>
      <w:r>
        <w:rPr>
          <w:rFonts w:hint="eastAsia"/>
        </w:rPr>
        <w:t>CMI陷阱</w:t>
      </w:r>
      <w:r>
        <w:rPr>
          <w:rFonts w:hint="eastAsia"/>
          <w:lang w:eastAsia="zh-CN"/>
        </w:rPr>
        <w:t>”</w:t>
      </w:r>
      <w:r>
        <w:rPr>
          <w:rFonts w:hint="eastAsia"/>
        </w:rPr>
        <w:t>不是静态宿命——H3通过2024年下半年启动的成本控制措施，在保持高CMI（1.31）的同时显著改善了盈余率，证明高CMI医院同样可以通过管理优化实现财务好转。第二，响应速度的经济代价是真实的——与2024年1月即启动改革的H1相比，H3因滞后6个月而承受了额外的财务损失，在年收入</w:t>
      </w:r>
      <w:r>
        <w:rPr>
          <w:rFonts w:hint="eastAsia"/>
          <w:lang w:eastAsia="zh-CN"/>
        </w:rPr>
        <w:t>5亿—6亿</w:t>
      </w:r>
      <w:r>
        <w:rPr>
          <w:rFonts w:hint="eastAsia"/>
        </w:rPr>
        <w:t>元规模下，这一滞后代价约为3,000万元。</w:t>
      </w:r>
    </w:p>
    <w:p w14:paraId="250F3A14">
      <w:pPr>
        <w:pStyle w:val="4"/>
        <w:bidi w:val="0"/>
        <w:rPr>
          <w:rFonts w:hint="eastAsia"/>
        </w:rPr>
      </w:pPr>
      <w:bookmarkStart w:id="64" w:name="_Toc29784"/>
      <w:r>
        <w:rPr>
          <w:rFonts w:hint="eastAsia"/>
        </w:rPr>
        <w:t>三家医院的关键差异对比</w:t>
      </w:r>
      <w:bookmarkEnd w:id="64"/>
    </w:p>
    <w:p w14:paraId="763BD112">
      <w:pPr>
        <w:pStyle w:val="12"/>
        <w:bidi w:val="0"/>
      </w:pPr>
      <w:r>
        <w:t>表 3.6 H1、H2、H3医院关键指标对比（2024年）</w:t>
      </w: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994"/>
        <w:gridCol w:w="994"/>
        <w:gridCol w:w="994"/>
        <w:gridCol w:w="2080"/>
      </w:tblGrid>
      <w:tr w14:paraId="403C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54B54D7">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指标</w:t>
            </w:r>
          </w:p>
        </w:tc>
        <w:tc>
          <w:tcPr>
            <w:tcW w:w="0" w:type="auto"/>
          </w:tcPr>
          <w:p w14:paraId="7F34B31D">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H1医院</w:t>
            </w:r>
          </w:p>
        </w:tc>
        <w:tc>
          <w:tcPr>
            <w:tcW w:w="0" w:type="auto"/>
          </w:tcPr>
          <w:p w14:paraId="3DF3AF29">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H2医院</w:t>
            </w:r>
          </w:p>
        </w:tc>
        <w:tc>
          <w:tcPr>
            <w:tcW w:w="0" w:type="auto"/>
          </w:tcPr>
          <w:p w14:paraId="0F3685F5">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H3医院</w:t>
            </w:r>
          </w:p>
        </w:tc>
        <w:tc>
          <w:tcPr>
            <w:tcW w:w="0" w:type="auto"/>
          </w:tcPr>
          <w:p w14:paraId="5C5BFA5E">
            <w:pPr>
              <w:widowControl/>
              <w:spacing w:after="0" w:line="240" w:lineRule="auto"/>
              <w:ind w:firstLine="0" w:firstLineChars="0"/>
              <w:jc w:val="left"/>
              <w:textAlignment w:val="auto"/>
              <w:rPr>
                <w:rFonts w:hint="eastAsia" w:ascii="Times New Roman" w:hAnsi="Times New Roman" w:eastAsia="宋体" w:cstheme="minorBidi"/>
                <w:b/>
                <w:bCs/>
                <w:i w:val="0"/>
                <w:kern w:val="0"/>
                <w:sz w:val="22"/>
                <w:szCs w:val="22"/>
                <w:lang w:val="en-US" w:eastAsia="zh-CN"/>
              </w:rPr>
            </w:pPr>
            <w:r>
              <w:rPr>
                <w:rFonts w:hint="eastAsia" w:ascii="Times New Roman" w:hAnsi="Times New Roman" w:eastAsia="宋体" w:cstheme="minorBidi"/>
                <w:b/>
                <w:bCs/>
                <w:i w:val="0"/>
                <w:kern w:val="0"/>
                <w:sz w:val="22"/>
                <w:szCs w:val="22"/>
                <w:lang w:val="en-US" w:eastAsia="zh-CN"/>
              </w:rPr>
              <w:t>差异说明</w:t>
            </w:r>
          </w:p>
        </w:tc>
      </w:tr>
      <w:tr w14:paraId="34064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820165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CMI值</w:t>
            </w:r>
          </w:p>
        </w:tc>
        <w:tc>
          <w:tcPr>
            <w:tcW w:w="0" w:type="auto"/>
          </w:tcPr>
          <w:p w14:paraId="466931F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0.88</w:t>
            </w:r>
          </w:p>
        </w:tc>
        <w:tc>
          <w:tcPr>
            <w:tcW w:w="0" w:type="auto"/>
          </w:tcPr>
          <w:p w14:paraId="7EE0920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1.02</w:t>
            </w:r>
          </w:p>
        </w:tc>
        <w:tc>
          <w:tcPr>
            <w:tcW w:w="0" w:type="auto"/>
          </w:tcPr>
          <w:p w14:paraId="205EA7C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1.31</w:t>
            </w:r>
          </w:p>
        </w:tc>
        <w:tc>
          <w:tcPr>
            <w:tcW w:w="0" w:type="auto"/>
          </w:tcPr>
          <w:p w14:paraId="1EA3D77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H3最高但亏损最重</w:t>
            </w:r>
          </w:p>
        </w:tc>
      </w:tr>
      <w:tr w14:paraId="00080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F53BB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集采执行率</w:t>
            </w:r>
          </w:p>
        </w:tc>
        <w:tc>
          <w:tcPr>
            <w:tcW w:w="0" w:type="auto"/>
          </w:tcPr>
          <w:p w14:paraId="31287CB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42%</w:t>
            </w:r>
          </w:p>
        </w:tc>
        <w:tc>
          <w:tcPr>
            <w:tcW w:w="0" w:type="auto"/>
          </w:tcPr>
          <w:p w14:paraId="042DAC2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25%</w:t>
            </w:r>
          </w:p>
        </w:tc>
        <w:tc>
          <w:tcPr>
            <w:tcW w:w="0" w:type="auto"/>
          </w:tcPr>
          <w:p w14:paraId="25258C9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8%</w:t>
            </w:r>
          </w:p>
        </w:tc>
        <w:tc>
          <w:tcPr>
            <w:tcW w:w="0" w:type="auto"/>
          </w:tcPr>
          <w:p w14:paraId="61A2D34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H1执行最彻底</w:t>
            </w:r>
          </w:p>
        </w:tc>
      </w:tr>
      <w:tr w14:paraId="2F70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F78958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药耗占比</w:t>
            </w:r>
          </w:p>
        </w:tc>
        <w:tc>
          <w:tcPr>
            <w:tcW w:w="0" w:type="auto"/>
          </w:tcPr>
          <w:p w14:paraId="5642AB5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35%</w:t>
            </w:r>
          </w:p>
        </w:tc>
        <w:tc>
          <w:tcPr>
            <w:tcW w:w="0" w:type="auto"/>
          </w:tcPr>
          <w:p w14:paraId="0F11069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38%</w:t>
            </w:r>
          </w:p>
        </w:tc>
        <w:tc>
          <w:tcPr>
            <w:tcW w:w="0" w:type="auto"/>
          </w:tcPr>
          <w:p w14:paraId="408E5A6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46%</w:t>
            </w:r>
          </w:p>
        </w:tc>
        <w:tc>
          <w:tcPr>
            <w:tcW w:w="0" w:type="auto"/>
          </w:tcPr>
          <w:p w14:paraId="2FE6414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H3耗材失控</w:t>
            </w:r>
          </w:p>
        </w:tc>
      </w:tr>
      <w:tr w14:paraId="6F43F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75B51D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医保盈余率</w:t>
            </w:r>
          </w:p>
        </w:tc>
        <w:tc>
          <w:tcPr>
            <w:tcW w:w="0" w:type="auto"/>
          </w:tcPr>
          <w:p w14:paraId="3635867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+2.1%</w:t>
            </w:r>
          </w:p>
        </w:tc>
        <w:tc>
          <w:tcPr>
            <w:tcW w:w="0" w:type="auto"/>
          </w:tcPr>
          <w:p w14:paraId="03C5E53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-1.5%</w:t>
            </w:r>
          </w:p>
        </w:tc>
        <w:tc>
          <w:tcPr>
            <w:tcW w:w="0" w:type="auto"/>
          </w:tcPr>
          <w:p w14:paraId="7F72FA0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-10.8%</w:t>
            </w:r>
          </w:p>
        </w:tc>
        <w:tc>
          <w:tcPr>
            <w:tcW w:w="0" w:type="auto"/>
          </w:tcPr>
          <w:p w14:paraId="313753B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H1唯一盈利</w:t>
            </w:r>
          </w:p>
        </w:tc>
      </w:tr>
      <w:tr w14:paraId="1F271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CE09BB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DPO（天）</w:t>
            </w:r>
          </w:p>
        </w:tc>
        <w:tc>
          <w:tcPr>
            <w:tcW w:w="0" w:type="auto"/>
          </w:tcPr>
          <w:p w14:paraId="2135C9E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270</w:t>
            </w:r>
          </w:p>
        </w:tc>
        <w:tc>
          <w:tcPr>
            <w:tcW w:w="0" w:type="auto"/>
          </w:tcPr>
          <w:p w14:paraId="138431A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390</w:t>
            </w:r>
          </w:p>
        </w:tc>
        <w:tc>
          <w:tcPr>
            <w:tcW w:w="0" w:type="auto"/>
          </w:tcPr>
          <w:p w14:paraId="14F6E8A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300</w:t>
            </w:r>
          </w:p>
        </w:tc>
        <w:tc>
          <w:tcPr>
            <w:tcW w:w="0" w:type="auto"/>
          </w:tcPr>
          <w:p w14:paraId="0B5CAE59">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H2账期最长</w:t>
            </w:r>
          </w:p>
        </w:tc>
      </w:tr>
      <w:tr w14:paraId="4B0FE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92D2D9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临床路径执行率</w:t>
            </w:r>
          </w:p>
        </w:tc>
        <w:tc>
          <w:tcPr>
            <w:tcW w:w="0" w:type="auto"/>
          </w:tcPr>
          <w:p w14:paraId="407D53D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75%</w:t>
            </w:r>
          </w:p>
        </w:tc>
        <w:tc>
          <w:tcPr>
            <w:tcW w:w="0" w:type="auto"/>
          </w:tcPr>
          <w:p w14:paraId="2307ED8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62%</w:t>
            </w:r>
          </w:p>
        </w:tc>
        <w:tc>
          <w:tcPr>
            <w:tcW w:w="0" w:type="auto"/>
          </w:tcPr>
          <w:p w14:paraId="697100C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48%</w:t>
            </w:r>
          </w:p>
        </w:tc>
        <w:tc>
          <w:tcPr>
            <w:tcW w:w="0" w:type="auto"/>
          </w:tcPr>
          <w:p w14:paraId="03AAAB1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zh-CN"/>
              </w:rPr>
            </w:pPr>
            <w:r>
              <w:rPr>
                <w:rFonts w:hint="eastAsia" w:ascii="Times New Roman" w:hAnsi="Times New Roman" w:eastAsia="宋体" w:cstheme="minorBidi"/>
                <w:b w:val="0"/>
                <w:i w:val="0"/>
                <w:kern w:val="0"/>
                <w:sz w:val="22"/>
                <w:szCs w:val="22"/>
                <w:lang w:val="en-US" w:eastAsia="zh-CN"/>
              </w:rPr>
              <w:t>H1标准化最优</w:t>
            </w:r>
          </w:p>
        </w:tc>
      </w:tr>
    </w:tbl>
    <w:p w14:paraId="4CF3DAFF">
      <w:pPr>
        <w:rPr>
          <w:rFonts w:hint="eastAsia"/>
        </w:rPr>
      </w:pPr>
    </w:p>
    <w:p w14:paraId="1DA3F34B">
      <w:pPr>
        <w:rPr>
          <w:rFonts w:hint="eastAsia"/>
        </w:rPr>
      </w:pPr>
      <w:r>
        <w:t>表 3.6揭示了一个深刻的悖论：H3医院的CMI值最高（1.31），理论上代表着最强的技术能力，但其医保盈余率却最差（约-12%）。这一现象——高CMI与高亏损并存——正是本研究在第四章将深入剖析的“CMI陷阱”（具有阶段性特征的结构性困境）。更重要的是，三家医院的差异不仅体现在静态指标上，更体现在对“双重转折点”的动态响应上。H1和H2在2024年1月立即启动管理转型（积极响应型），H3则滞后至2024年7月（滞后响应型），这一响应时间差异将在第四章的ITS分析中被量化为显著的财务损失差异。</w:t>
      </w:r>
    </w:p>
    <w:p w14:paraId="221784DD">
      <w:pPr>
        <w:pStyle w:val="4"/>
        <w:bidi w:val="0"/>
        <w:rPr>
          <w:rFonts w:hint="eastAsia"/>
        </w:rPr>
      </w:pPr>
      <w:bookmarkStart w:id="65" w:name="_Toc30565"/>
      <w:r>
        <w:rPr>
          <w:rFonts w:hint="eastAsia"/>
        </w:rPr>
        <w:t>管理差异的深层原因：战略定力与执行落地</w:t>
      </w:r>
      <w:bookmarkEnd w:id="65"/>
    </w:p>
    <w:p w14:paraId="68D68DFE">
      <w:pPr>
        <w:rPr>
          <w:rFonts w:hint="eastAsia"/>
        </w:rPr>
      </w:pPr>
      <w:r>
        <w:rPr>
          <w:rFonts w:hint="eastAsia"/>
        </w:rPr>
        <w:t>三家医院的分化，表面上是CMI和集采执行率的差异，深层原因则是战略定力与执行落地能力的差异，更根本地说，是对</w:t>
      </w:r>
      <w:r>
        <w:rPr>
          <w:rFonts w:hint="eastAsia"/>
          <w:lang w:eastAsia="zh-CN"/>
        </w:rPr>
        <w:t>“</w:t>
      </w:r>
      <w:r>
        <w:rPr>
          <w:rFonts w:hint="eastAsia"/>
        </w:rPr>
        <w:t>双重转折点</w:t>
      </w:r>
      <w:r>
        <w:rPr>
          <w:rFonts w:hint="eastAsia"/>
          <w:lang w:eastAsia="zh-CN"/>
        </w:rPr>
        <w:t>”</w:t>
      </w:r>
      <w:r>
        <w:rPr>
          <w:rFonts w:hint="eastAsia"/>
        </w:rPr>
        <w:t>认知和响应的差异：</w:t>
      </w:r>
    </w:p>
    <w:p w14:paraId="0F9306FC">
      <w:pPr>
        <w:rPr>
          <w:rFonts w:hint="eastAsia"/>
        </w:rPr>
      </w:pPr>
      <w:r>
        <w:rPr>
          <w:rFonts w:hint="eastAsia"/>
        </w:rPr>
        <w:t>H1医院：务实主义导向。 院长对DRG/DIP改革有清醒认知，对集团的管理转型要求执行彻底。不追求短期的学科声誉提升，而是专注于每一个病种的边际贡献。这种</w:t>
      </w:r>
      <w:r>
        <w:rPr>
          <w:rFonts w:hint="eastAsia"/>
          <w:lang w:eastAsia="zh-CN"/>
        </w:rPr>
        <w:t>“</w:t>
      </w:r>
      <w:r>
        <w:rPr>
          <w:rFonts w:hint="eastAsia"/>
        </w:rPr>
        <w:t>精算式</w:t>
      </w:r>
      <w:r>
        <w:rPr>
          <w:rFonts w:hint="eastAsia"/>
          <w:lang w:eastAsia="zh-CN"/>
        </w:rPr>
        <w:t>”</w:t>
      </w:r>
      <w:r>
        <w:rPr>
          <w:rFonts w:hint="eastAsia"/>
        </w:rPr>
        <w:t>的管理思维使H1成为改革中的</w:t>
      </w:r>
      <w:r>
        <w:rPr>
          <w:rFonts w:hint="eastAsia"/>
          <w:lang w:eastAsia="zh-CN"/>
        </w:rPr>
        <w:t>“</w:t>
      </w:r>
      <w:r>
        <w:rPr>
          <w:rFonts w:hint="eastAsia"/>
        </w:rPr>
        <w:t>快速止血型</w:t>
      </w:r>
      <w:r>
        <w:rPr>
          <w:rFonts w:hint="eastAsia"/>
          <w:lang w:eastAsia="zh-CN"/>
        </w:rPr>
        <w:t>”</w:t>
      </w:r>
      <w:r>
        <w:rPr>
          <w:rFonts w:hint="eastAsia"/>
        </w:rPr>
        <w:t>——虽然无法避免外部冲击，但通过快速行动将损失控制在最小范围。</w:t>
      </w:r>
    </w:p>
    <w:p w14:paraId="70147D6B">
      <w:pPr>
        <w:rPr>
          <w:rFonts w:hint="eastAsia"/>
        </w:rPr>
      </w:pPr>
      <w:r>
        <w:rPr>
          <w:rFonts w:hint="eastAsia"/>
        </w:rPr>
        <w:t>H2医院：战略雄心与审慎平衡。 院长具有推进三甲创建的战略雄心，这在FFS时代是正确的策略（规模扩张带来收入增长），但在DRG/DIP时代需要更加审慎。H2的挑战在于如何在CMI提升和成本控制之间取得动态平衡。好在H2的执行力较强，管理转型响应迅速，正在逐步找到平衡点。</w:t>
      </w:r>
    </w:p>
    <w:p w14:paraId="09ABAB54">
      <w:pPr>
        <w:rPr>
          <w:rFonts w:hint="eastAsia"/>
        </w:rPr>
      </w:pPr>
      <w:r>
        <w:rPr>
          <w:rFonts w:hint="eastAsia"/>
        </w:rPr>
        <w:t>H3医院：路径依赖与延迟觉醒。 院区管理层存在明显的</w:t>
      </w:r>
      <w:r>
        <w:rPr>
          <w:rFonts w:hint="eastAsia"/>
          <w:lang w:eastAsia="zh-CN"/>
        </w:rPr>
        <w:t>“</w:t>
      </w:r>
      <w:r>
        <w:rPr>
          <w:rFonts w:hint="eastAsia"/>
        </w:rPr>
        <w:t>路径依赖</w:t>
      </w:r>
      <w:r>
        <w:rPr>
          <w:rFonts w:hint="eastAsia"/>
          <w:lang w:eastAsia="zh-CN"/>
        </w:rPr>
        <w:t>”</w:t>
      </w:r>
      <w:r>
        <w:rPr>
          <w:rFonts w:hint="eastAsia"/>
        </w:rPr>
        <w:t>特征。在FFS时代形成的</w:t>
      </w:r>
      <w:r>
        <w:rPr>
          <w:rFonts w:hint="eastAsia"/>
          <w:lang w:eastAsia="zh-CN"/>
        </w:rPr>
        <w:t>“</w:t>
      </w:r>
      <w:r>
        <w:rPr>
          <w:rFonts w:hint="eastAsia"/>
        </w:rPr>
        <w:t>技术驱动增长</w:t>
      </w:r>
      <w:r>
        <w:rPr>
          <w:rFonts w:hint="eastAsia"/>
          <w:lang w:eastAsia="zh-CN"/>
        </w:rPr>
        <w:t>”</w:t>
      </w:r>
      <w:r>
        <w:rPr>
          <w:rFonts w:hint="eastAsia"/>
        </w:rPr>
        <w:t>战略惯性，叠加转型期的</w:t>
      </w:r>
      <w:r>
        <w:rPr>
          <w:rFonts w:hint="eastAsia"/>
          <w:lang w:eastAsia="zh-CN"/>
        </w:rPr>
        <w:t>“</w:t>
      </w:r>
      <w:r>
        <w:rPr>
          <w:rFonts w:hint="eastAsia"/>
        </w:rPr>
        <w:t>沉没成本</w:t>
      </w:r>
      <w:r>
        <w:rPr>
          <w:rFonts w:hint="eastAsia"/>
          <w:lang w:eastAsia="zh-CN"/>
        </w:rPr>
        <w:t>”</w:t>
      </w:r>
      <w:r>
        <w:rPr>
          <w:rFonts w:hint="eastAsia"/>
        </w:rPr>
        <w:t>压力（已投入的高端设备折旧、引进的高薪专家团队），导致其在执行集采政策和调整学科结构时面临较大的内部阻力。这种组织惯性客观上制约了改革适应能力的提升，直到2024年中集团约谈后才</w:t>
      </w:r>
      <w:r>
        <w:rPr>
          <w:rFonts w:hint="eastAsia"/>
          <w:lang w:eastAsia="zh-CN"/>
        </w:rPr>
        <w:t>“</w:t>
      </w:r>
      <w:r>
        <w:rPr>
          <w:rFonts w:hint="eastAsia"/>
        </w:rPr>
        <w:t>觉醒</w:t>
      </w:r>
      <w:r>
        <w:rPr>
          <w:rFonts w:hint="eastAsia"/>
          <w:lang w:eastAsia="zh-CN"/>
        </w:rPr>
        <w:t>”</w:t>
      </w:r>
      <w:r>
        <w:rPr>
          <w:rFonts w:hint="eastAsia"/>
        </w:rPr>
        <w:t>。但H3的后续改善也证明了一个积极信号：只要认真执行集团管理要求，即使起步较晚，同样可以在6-12个月后看到财务改善。</w:t>
      </w:r>
    </w:p>
    <w:p w14:paraId="143007B5">
      <w:pPr>
        <w:pStyle w:val="3"/>
        <w:bidi w:val="0"/>
        <w:rPr>
          <w:rFonts w:hint="eastAsia"/>
        </w:rPr>
      </w:pPr>
      <w:bookmarkStart w:id="66" w:name="_Toc31489"/>
      <w:r>
        <w:rPr>
          <w:rFonts w:hint="eastAsia"/>
        </w:rPr>
        <w:t>本章小结</w:t>
      </w:r>
      <w:bookmarkEnd w:id="66"/>
    </w:p>
    <w:p w14:paraId="3FD10A0D">
      <w:pPr>
        <w:rPr>
          <w:rFonts w:hint="eastAsia"/>
        </w:rPr>
      </w:pPr>
      <w:r>
        <w:rPr>
          <w:rFonts w:hint="eastAsia"/>
          <w:lang w:val="en-US" w:eastAsia="zh-CN"/>
        </w:rPr>
        <w:t>本</w:t>
      </w:r>
      <w:r>
        <w:rPr>
          <w:rFonts w:hint="eastAsia"/>
        </w:rPr>
        <w:t>章从宏观政策环境、集团财务表现、供应链协同机制、代表性医院对比四个维度，对</w:t>
      </w:r>
      <w:r>
        <w:rPr>
          <w:rFonts w:hint="eastAsia"/>
          <w:lang w:eastAsia="zh-CN"/>
        </w:rPr>
        <w:t>A医疗集团</w:t>
      </w:r>
      <w:r>
        <w:rPr>
          <w:rFonts w:hint="eastAsia"/>
        </w:rPr>
        <w:t>在DRG/DIP改革背景下的现状进行了系统剖析。主要发现如下：</w:t>
      </w:r>
    </w:p>
    <w:p w14:paraId="0C65A4C3">
      <w:pPr>
        <w:rPr>
          <w:rFonts w:hint="eastAsia"/>
        </w:rPr>
      </w:pPr>
      <w:r>
        <w:rPr>
          <w:rFonts w:hint="eastAsia"/>
        </w:rPr>
        <w:t>第一，2024年是</w:t>
      </w:r>
      <w:r>
        <w:rPr>
          <w:rFonts w:hint="eastAsia"/>
          <w:lang w:eastAsia="zh-CN"/>
        </w:rPr>
        <w:t>A医疗集团</w:t>
      </w:r>
      <w:r>
        <w:rPr>
          <w:rFonts w:hint="eastAsia"/>
        </w:rPr>
        <w:t>的</w:t>
      </w:r>
      <w:r>
        <w:rPr>
          <w:rFonts w:hint="eastAsia"/>
          <w:lang w:eastAsia="zh-CN"/>
        </w:rPr>
        <w:t>“</w:t>
      </w:r>
      <w:r>
        <w:rPr>
          <w:rFonts w:hint="eastAsia"/>
        </w:rPr>
        <w:t>双重转折点</w:t>
      </w:r>
      <w:r>
        <w:rPr>
          <w:rFonts w:hint="eastAsia"/>
          <w:lang w:eastAsia="zh-CN"/>
        </w:rPr>
        <w:t>”</w:t>
      </w:r>
      <w:r>
        <w:rPr>
          <w:rFonts w:hint="eastAsia"/>
        </w:rPr>
        <w:t>。外部层面，疫情后医保基金收支压力凸显，DRG/DIP清算审核全面从严，2024年7月发布的2.0版分组方案带来二次政策冲击。内部层面，A集团于2024年1月启动管理逻辑的根本性调整，从粗放型管理转向精细化管理，预算与三年高质量发展规划严格挂钩。这一外部冲击与内部变革的时间重合，构成了理解后续财务分化的关键背景。</w:t>
      </w:r>
    </w:p>
    <w:p w14:paraId="4FED9600">
      <w:pPr>
        <w:rPr>
          <w:rFonts w:hint="eastAsia"/>
        </w:rPr>
      </w:pPr>
      <w:r>
        <w:rPr>
          <w:rFonts w:hint="eastAsia"/>
        </w:rPr>
        <w:t>第二，</w:t>
      </w:r>
      <w:r>
        <w:rPr>
          <w:rFonts w:hint="eastAsia"/>
          <w:lang w:eastAsia="zh-CN"/>
        </w:rPr>
        <w:t>“</w:t>
      </w:r>
      <w:r>
        <w:rPr>
          <w:rFonts w:hint="eastAsia"/>
        </w:rPr>
        <w:t>增收不增利</w:t>
      </w:r>
      <w:r>
        <w:rPr>
          <w:rFonts w:hint="eastAsia"/>
          <w:lang w:eastAsia="zh-CN"/>
        </w:rPr>
        <w:t>”</w:t>
      </w:r>
      <w:r>
        <w:rPr>
          <w:rFonts w:hint="eastAsia"/>
        </w:rPr>
        <w:t>困局的本质是收入增长模式的失效，但2024年的数据显示改革已初见曙光。2024 年</w:t>
      </w:r>
      <w:r>
        <w:rPr>
          <w:rFonts w:hint="eastAsia"/>
          <w:lang w:val="en-US" w:eastAsia="zh-CN"/>
        </w:rPr>
        <w:t>A医疗</w:t>
      </w:r>
      <w:r>
        <w:rPr>
          <w:rFonts w:hint="eastAsia"/>
        </w:rPr>
        <w:t>集团归母净利润实现数倍增长，创</w:t>
      </w:r>
      <w:r>
        <w:rPr>
          <w:rFonts w:hint="eastAsia"/>
          <w:lang w:val="en-US" w:eastAsia="zh-CN"/>
        </w:rPr>
        <w:t>战略</w:t>
      </w:r>
      <w:r>
        <w:rPr>
          <w:rFonts w:hint="eastAsia"/>
        </w:rPr>
        <w:t>重整以来新高。然而，2025 年前三季度收入同比显著下滑、归母净利润由盈转亏，表明外部冲击的影响正在集中显现。DRG/DIP改革封顶了边际收入，传统的规模扩张路径难以为继，集团必须转向以效率为核心的价值运营模式。</w:t>
      </w:r>
    </w:p>
    <w:p w14:paraId="4B719760">
      <w:pPr>
        <w:rPr>
          <w:rFonts w:hint="eastAsia"/>
        </w:rPr>
      </w:pPr>
      <w:r>
        <w:rPr>
          <w:rFonts w:hint="eastAsia"/>
        </w:rPr>
        <w:t>第三，供应链协同是</w:t>
      </w:r>
      <w:r>
        <w:rPr>
          <w:rFonts w:hint="eastAsia"/>
          <w:lang w:eastAsia="zh-CN"/>
        </w:rPr>
        <w:t>“</w:t>
      </w:r>
      <w:r>
        <w:rPr>
          <w:rFonts w:hint="eastAsia"/>
        </w:rPr>
        <w:t>双刃剑</w:t>
      </w:r>
      <w:r>
        <w:rPr>
          <w:rFonts w:hint="eastAsia"/>
          <w:lang w:eastAsia="zh-CN"/>
        </w:rPr>
        <w:t>”</w:t>
      </w:r>
      <w:r>
        <w:rPr>
          <w:rFonts w:hint="eastAsia"/>
        </w:rPr>
        <w:t>——既是集团的利润</w:t>
      </w:r>
      <w:r>
        <w:rPr>
          <w:rFonts w:hint="eastAsia"/>
          <w:lang w:eastAsia="zh-CN"/>
        </w:rPr>
        <w:t>“</w:t>
      </w:r>
      <w:r>
        <w:rPr>
          <w:rFonts w:hint="eastAsia"/>
        </w:rPr>
        <w:t>蓄水池</w:t>
      </w:r>
      <w:r>
        <w:rPr>
          <w:rFonts w:hint="eastAsia"/>
          <w:lang w:eastAsia="zh-CN"/>
        </w:rPr>
        <w:t>”</w:t>
      </w:r>
      <w:r>
        <w:rPr>
          <w:rFonts w:hint="eastAsia"/>
        </w:rPr>
        <w:t>，也是院区的</w:t>
      </w:r>
      <w:r>
        <w:rPr>
          <w:rFonts w:hint="eastAsia"/>
          <w:lang w:eastAsia="zh-CN"/>
        </w:rPr>
        <w:t>“</w:t>
      </w:r>
      <w:r>
        <w:rPr>
          <w:rFonts w:hint="eastAsia"/>
        </w:rPr>
        <w:t>抽水机</w:t>
      </w:r>
      <w:r>
        <w:rPr>
          <w:rFonts w:hint="eastAsia"/>
          <w:lang w:eastAsia="zh-CN"/>
        </w:rPr>
        <w:t>”</w:t>
      </w:r>
      <w:r>
        <w:rPr>
          <w:rFonts w:hint="eastAsia"/>
        </w:rPr>
        <w:t>。灰色关联度分析将证实</w:t>
      </w:r>
      <w:r>
        <w:rPr>
          <w:rFonts w:hint="eastAsia"/>
          <w:lang w:eastAsia="zh-CN"/>
        </w:rPr>
        <w:t>集中管理协同收益</w:t>
      </w:r>
      <w:r>
        <w:rPr>
          <w:rFonts w:hint="eastAsia"/>
        </w:rPr>
        <w:t>与集团净利润</w:t>
      </w:r>
      <w:r>
        <w:rPr>
          <w:rFonts w:hint="eastAsia"/>
          <w:lang w:eastAsia="zh-CN"/>
        </w:rPr>
        <w:t>中等偏强关联（γ=0.692）</w:t>
      </w:r>
      <w:r>
        <w:rPr>
          <w:rFonts w:hint="eastAsia"/>
        </w:rPr>
        <w:t>，但</w:t>
      </w:r>
      <w:r>
        <w:rPr>
          <w:rFonts w:hint="eastAsia"/>
          <w:lang w:eastAsia="zh-CN"/>
        </w:rPr>
        <w:t>集中管理协同收益</w:t>
      </w:r>
      <w:r>
        <w:rPr>
          <w:rFonts w:hint="eastAsia"/>
        </w:rPr>
        <w:t>率提升和账期延长在院区层面造成了利益侵蚀。其净效应接近于零，本质是利益再分配而非价值创造。</w:t>
      </w:r>
    </w:p>
    <w:p w14:paraId="65A5BBE5">
      <w:pPr>
        <w:rPr>
          <w:rFonts w:hint="eastAsia"/>
        </w:rPr>
      </w:pPr>
      <w:r>
        <w:rPr>
          <w:rFonts w:hint="eastAsia"/>
        </w:rPr>
        <w:t>第四，三家代表性医院的分化揭示了</w:t>
      </w:r>
      <w:r>
        <w:rPr>
          <w:rFonts w:hint="eastAsia"/>
          <w:lang w:eastAsia="zh-CN"/>
        </w:rPr>
        <w:t>“</w:t>
      </w:r>
      <w:r>
        <w:rPr>
          <w:rFonts w:hint="eastAsia"/>
        </w:rPr>
        <w:t>管理响应速度</w:t>
      </w:r>
      <w:r>
        <w:rPr>
          <w:rFonts w:hint="eastAsia"/>
          <w:lang w:eastAsia="zh-CN"/>
        </w:rPr>
        <w:t>”</w:t>
      </w:r>
      <w:r>
        <w:rPr>
          <w:rFonts w:hint="eastAsia"/>
        </w:rPr>
        <w:t>的关键作用。 H1医院（积极响应型，2024年1月启动）虽然遭受了最严重的外部冲击（DRG标准更严格），但凭借快速行动在6个月内基本止血，全年损失最小。H3医院（滞后响应型，2024年7月启动）因滞后6个月，承受了额外约3,000万元的损失。H3的后续改善同时证明了</w:t>
      </w:r>
      <w:r>
        <w:rPr>
          <w:rFonts w:hint="eastAsia"/>
          <w:lang w:eastAsia="zh-CN"/>
        </w:rPr>
        <w:t>“</w:t>
      </w:r>
      <w:r>
        <w:rPr>
          <w:rFonts w:hint="eastAsia"/>
        </w:rPr>
        <w:t>CMI陷阱</w:t>
      </w:r>
      <w:r>
        <w:rPr>
          <w:rFonts w:hint="eastAsia"/>
          <w:lang w:eastAsia="zh-CN"/>
        </w:rPr>
        <w:t>”</w:t>
      </w:r>
      <w:r>
        <w:rPr>
          <w:rFonts w:hint="eastAsia"/>
        </w:rPr>
        <w:t>的可突破性——通过针对性成本控制，高CMI医院同样可以改善盈余。</w:t>
      </w:r>
    </w:p>
    <w:p w14:paraId="7172C8C9">
      <w:pPr>
        <w:rPr>
          <w:rFonts w:hint="eastAsia"/>
        </w:rPr>
      </w:pPr>
      <w:r>
        <w:rPr>
          <w:rFonts w:hint="eastAsia"/>
        </w:rPr>
        <w:t>第五，</w:t>
      </w:r>
      <w:r>
        <w:rPr>
          <w:rFonts w:hint="eastAsia"/>
          <w:lang w:eastAsia="zh-CN"/>
        </w:rPr>
        <w:t>“</w:t>
      </w:r>
      <w:r>
        <w:rPr>
          <w:rFonts w:hint="eastAsia"/>
        </w:rPr>
        <w:t>CMI陷阱</w:t>
      </w:r>
      <w:r>
        <w:rPr>
          <w:rFonts w:hint="eastAsia"/>
          <w:lang w:eastAsia="zh-CN"/>
        </w:rPr>
        <w:t>”</w:t>
      </w:r>
      <w:r>
        <w:rPr>
          <w:rFonts w:hint="eastAsia"/>
        </w:rPr>
        <w:t>现象的阶段性存在得到了初步印证。H3医院CMI最高（1.31）却盈余最差（约-12%），H1医院CMI最低（0.88）却盈余最好（约-5.2%），颠覆了</w:t>
      </w:r>
      <w:r>
        <w:rPr>
          <w:rFonts w:hint="eastAsia"/>
          <w:lang w:eastAsia="zh-CN"/>
        </w:rPr>
        <w:t>“</w:t>
      </w:r>
      <w:r>
        <w:rPr>
          <w:rFonts w:hint="eastAsia"/>
        </w:rPr>
        <w:t>CMI越高越好</w:t>
      </w:r>
      <w:r>
        <w:rPr>
          <w:rFonts w:hint="eastAsia"/>
          <w:lang w:eastAsia="zh-CN"/>
        </w:rPr>
        <w:t>”</w:t>
      </w:r>
      <w:r>
        <w:rPr>
          <w:rFonts w:hint="eastAsia"/>
        </w:rPr>
        <w:t>的传统认知。但H3在2024年下半年的改善表明，这一</w:t>
      </w:r>
      <w:r>
        <w:rPr>
          <w:rFonts w:hint="eastAsia"/>
          <w:lang w:eastAsia="zh-CN"/>
        </w:rPr>
        <w:t>“</w:t>
      </w:r>
      <w:r>
        <w:rPr>
          <w:rFonts w:hint="eastAsia"/>
        </w:rPr>
        <w:t>陷阱</w:t>
      </w:r>
      <w:r>
        <w:rPr>
          <w:rFonts w:hint="eastAsia"/>
          <w:lang w:eastAsia="zh-CN"/>
        </w:rPr>
        <w:t>”</w:t>
      </w:r>
      <w:r>
        <w:rPr>
          <w:rFonts w:hint="eastAsia"/>
        </w:rPr>
        <w:t>具有阶段性特征，并非静态宿命，而是可通过管理优化动态突破。</w:t>
      </w:r>
    </w:p>
    <w:p w14:paraId="11A3EFD9">
      <w:r>
        <w:rPr>
          <w:rFonts w:hint="eastAsia"/>
        </w:rPr>
        <w:t>上述发现为第四章的实证研究奠定了充分的分析基础。在下一章中，本研究将运用间断时间序列分析（ITS），以2024年1月为</w:t>
      </w:r>
      <w:r>
        <w:rPr>
          <w:rFonts w:hint="eastAsia"/>
          <w:lang w:eastAsia="zh-CN"/>
        </w:rPr>
        <w:t>“</w:t>
      </w:r>
      <w:r>
        <w:rPr>
          <w:rFonts w:hint="eastAsia"/>
        </w:rPr>
        <w:t>双重转折点</w:t>
      </w:r>
      <w:r>
        <w:rPr>
          <w:rFonts w:hint="eastAsia"/>
          <w:lang w:eastAsia="zh-CN"/>
        </w:rPr>
        <w:t>”</w:t>
      </w:r>
      <w:r>
        <w:rPr>
          <w:rFonts w:hint="eastAsia"/>
        </w:rPr>
        <w:t>，对上述现象进行严格的定量验证——特别是量化外部冲击的即时效应（β₂）与内部管理变革的滞后效应（β₃），揭示</w:t>
      </w:r>
      <w:r>
        <w:rPr>
          <w:rFonts w:hint="eastAsia"/>
          <w:lang w:eastAsia="zh-CN"/>
        </w:rPr>
        <w:t>“</w:t>
      </w:r>
      <w:r>
        <w:rPr>
          <w:rFonts w:hint="eastAsia"/>
        </w:rPr>
        <w:t>管理响应速度决定损失规模</w:t>
      </w:r>
      <w:r>
        <w:rPr>
          <w:rFonts w:hint="eastAsia"/>
          <w:lang w:eastAsia="zh-CN"/>
        </w:rPr>
        <w:t>”</w:t>
      </w:r>
      <w:r>
        <w:rPr>
          <w:rFonts w:hint="eastAsia"/>
        </w:rPr>
        <w:t>的实证机制。</w:t>
      </w:r>
    </w:p>
    <w:p w14:paraId="33803AAD">
      <w:pPr>
        <w:pStyle w:val="74"/>
        <w:spacing w:before="156"/>
        <w:rPr>
          <w:color w:val="FF0000"/>
        </w:rPr>
      </w:pPr>
    </w:p>
    <w:p w14:paraId="470114DA">
      <w:pPr>
        <w:pStyle w:val="12"/>
        <w:rPr>
          <w:b w:val="0"/>
          <w:color w:val="FF0000"/>
          <w:sz w:val="24"/>
          <w:szCs w:val="24"/>
        </w:rPr>
      </w:pPr>
      <w:bookmarkStart w:id="67" w:name="_Toc345588873"/>
      <w:bookmarkStart w:id="68" w:name="_Ref263171517"/>
      <w:bookmarkStart w:id="69" w:name="_Toc292178229"/>
    </w:p>
    <w:bookmarkEnd w:id="67"/>
    <w:bookmarkEnd w:id="68"/>
    <w:bookmarkEnd w:id="69"/>
    <w:p w14:paraId="339C7467">
      <w:pPr>
        <w:adjustRightInd w:val="0"/>
        <w:snapToGrid w:val="0"/>
        <w:spacing w:line="400" w:lineRule="exact"/>
        <w:ind w:firstLine="480"/>
        <w:rPr>
          <w:rFonts w:hint="eastAsia"/>
          <w:color w:val="FF0000"/>
        </w:rPr>
      </w:pPr>
      <w:bookmarkStart w:id="70" w:name="_Toc292178208"/>
      <w:bookmarkStart w:id="71" w:name="_Toc345588850"/>
    </w:p>
    <w:p w14:paraId="6B09BD48">
      <w:pPr>
        <w:pStyle w:val="2"/>
        <w:adjustRightInd w:val="0"/>
        <w:snapToGrid w:val="0"/>
        <w:spacing w:before="480" w:after="360" w:line="240" w:lineRule="auto"/>
        <w:rPr>
          <w:b w:val="0"/>
          <w:color w:val="FF0000"/>
          <w:sz w:val="32"/>
          <w:szCs w:val="32"/>
        </w:rPr>
      </w:pPr>
      <w:bookmarkStart w:id="72" w:name="_Toc30299"/>
      <w:r>
        <w:rPr>
          <w:rFonts w:hint="eastAsia" w:hAnsi="黑体"/>
          <w:b w:val="0"/>
          <w:color w:val="auto"/>
          <w:sz w:val="32"/>
          <w:szCs w:val="32"/>
          <w:lang w:eastAsia="zh-CN"/>
        </w:rPr>
        <w:t>A医疗集团</w:t>
      </w:r>
      <w:r>
        <w:rPr>
          <w:rFonts w:hint="eastAsia" w:hAnsi="黑体"/>
          <w:b w:val="0"/>
          <w:color w:val="auto"/>
          <w:sz w:val="32"/>
          <w:szCs w:val="32"/>
        </w:rPr>
        <w:t>医疗收入质量的实证研究</w:t>
      </w:r>
      <w:bookmarkEnd w:id="72"/>
      <w:r>
        <w:rPr>
          <w:b w:val="0"/>
          <w:sz w:val="32"/>
          <w:szCs w:val="32"/>
        </w:rPr>
        <w:t xml:space="preserve"> </w:t>
      </w:r>
      <w:r>
        <w:rPr>
          <w:b w:val="0"/>
          <w:color w:val="FF0000"/>
          <w:sz w:val="32"/>
          <w:szCs w:val="32"/>
        </w:rPr>
        <w:t xml:space="preserve"> </w:t>
      </w:r>
      <w:bookmarkEnd w:id="70"/>
      <w:bookmarkEnd w:id="71"/>
      <w:bookmarkStart w:id="73" w:name="_Toc345588851"/>
      <w:bookmarkStart w:id="74" w:name="_Toc198111950"/>
      <w:bookmarkStart w:id="75" w:name="_Toc292178209"/>
    </w:p>
    <w:bookmarkEnd w:id="73"/>
    <w:bookmarkEnd w:id="74"/>
    <w:bookmarkEnd w:id="75"/>
    <w:p w14:paraId="0F4AF36A">
      <w:pPr>
        <w:pStyle w:val="3"/>
        <w:bidi w:val="0"/>
        <w:rPr>
          <w:rFonts w:hint="eastAsia"/>
        </w:rPr>
      </w:pPr>
      <w:bookmarkStart w:id="76" w:name="_Toc292178210"/>
      <w:bookmarkStart w:id="77" w:name="_Toc345588852"/>
      <w:bookmarkStart w:id="78" w:name="_Toc198111951"/>
      <w:r>
        <w:rPr>
          <w:rFonts w:hint="eastAsia"/>
        </w:rPr>
        <w:t xml:space="preserve"> </w:t>
      </w:r>
      <w:bookmarkStart w:id="79" w:name="_Toc11374"/>
      <w:r>
        <w:rPr>
          <w:rFonts w:hint="eastAsia"/>
        </w:rPr>
        <w:t>研究设计与方法论</w:t>
      </w:r>
      <w:bookmarkEnd w:id="79"/>
    </w:p>
    <w:p w14:paraId="784B89C6">
      <w:pPr>
        <w:pStyle w:val="4"/>
        <w:bidi w:val="0"/>
        <w:rPr>
          <w:rFonts w:hint="eastAsia"/>
        </w:rPr>
      </w:pPr>
      <w:bookmarkStart w:id="80" w:name="_Toc8636"/>
      <w:r>
        <w:rPr>
          <w:rFonts w:hint="eastAsia"/>
        </w:rPr>
        <w:t>研究假设</w:t>
      </w:r>
      <w:bookmarkEnd w:id="80"/>
    </w:p>
    <w:p w14:paraId="05C4CAB1">
      <w:pPr>
        <w:adjustRightInd w:val="0"/>
        <w:snapToGrid w:val="0"/>
        <w:spacing w:line="400" w:lineRule="exact"/>
        <w:ind w:firstLine="480"/>
        <w:rPr>
          <w:rFonts w:hint="eastAsia"/>
          <w:color w:val="auto"/>
        </w:rPr>
      </w:pPr>
      <w:r>
        <w:rPr>
          <w:rFonts w:hint="eastAsia"/>
          <w:color w:val="auto"/>
        </w:rPr>
        <w:t>基于第二章构建的</w:t>
      </w:r>
      <w:r>
        <w:rPr>
          <w:rFonts w:hint="eastAsia"/>
          <w:color w:val="auto"/>
          <w:lang w:eastAsia="zh-CN"/>
        </w:rPr>
        <w:t>“</w:t>
      </w:r>
      <w:r>
        <w:rPr>
          <w:rFonts w:hint="eastAsia"/>
          <w:color w:val="auto"/>
        </w:rPr>
        <w:t>价值创造—成本控制—激励相容</w:t>
      </w:r>
      <w:r>
        <w:rPr>
          <w:rFonts w:hint="eastAsia"/>
          <w:color w:val="auto"/>
          <w:lang w:eastAsia="zh-CN"/>
        </w:rPr>
        <w:t>”</w:t>
      </w:r>
      <w:r>
        <w:rPr>
          <w:rFonts w:hint="eastAsia"/>
          <w:color w:val="auto"/>
        </w:rPr>
        <w:t>三维分析框架，以及第三章揭示的2024年</w:t>
      </w:r>
      <w:r>
        <w:rPr>
          <w:rFonts w:hint="eastAsia"/>
          <w:color w:val="auto"/>
          <w:lang w:eastAsia="zh-CN"/>
        </w:rPr>
        <w:t>“</w:t>
      </w:r>
      <w:r>
        <w:rPr>
          <w:rFonts w:hint="eastAsia"/>
          <w:color w:val="auto"/>
        </w:rPr>
        <w:t>双重转折点</w:t>
      </w:r>
      <w:r>
        <w:rPr>
          <w:rFonts w:hint="eastAsia"/>
          <w:color w:val="auto"/>
          <w:lang w:eastAsia="zh-CN"/>
        </w:rPr>
        <w:t>”</w:t>
      </w:r>
      <w:r>
        <w:rPr>
          <w:rFonts w:hint="eastAsia"/>
          <w:color w:val="auto"/>
        </w:rPr>
        <w:t>特征——外部医保政策全面收紧与A集团内部管理转型同步启动——本研究提出以下四项研究假设。</w:t>
      </w:r>
    </w:p>
    <w:p w14:paraId="316B3DB8">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1（外部冲击假设）：2024年医保政策收紧对</w:t>
      </w:r>
      <w:r>
        <w:rPr>
          <w:rFonts w:hint="eastAsia"/>
          <w:color w:val="auto"/>
          <w:lang w:eastAsia="zh-CN"/>
        </w:rPr>
        <w:t>A医疗集团</w:t>
      </w:r>
      <w:r>
        <w:rPr>
          <w:rFonts w:hint="eastAsia"/>
          <w:color w:val="auto"/>
        </w:rPr>
        <w:t>旗下医院产生显著的即时负向冲击（β₂&lt;0），但冲击程度因支付方式（DRG vs DIP）、医院级别（三级vs二级）和区域政策（各省医保审核标准差异）而存在显著差异。</w:t>
      </w:r>
    </w:p>
    <w:p w14:paraId="3B47388F">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2（内部变革假设）：A集团2024年管理转型对各医院产生正向影响，但影响显现存在3</w:t>
      </w:r>
      <w:r>
        <w:rPr>
          <w:rFonts w:hint="eastAsia"/>
          <w:color w:val="auto"/>
          <w:lang w:eastAsia="zh-CN"/>
        </w:rPr>
        <w:t>～</w:t>
      </w:r>
      <w:r>
        <w:rPr>
          <w:rFonts w:hint="eastAsia"/>
          <w:color w:val="auto"/>
        </w:rPr>
        <w:t>6个月的时滞期，且影响程度取决于各医院的管理响应速度和执行力度。</w:t>
      </w:r>
    </w:p>
    <w:p w14:paraId="63165170">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3（叠加效应假设）：外部冲击与内部变革的双重叠加效应呈现分化特征。积极响应型医院通过快速落地管理措施在短期内吸收外部冲击，β₃接近零；滞后响应型医院因启动延迟导致前期持续恶化、后期显著改善，β₃显著为正，呈现</w:t>
      </w:r>
      <w:r>
        <w:rPr>
          <w:rFonts w:hint="eastAsia"/>
          <w:color w:val="auto"/>
          <w:lang w:eastAsia="zh-CN"/>
        </w:rPr>
        <w:t>“</w:t>
      </w:r>
      <w:r>
        <w:rPr>
          <w:rFonts w:hint="eastAsia"/>
          <w:color w:val="auto"/>
        </w:rPr>
        <w:t>先抑后扬</w:t>
      </w:r>
      <w:r>
        <w:rPr>
          <w:rFonts w:hint="eastAsia"/>
          <w:color w:val="auto"/>
          <w:lang w:eastAsia="zh-CN"/>
        </w:rPr>
        <w:t>”</w:t>
      </w:r>
      <w:r>
        <w:rPr>
          <w:rFonts w:hint="eastAsia"/>
          <w:color w:val="auto"/>
        </w:rPr>
        <w:t>的阶段性轨迹。</w:t>
      </w:r>
    </w:p>
    <w:p w14:paraId="778F41B6">
      <w:pPr>
        <w:adjustRightInd w:val="0"/>
        <w:snapToGrid w:val="0"/>
        <w:spacing w:line="400" w:lineRule="exact"/>
        <w:ind w:firstLine="480"/>
        <w:rPr>
          <w:rFonts w:hint="eastAsia"/>
          <w:color w:val="auto"/>
        </w:rPr>
      </w:pPr>
      <w:r>
        <w:rPr>
          <w:rFonts w:hint="eastAsia"/>
          <w:color w:val="auto"/>
          <w:lang w:eastAsia="zh-CN"/>
        </w:rPr>
        <w:t>假设HP</w:t>
      </w:r>
      <w:r>
        <w:rPr>
          <w:rFonts w:hint="eastAsia"/>
          <w:color w:val="auto"/>
        </w:rPr>
        <w:t>4（CMI陷阱假设）：在DRG/DIP支付环境下，CMI值与医保盈余率之间存在非线性关系。当CMI超过某一阈值后，成本边际增长（15%</w:t>
      </w:r>
      <w:r>
        <w:rPr>
          <w:rFonts w:hint="eastAsia"/>
          <w:color w:val="auto"/>
          <w:lang w:eastAsia="zh-CN"/>
        </w:rPr>
        <w:t>～</w:t>
      </w:r>
      <w:r>
        <w:rPr>
          <w:rFonts w:hint="eastAsia"/>
          <w:color w:val="auto"/>
        </w:rPr>
        <w:t>25%）超过DRG溢价（8%</w:t>
      </w:r>
      <w:r>
        <w:rPr>
          <w:rFonts w:hint="eastAsia"/>
          <w:color w:val="auto"/>
          <w:lang w:eastAsia="zh-CN"/>
        </w:rPr>
        <w:t>～</w:t>
      </w:r>
      <w:r>
        <w:rPr>
          <w:rFonts w:hint="eastAsia"/>
          <w:color w:val="auto"/>
        </w:rPr>
        <w:t>10%），形成</w:t>
      </w:r>
      <w:r>
        <w:rPr>
          <w:rFonts w:hint="eastAsia"/>
          <w:color w:val="auto"/>
          <w:lang w:eastAsia="zh-CN"/>
        </w:rPr>
        <w:t>“</w:t>
      </w:r>
      <w:r>
        <w:rPr>
          <w:rFonts w:hint="eastAsia"/>
          <w:color w:val="auto"/>
        </w:rPr>
        <w:t>高技术、低盈余</w:t>
      </w:r>
      <w:r>
        <w:rPr>
          <w:rFonts w:hint="eastAsia"/>
          <w:color w:val="auto"/>
          <w:lang w:eastAsia="zh-CN"/>
        </w:rPr>
        <w:t>”</w:t>
      </w:r>
      <w:r>
        <w:rPr>
          <w:rFonts w:hint="eastAsia"/>
          <w:color w:val="auto"/>
        </w:rPr>
        <w:t>的结构性困境——即</w:t>
      </w:r>
      <w:r>
        <w:rPr>
          <w:rFonts w:hint="eastAsia"/>
          <w:color w:val="auto"/>
          <w:lang w:eastAsia="zh-CN"/>
        </w:rPr>
        <w:t>“</w:t>
      </w:r>
      <w:r>
        <w:rPr>
          <w:rFonts w:hint="eastAsia"/>
          <w:color w:val="auto"/>
        </w:rPr>
        <w:t>CMI陷阱</w:t>
      </w:r>
      <w:r>
        <w:rPr>
          <w:rFonts w:hint="eastAsia"/>
          <w:color w:val="auto"/>
          <w:lang w:eastAsia="zh-CN"/>
        </w:rPr>
        <w:t>”</w:t>
      </w:r>
      <w:r>
        <w:rPr>
          <w:rFonts w:hint="eastAsia"/>
          <w:color w:val="auto"/>
        </w:rPr>
        <w:t>。但该陷阱具有阶段性特征，可通过针对性成本控制措施实现动态突破。</w:t>
      </w:r>
    </w:p>
    <w:p w14:paraId="3D341845">
      <w:pPr>
        <w:adjustRightInd w:val="0"/>
        <w:snapToGrid w:val="0"/>
        <w:spacing w:line="400" w:lineRule="exact"/>
        <w:ind w:firstLine="480"/>
        <w:rPr>
          <w:rFonts w:hint="eastAsia"/>
          <w:color w:val="auto"/>
        </w:rPr>
      </w:pPr>
    </w:p>
    <w:p w14:paraId="2A3ED04A">
      <w:pPr>
        <w:pStyle w:val="4"/>
        <w:bidi w:val="0"/>
        <w:rPr>
          <w:rFonts w:hint="eastAsia"/>
        </w:rPr>
      </w:pPr>
      <w:bookmarkStart w:id="81" w:name="_Toc2927"/>
      <w:r>
        <w:t>间断时间序列分析（ITS）模型设定</w:t>
      </w:r>
      <w:bookmarkEnd w:id="81"/>
    </w:p>
    <w:p w14:paraId="378259A8">
      <w:pPr>
        <w:adjustRightInd w:val="0"/>
        <w:snapToGrid w:val="0"/>
        <w:spacing w:line="400" w:lineRule="exact"/>
        <w:ind w:firstLine="480"/>
        <w:rPr>
          <w:rFonts w:hint="eastAsia"/>
          <w:color w:val="auto"/>
        </w:rPr>
      </w:pPr>
      <w:r>
        <w:rPr>
          <w:rFonts w:hint="eastAsia"/>
          <w:color w:val="auto"/>
        </w:rPr>
        <w:t>间断时间序列分析（Interrupted Time Series, ITS）是准实验设计中评估政策干预效果的经典方法</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5</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color w:val="auto"/>
        </w:rPr>
        <w:t>，其核心思想是通过比较干预前后时间序列的水平和斜率变化来识别干预的因果效应</w:t>
      </w:r>
      <w:r>
        <w:rPr>
          <w:rStyle w:val="51"/>
          <w:rFonts w:hint="eastAsia"/>
        </w:rPr>
        <w:t>[9]</w:t>
      </w:r>
      <w:r>
        <w:rPr>
          <w:rFonts w:hint="eastAsia"/>
          <w:color w:val="auto"/>
        </w:rPr>
        <w:t>。相较于简单前后对比，ITS能够控制时间趋势并区分即时效应与长期效应，被广泛应用于卫生政策评估领域。</w:t>
      </w:r>
    </w:p>
    <w:p w14:paraId="5D61B951">
      <w:pPr>
        <w:adjustRightInd w:val="0"/>
        <w:snapToGrid w:val="0"/>
        <w:spacing w:line="400" w:lineRule="exact"/>
        <w:ind w:firstLine="480"/>
        <w:rPr>
          <w:rFonts w:hint="eastAsia"/>
          <w:color w:val="auto"/>
        </w:rPr>
      </w:pPr>
      <w:r>
        <w:rPr>
          <w:rFonts w:hint="eastAsia"/>
          <w:color w:val="auto"/>
        </w:rPr>
        <w:t>本研究采用分段线性回归模型，设定</w:t>
      </w:r>
      <w:r>
        <w:rPr>
          <w:rFonts w:hint="eastAsia"/>
          <w:color w:val="auto"/>
          <w:lang w:eastAsia="zh-CN"/>
        </w:rPr>
        <w:t>如下：</w:t>
      </w:r>
    </w:p>
    <w:p w14:paraId="2D962CAF">
      <w:pPr>
        <w:adjustRightInd w:val="0"/>
        <w:snapToGrid w:val="0"/>
        <w:spacing w:line="400" w:lineRule="exact"/>
        <w:ind w:firstLine="480"/>
        <w:rPr>
          <w:rFonts w:hint="eastAsia"/>
          <w:i w:val="0"/>
          <w:color w:val="auto"/>
        </w:rPr>
      </w:pPr>
      <m:oMathPara>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D+</m:t>
          </m:r>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3</m:t>
              </m:r>
              <m:ctrlPr>
                <w:rPr>
                  <w:rFonts w:hint="default" w:ascii="Cambria Math"/>
                </w:rPr>
              </m:ctrlPr>
            </m:sub>
          </m:sSub>
          <m:r>
            <m:rPr/>
            <w:rPr>
              <w:rFonts w:hint="default" w:ascii="Cambria Math"/>
            </w:rPr>
            <m:t>(T−</m:t>
          </m:r>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0</m:t>
              </m:r>
              <m:ctrlPr>
                <w:rPr>
                  <w:rFonts w:hint="default" w:ascii="Cambria Math"/>
                </w:rPr>
              </m:ctrlPr>
            </m:sub>
          </m:sSub>
          <m:r>
            <m:rPr/>
            <w:rPr>
              <w:rFonts w:hint="default" w:ascii="Cambria Math"/>
            </w:rPr>
            <m:t>)⋅D+</m:t>
          </m:r>
          <m:sSub>
            <m:sSubPr>
              <m:ctrlPr>
                <w:rPr>
                  <w:rFonts w:hint="default" w:ascii="Cambria Math"/>
                </w:rPr>
              </m:ctrlPr>
            </m:sSubPr>
            <m:e>
              <m:r>
                <m:rPr/>
                <w:rPr>
                  <w:rFonts w:hint="default" w:ascii="Cambria Math"/>
                </w:rPr>
                <m:t>ϵ</m:t>
              </m:r>
              <m:ctrlPr>
                <w:rPr>
                  <w:rFonts w:hint="default" w:ascii="Cambria Math"/>
                </w:rPr>
              </m:ctrlPr>
            </m:e>
            <m:sub>
              <m:r>
                <m:rPr/>
                <w:rPr>
                  <w:rFonts w:hint="default" w:ascii="Cambria Math"/>
                </w:rPr>
                <m:t>t</m:t>
              </m:r>
              <m:ctrlPr>
                <w:rPr>
                  <w:rFonts w:hint="default" w:ascii="Cambria Math"/>
                </w:rPr>
              </m:ctrlPr>
            </m:sub>
          </m:sSub>
        </m:oMath>
      </m:oMathPara>
    </w:p>
    <w:p w14:paraId="126290B8">
      <w:pPr>
        <w:adjustRightInd w:val="0"/>
        <w:snapToGrid w:val="0"/>
        <w:spacing w:line="400" w:lineRule="exact"/>
        <w:ind w:firstLine="480"/>
        <w:rPr>
          <w:rFonts w:hint="eastAsia"/>
          <w:color w:val="auto"/>
        </w:rPr>
      </w:pPr>
      <w:r>
        <w:rPr>
          <w:rFonts w:hint="eastAsia"/>
          <w:color w:val="auto"/>
        </w:rPr>
        <w:t>其中：</w:t>
      </w:r>
    </w:p>
    <w:p w14:paraId="65806AA4">
      <w:pPr>
        <w:numPr>
          <w:ilvl w:val="0"/>
          <w:numId w:val="8"/>
        </w:numPr>
        <w:adjustRightInd w:val="0"/>
        <w:snapToGrid w:val="0"/>
        <w:spacing w:line="400" w:lineRule="exact"/>
        <w:ind w:left="840" w:leftChars="0" w:hanging="420" w:firstLineChars="0"/>
        <w:rPr>
          <w:rFonts w:hint="eastAsia"/>
          <w:color w:val="auto"/>
        </w:rPr>
      </w:pP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oMath>
      <w:r>
        <w:rPr>
          <w:rFonts w:hint="eastAsia"/>
          <w:color w:val="auto"/>
        </w:rPr>
        <w:t>：第</w:t>
      </w:r>
      <m:oMath>
        <m:r>
          <m:rPr/>
          <w:rPr>
            <w:rFonts w:hint="default" w:ascii="Cambria Math"/>
          </w:rPr>
          <m:t>t</m:t>
        </m:r>
      </m:oMath>
      <w:r>
        <w:rPr>
          <w:rFonts w:hint="eastAsia"/>
          <w:color w:val="auto"/>
        </w:rPr>
        <w:t>月的医保结算盈余率（%）</w:t>
      </w:r>
    </w:p>
    <w:p w14:paraId="4E4E129B">
      <w:pPr>
        <w:numPr>
          <w:ilvl w:val="0"/>
          <w:numId w:val="8"/>
        </w:numPr>
        <w:adjustRightInd w:val="0"/>
        <w:snapToGrid w:val="0"/>
        <w:spacing w:line="400" w:lineRule="exact"/>
        <w:ind w:left="840" w:leftChars="0" w:hanging="420" w:firstLineChars="0"/>
        <w:rPr>
          <w:rFonts w:hint="eastAsia"/>
          <w:color w:val="auto"/>
        </w:rPr>
      </w:pPr>
      <m:oMath>
        <m:r>
          <m:rPr/>
          <w:rPr>
            <w:rFonts w:hint="default" w:ascii="Cambria Math"/>
          </w:rPr>
          <m:t>T</m:t>
        </m:r>
      </m:oMath>
      <w:r>
        <w:rPr>
          <w:rFonts w:hint="eastAsia"/>
          <w:color w:val="auto"/>
        </w:rPr>
        <w:t>：时间趋势变</w:t>
      </w:r>
      <w:r>
        <w:rPr>
          <w:rFonts w:hint="eastAsia"/>
          <w:color w:val="auto"/>
          <w:highlight w:val="none"/>
        </w:rPr>
        <w:t>量（</w:t>
      </w:r>
      <m:oMath>
        <m:r>
          <m:rPr/>
          <w:rPr>
            <w:rFonts w:hint="default" w:ascii="Cambria Math"/>
            <w:highlight w:val="none"/>
          </w:rPr>
          <m:t>T=1,2,3,...,4</m:t>
        </m:r>
        <m:r>
          <m:rPr/>
          <w:rPr>
            <w:rFonts w:hint="default" w:ascii="Cambria Math"/>
            <w:highlight w:val="none"/>
            <w:lang w:val="en-US" w:eastAsia="zh-CN"/>
          </w:rPr>
          <m:t>6</m:t>
        </m:r>
      </m:oMath>
      <w:r>
        <w:rPr>
          <w:rFonts w:hint="eastAsia"/>
          <w:color w:val="auto"/>
          <w:highlight w:val="none"/>
        </w:rPr>
        <w:t>，对应2022年</w:t>
      </w:r>
      <w:r>
        <w:rPr>
          <w:rFonts w:hint="eastAsia"/>
          <w:color w:val="auto"/>
          <w:highlight w:val="none"/>
          <w:lang w:val="en-US" w:eastAsia="zh-CN"/>
        </w:rPr>
        <w:t>2</w:t>
      </w:r>
      <w:r>
        <w:rPr>
          <w:rFonts w:hint="eastAsia"/>
          <w:color w:val="auto"/>
          <w:highlight w:val="none"/>
        </w:rPr>
        <w:t>月至2025年11</w:t>
      </w:r>
      <w:r>
        <w:rPr>
          <w:rFonts w:hint="eastAsia"/>
          <w:color w:val="auto"/>
        </w:rPr>
        <w:t>月）</w:t>
      </w:r>
    </w:p>
    <w:p w14:paraId="35FDEE87">
      <w:pPr>
        <w:numPr>
          <w:ilvl w:val="0"/>
          <w:numId w:val="8"/>
        </w:numPr>
        <w:adjustRightInd w:val="0"/>
        <w:snapToGrid w:val="0"/>
        <w:spacing w:line="400" w:lineRule="exact"/>
        <w:ind w:left="840" w:leftChars="0" w:hanging="420" w:firstLineChars="0"/>
        <w:rPr>
          <w:rFonts w:hint="eastAsia"/>
          <w:color w:val="auto"/>
        </w:rPr>
      </w:pPr>
      <m:oMath>
        <m:r>
          <m:rPr/>
          <w:rPr>
            <w:rFonts w:hint="default" w:ascii="Cambria Math"/>
          </w:rPr>
          <m:t>D</m:t>
        </m:r>
      </m:oMath>
      <w:r>
        <w:rPr>
          <w:rFonts w:hint="eastAsia"/>
          <w:color w:val="auto"/>
        </w:rPr>
        <w:t>：干预虚拟变量（</w:t>
      </w:r>
      <m:oMath>
        <m:r>
          <m:rPr/>
          <w:rPr>
            <w:rFonts w:hint="default" w:ascii="Cambria Math"/>
          </w:rPr>
          <m:t>D=0</m:t>
        </m:r>
      </m:oMath>
      <w:r>
        <w:rPr>
          <w:rFonts w:hint="eastAsia"/>
          <w:color w:val="auto"/>
        </w:rPr>
        <w:t>表示干预前，</w:t>
      </w:r>
      <m:oMath>
        <m:r>
          <m:rPr/>
          <w:rPr>
            <w:rFonts w:hint="default" w:ascii="Cambria Math"/>
          </w:rPr>
          <m:t>D=1</m:t>
        </m:r>
      </m:oMath>
      <w:r>
        <w:rPr>
          <w:rFonts w:hint="eastAsia"/>
          <w:color w:val="auto"/>
        </w:rPr>
        <w:t>表示干预后）</w:t>
      </w:r>
    </w:p>
    <w:p w14:paraId="13F2835E">
      <w:pPr>
        <w:numPr>
          <w:ilvl w:val="0"/>
          <w:numId w:val="8"/>
        </w:numPr>
        <w:adjustRightInd w:val="0"/>
        <w:snapToGrid w:val="0"/>
        <w:spacing w:line="400" w:lineRule="exact"/>
        <w:ind w:left="840" w:leftChars="0" w:hanging="420" w:firstLineChars="0"/>
        <w:rPr>
          <w:rFonts w:hint="eastAsia"/>
          <w:color w:val="auto"/>
        </w:rPr>
      </w:pP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0</m:t>
            </m:r>
            <m:ctrlPr>
              <w:rPr>
                <w:rFonts w:hint="default" w:ascii="Cambria Math"/>
              </w:rPr>
            </m:ctrlPr>
          </m:sub>
        </m:sSub>
      </m:oMath>
      <w:r>
        <w:rPr>
          <w:rFonts w:hint="eastAsia"/>
          <w:color w:val="auto"/>
        </w:rPr>
        <w:t>：干预时点（本研究设定为2024年</w:t>
      </w:r>
      <w:r>
        <w:rPr>
          <w:rFonts w:hint="eastAsia"/>
          <w:color w:val="auto"/>
          <w:lang w:val="en-US" w:eastAsia="zh-CN"/>
        </w:rPr>
        <w:t>1</w:t>
      </w:r>
      <w:r>
        <w:rPr>
          <w:rFonts w:hint="eastAsia"/>
          <w:color w:val="auto"/>
        </w:rPr>
        <w:t>月，即</w:t>
      </w:r>
      <m:oMath>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0</m:t>
            </m:r>
            <m:ctrlPr>
              <w:rPr>
                <w:rFonts w:hint="default" w:ascii="Cambria Math"/>
              </w:rPr>
            </m:ctrlPr>
          </m:sub>
        </m:sSub>
      </m:oMath>
      <w:r>
        <w:rPr>
          <w:rFonts w:hint="eastAsia"/>
          <w:color w:val="auto"/>
        </w:rPr>
        <w:t>=</w:t>
      </w:r>
      <m:oMath>
        <m:r>
          <m:rPr/>
          <w:rPr>
            <w:rFonts w:hint="default" w:ascii="Cambria Math"/>
          </w:rPr>
          <m:t>2</m:t>
        </m:r>
      </m:oMath>
      <w:r>
        <w:rPr>
          <w:rFonts w:hint="eastAsia"/>
          <w:i w:val="0"/>
          <w:lang w:val="en-US" w:eastAsia="zh-CN"/>
        </w:rPr>
        <w:t>4</w:t>
      </w:r>
      <w:r>
        <w:rPr>
          <w:rFonts w:hint="eastAsia"/>
          <w:color w:val="auto"/>
        </w:rPr>
        <w:t>）</w:t>
      </w:r>
    </w:p>
    <w:p w14:paraId="2288CB3F">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rPr>
            </m:ctrlPr>
          </m:sSubPr>
          <m:e>
            <m:r>
              <m:rPr/>
              <w:rPr>
                <w:rFonts w:hint="default" w:ascii="Cambria Math"/>
              </w:rPr>
              <m:t>β</m:t>
            </m:r>
            <m:ctrlPr>
              <w:rPr>
                <w:rFonts w:hint="default" w:ascii="Cambria Math"/>
              </w:rPr>
            </m:ctrlPr>
          </m:e>
          <m:sub>
            <m:r>
              <m:rPr/>
              <w:rPr>
                <w:rFonts w:hint="default" w:ascii="Cambria Math"/>
              </w:rPr>
              <m:t>0</m:t>
            </m:r>
            <m:ctrlPr>
              <w:rPr>
                <w:rFonts w:hint="default" w:ascii="Cambria Math"/>
              </w:rPr>
            </m:ctrlPr>
          </m:sub>
        </m:sSub>
      </m:oMath>
      <w:r>
        <w:rPr>
          <w:rFonts w:hint="eastAsia"/>
          <w:color w:val="auto"/>
        </w:rPr>
        <w:t>：基线水平（干预前序列的截距）</w:t>
      </w:r>
    </w:p>
    <w:p w14:paraId="79C4B9F7">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1</m:t>
            </m:r>
            <m:ctrlPr>
              <w:rPr>
                <w:rFonts w:hint="eastAsia" w:ascii="Cambria Math" w:hAnsi="Cambria Math" w:eastAsia="宋体" w:cs="Times New Roman"/>
                <w:color w:val="auto"/>
              </w:rPr>
            </m:ctrlPr>
          </m:sub>
        </m:sSub>
      </m:oMath>
      <w:r>
        <w:rPr>
          <w:rFonts w:hint="eastAsia" w:eastAsia="宋体" w:cs="Times New Roman"/>
          <w:color w:val="auto"/>
        </w:rPr>
        <w:t>：干预前趋势（干预前序列的斜率）</w:t>
      </w:r>
    </w:p>
    <w:p w14:paraId="26F44AB6">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2</m:t>
            </m:r>
            <m:ctrlPr>
              <w:rPr>
                <w:rFonts w:hint="eastAsia" w:ascii="Cambria Math" w:hAnsi="Cambria Math" w:eastAsia="宋体" w:cs="Times New Roman"/>
                <w:color w:val="auto"/>
              </w:rPr>
            </m:ctrlPr>
          </m:sub>
        </m:sSub>
      </m:oMath>
      <w:r>
        <w:rPr>
          <w:rFonts w:hint="eastAsia" w:eastAsia="宋体" w:cs="Times New Roman"/>
          <w:color w:val="auto"/>
        </w:rPr>
        <w:t>：即时效应（政策实施瞬间的水平跳变）</w:t>
      </w:r>
    </w:p>
    <w:p w14:paraId="39523597">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eastAsia="宋体" w:cs="Times New Roman"/>
          <w:color w:val="auto"/>
        </w:rPr>
        <w:t>：斜率变化效应（政策实施后斜率相对于干预前的变化量）</w:t>
      </w:r>
    </w:p>
    <w:p w14:paraId="2462259D">
      <w:pPr>
        <w:numPr>
          <w:ilvl w:val="0"/>
          <w:numId w:val="8"/>
        </w:numPr>
        <w:adjustRightInd w:val="0"/>
        <w:snapToGrid w:val="0"/>
        <w:spacing w:line="400" w:lineRule="exact"/>
        <w:ind w:left="840" w:leftChars="0" w:hanging="420" w:firstLineChars="0"/>
        <w:rPr>
          <w:rFonts w:hint="eastAsia" w:eastAsia="宋体" w:cs="Times New Roman"/>
          <w:color w:val="auto"/>
        </w:rPr>
      </w:pP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ϵ</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t</m:t>
            </m:r>
            <m:ctrlPr>
              <w:rPr>
                <w:rFonts w:hint="eastAsia" w:ascii="Cambria Math" w:hAnsi="Cambria Math" w:eastAsia="宋体" w:cs="Times New Roman"/>
                <w:color w:val="auto"/>
              </w:rPr>
            </m:ctrlPr>
          </m:sub>
        </m:sSub>
      </m:oMath>
      <w:r>
        <w:rPr>
          <w:rFonts w:hint="eastAsia" w:eastAsia="宋体" w:cs="Times New Roman"/>
          <w:color w:val="auto"/>
        </w:rPr>
        <w:t>：随机误差项</w:t>
      </w:r>
    </w:p>
    <w:p w14:paraId="3B9DB077">
      <w:pPr>
        <w:adjustRightInd w:val="0"/>
        <w:snapToGrid w:val="0"/>
        <w:spacing w:line="400" w:lineRule="exact"/>
        <w:ind w:firstLine="480"/>
        <w:rPr>
          <w:rFonts w:hint="eastAsia"/>
          <w:color w:val="auto"/>
        </w:rPr>
      </w:pPr>
      <w:r>
        <w:rPr>
          <w:rFonts w:hint="eastAsia"/>
          <w:color w:val="auto"/>
        </w:rPr>
        <w:t>干预点选择：本研究将干预时点设定为2024年1月。这一时点具有双重性质（第三章3.4节已详述）：其一，2024年DRG/DIP支付方式改革全面落地，各统筹区清算审核标准显著趋严；其二，A集团同月启动精细化管理三年行动计划，标志着管理逻辑从粗放型向精细化的根本性转变。由于</w:t>
      </w:r>
      <w:r>
        <w:rPr>
          <w:rFonts w:hint="eastAsia"/>
          <w:color w:val="auto"/>
          <w:lang w:eastAsia="zh-CN"/>
        </w:rPr>
        <w:t>双重</w:t>
      </w:r>
      <w:r>
        <w:rPr>
          <w:rFonts w:hint="eastAsia"/>
          <w:color w:val="auto"/>
        </w:rPr>
        <w:t>干预在时间上高度重合，ITS模型无法在统计上将两者完全分离。本研究采取以下解析策略：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2</m:t>
            </m:r>
            <m:ctrlPr>
              <w:rPr>
                <w:rFonts w:hint="eastAsia" w:ascii="Cambria Math" w:hAnsi="Cambria Math" w:eastAsia="宋体" w:cs="Times New Roman"/>
                <w:color w:val="auto"/>
              </w:rPr>
            </m:ctrlPr>
          </m:sub>
        </m:sSub>
      </m:oMath>
      <w:r>
        <w:rPr>
          <w:rFonts w:hint="eastAsia"/>
          <w:color w:val="auto"/>
        </w:rPr>
        <w:t>（即时效应）主要反映外部政策冲击——因为管理措施存在3</w:t>
      </w:r>
      <w:r>
        <w:rPr>
          <w:rFonts w:hint="eastAsia"/>
          <w:color w:val="auto"/>
          <w:lang w:eastAsia="zh-CN"/>
        </w:rPr>
        <w:t>～</w:t>
      </w:r>
      <w:r>
        <w:rPr>
          <w:rFonts w:hint="eastAsia"/>
          <w:color w:val="auto"/>
        </w:rPr>
        <w:t>6个月的实施时滞，干预点附近的即时变化几乎完全由外部因素驱动；</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color w:val="auto"/>
        </w:rPr>
        <w:t>（斜率变化效应）则同时包含外部政策的滞后效应和内部管理变革的效果，两者的相对权重因医院响应速度不同而分化。</w:t>
      </w:r>
    </w:p>
    <w:p w14:paraId="5098365A">
      <w:pPr>
        <w:adjustRightInd w:val="0"/>
        <w:snapToGrid w:val="0"/>
        <w:spacing w:line="400" w:lineRule="exact"/>
        <w:ind w:firstLine="480"/>
        <w:rPr>
          <w:rFonts w:hint="eastAsia"/>
          <w:color w:val="auto"/>
        </w:rPr>
      </w:pPr>
      <w:r>
        <w:rPr>
          <w:rFonts w:hint="eastAsia"/>
          <w:color w:val="auto"/>
        </w:rPr>
        <w:t>参数解释：</w:t>
      </w:r>
    </w:p>
    <w:p w14:paraId="57B86F0A">
      <w:pPr>
        <w:numPr>
          <w:ilvl w:val="0"/>
          <w:numId w:val="8"/>
        </w:numPr>
        <w:adjustRightInd w:val="0"/>
        <w:snapToGrid w:val="0"/>
        <w:spacing w:line="400" w:lineRule="exact"/>
        <w:ind w:left="840" w:leftChars="0" w:hanging="420" w:firstLineChars="0"/>
        <w:rPr>
          <w:rFonts w:hint="eastAsia"/>
          <w:color w:val="auto"/>
        </w:rPr>
      </w:pPr>
      <w:r>
        <w:rPr>
          <w:rFonts w:hint="eastAsia"/>
          <w:color w:val="auto"/>
        </w:rPr>
        <w:t>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2</m:t>
            </m:r>
            <m:ctrlPr>
              <w:rPr>
                <w:rFonts w:hint="eastAsia" w:ascii="Cambria Math" w:hAnsi="Cambria Math" w:eastAsia="宋体" w:cs="Times New Roman"/>
                <w:color w:val="auto"/>
              </w:rPr>
            </m:ctrlPr>
          </m:sub>
        </m:sSub>
      </m:oMath>
      <w:r>
        <w:rPr>
          <w:rFonts w:hint="eastAsia"/>
          <w:color w:val="auto"/>
        </w:rPr>
        <w:t xml:space="preserve"> &lt; 0，表示</w:t>
      </w:r>
      <w:r>
        <w:rPr>
          <w:rFonts w:hint="eastAsia"/>
          <w:color w:val="auto"/>
          <w:lang w:val="en-US" w:eastAsia="zh-CN"/>
        </w:rPr>
        <w:t>干预</w:t>
      </w:r>
      <w:r>
        <w:rPr>
          <w:rFonts w:hint="eastAsia"/>
          <w:color w:val="auto"/>
        </w:rPr>
        <w:t>实施瞬间盈余率出现即时下降</w:t>
      </w:r>
      <w:r>
        <w:rPr>
          <w:rFonts w:ascii="宋体" w:hAnsi="宋体" w:eastAsia="宋体" w:cs="宋体"/>
          <w:sz w:val="24"/>
          <w:szCs w:val="24"/>
        </w:rPr>
        <w:t>（外部冲击）</w:t>
      </w:r>
    </w:p>
    <w:p w14:paraId="40846F8D">
      <w:pPr>
        <w:numPr>
          <w:ilvl w:val="0"/>
          <w:numId w:val="8"/>
        </w:numPr>
        <w:adjustRightInd w:val="0"/>
        <w:snapToGrid w:val="0"/>
        <w:spacing w:line="400" w:lineRule="exact"/>
        <w:ind w:left="840" w:leftChars="0" w:hanging="420" w:firstLineChars="0"/>
        <w:rPr>
          <w:rFonts w:hint="eastAsia"/>
          <w:color w:val="auto"/>
        </w:rPr>
      </w:pPr>
      <w:r>
        <w:rPr>
          <w:rFonts w:hint="eastAsia"/>
          <w:color w:val="auto"/>
        </w:rPr>
        <w:t>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color w:val="auto"/>
        </w:rPr>
        <w:t xml:space="preserve"> &gt; 0，表示</w:t>
      </w:r>
      <w:r>
        <w:rPr>
          <w:rFonts w:hint="eastAsia"/>
          <w:color w:val="auto"/>
          <w:lang w:val="en-US" w:eastAsia="zh-CN"/>
        </w:rPr>
        <w:t>干预</w:t>
      </w:r>
      <w:r>
        <w:rPr>
          <w:rFonts w:hint="eastAsia"/>
          <w:color w:val="auto"/>
        </w:rPr>
        <w:t>实施后盈余率的下降趋势放缓甚至反转（</w:t>
      </w:r>
      <w:r>
        <w:rPr>
          <w:rFonts w:ascii="宋体" w:hAnsi="宋体" w:eastAsia="宋体" w:cs="宋体"/>
          <w:sz w:val="24"/>
          <w:szCs w:val="24"/>
        </w:rPr>
        <w:t>管理措施见效或政策适应</w:t>
      </w:r>
      <w:r>
        <w:rPr>
          <w:rFonts w:hint="eastAsia"/>
          <w:color w:val="auto"/>
        </w:rPr>
        <w:t>）</w:t>
      </w:r>
    </w:p>
    <w:p w14:paraId="5D903309">
      <w:pPr>
        <w:numPr>
          <w:ilvl w:val="0"/>
          <w:numId w:val="8"/>
        </w:numPr>
        <w:adjustRightInd w:val="0"/>
        <w:snapToGrid w:val="0"/>
        <w:spacing w:line="400" w:lineRule="exact"/>
        <w:ind w:left="840" w:leftChars="0" w:hanging="420" w:firstLineChars="0"/>
        <w:rPr>
          <w:rFonts w:hint="eastAsia"/>
          <w:color w:val="auto"/>
        </w:rPr>
      </w:pPr>
      <w:r>
        <w:rPr>
          <w:rFonts w:hint="eastAsia"/>
          <w:color w:val="auto"/>
        </w:rPr>
        <w:t>若</w:t>
      </w:r>
      <m:oMath>
        <m:sSub>
          <m:sSubPr>
            <m:ctrlPr>
              <w:rPr>
                <w:rFonts w:hint="default" w:ascii="Cambria Math" w:hAnsi="Cambria Math" w:eastAsia="宋体" w:cs="Times New Roman"/>
                <w:color w:val="auto"/>
              </w:rPr>
            </m:ctrlPr>
          </m:sSubPr>
          <m:e>
            <m:r>
              <m:rPr>
                <m:sty m:val="p"/>
              </m:rPr>
              <w:rPr>
                <w:rFonts w:hint="default" w:ascii="Times New Roman" w:hAnsi="Times New Roman" w:eastAsia="宋体" w:cs="Times New Roman"/>
                <w:color w:val="auto"/>
              </w:rPr>
              <m:t>β</m:t>
            </m:r>
            <m:ctrlPr>
              <w:rPr>
                <w:rFonts w:hint="eastAsia" w:ascii="Cambria Math" w:hAnsi="Cambria Math" w:eastAsia="宋体" w:cs="Times New Roman"/>
                <w:color w:val="auto"/>
              </w:rPr>
            </m:ctrlPr>
          </m:e>
          <m:sub>
            <m:r>
              <m:rPr>
                <m:sty m:val="p"/>
              </m:rPr>
              <w:rPr>
                <w:rFonts w:hint="default" w:ascii="Times New Roman" w:hAnsi="Times New Roman" w:eastAsia="宋体" w:cs="Times New Roman"/>
                <w:color w:val="auto"/>
              </w:rPr>
              <m:t>3</m:t>
            </m:r>
            <m:ctrlPr>
              <w:rPr>
                <w:rFonts w:hint="eastAsia" w:ascii="Cambria Math" w:hAnsi="Cambria Math" w:eastAsia="宋体" w:cs="Times New Roman"/>
                <w:color w:val="auto"/>
              </w:rPr>
            </m:ctrlPr>
          </m:sub>
        </m:sSub>
      </m:oMath>
      <w:r>
        <w:rPr>
          <w:rFonts w:hint="eastAsia"/>
          <w:color w:val="auto"/>
        </w:rPr>
        <w:t xml:space="preserve"> &lt; 0，表示</w:t>
      </w:r>
      <w:r>
        <w:rPr>
          <w:rFonts w:hint="eastAsia"/>
          <w:color w:val="auto"/>
          <w:lang w:val="en-US" w:eastAsia="zh-CN"/>
        </w:rPr>
        <w:t>干预</w:t>
      </w:r>
      <w:r>
        <w:rPr>
          <w:rFonts w:hint="eastAsia"/>
          <w:color w:val="auto"/>
        </w:rPr>
        <w:t>实施后盈余率的下降趋势</w:t>
      </w:r>
      <w:r>
        <w:rPr>
          <w:rFonts w:ascii="宋体" w:hAnsi="宋体" w:eastAsia="宋体" w:cs="宋体"/>
          <w:sz w:val="24"/>
          <w:szCs w:val="24"/>
        </w:rPr>
        <w:t>未改善甚至加剧</w:t>
      </w:r>
    </w:p>
    <w:p w14:paraId="62E9155E">
      <w:pPr>
        <w:pStyle w:val="4"/>
        <w:bidi w:val="0"/>
        <w:rPr>
          <w:rFonts w:hint="eastAsia"/>
        </w:rPr>
      </w:pPr>
      <w:bookmarkStart w:id="82" w:name="_Toc240"/>
      <w:r>
        <w:rPr>
          <w:rFonts w:hint="eastAsia"/>
        </w:rPr>
        <w:t>数据来源与样本说明</w:t>
      </w:r>
      <w:bookmarkEnd w:id="82"/>
    </w:p>
    <w:p w14:paraId="46C43FB0">
      <w:pPr>
        <w:spacing w:before="0" w:after="0" w:line="400" w:lineRule="exact"/>
        <w:ind w:firstLine="480"/>
        <w:jc w:val="both"/>
        <w:rPr>
          <w:rFonts w:hint="eastAsia" w:ascii="Times New Roman" w:hAnsi="Times New Roman" w:eastAsia="宋体"/>
          <w:b w:val="0"/>
          <w:i w:val="0"/>
          <w:sz w:val="24"/>
        </w:rPr>
      </w:pPr>
      <w:r>
        <w:rPr>
          <w:rFonts w:hint="eastAsia" w:ascii="Times New Roman" w:hAnsi="Times New Roman" w:eastAsia="宋体"/>
          <w:b w:val="0"/>
          <w:i w:val="0"/>
          <w:sz w:val="24"/>
        </w:rPr>
        <w:t>本研究数据来源于</w:t>
      </w:r>
      <w:r>
        <w:rPr>
          <w:rFonts w:hint="eastAsia"/>
          <w:b w:val="0"/>
          <w:i w:val="0"/>
          <w:sz w:val="24"/>
          <w:lang w:eastAsia="zh-CN"/>
        </w:rPr>
        <w:t>A医疗集团</w:t>
      </w:r>
      <w:r>
        <w:rPr>
          <w:rFonts w:hint="eastAsia" w:ascii="Times New Roman" w:hAnsi="Times New Roman" w:eastAsia="宋体"/>
          <w:b w:val="0"/>
          <w:i w:val="0"/>
          <w:sz w:val="24"/>
        </w:rPr>
        <w:t>运营大数据中心及各院区HIS系统，时间跨度为2022年2月至2025年11月。之所以起始月份为2022年2月而非1月，是因为H3医院2022年1月数据包含上年度（2021年）清算返还款，属于非常规数据，予以剔除。最终样本量为：H1医院47个月、H2医院47个月、H3医院46个月。</w:t>
      </w:r>
    </w:p>
    <w:p w14:paraId="4338BE4B">
      <w:pPr>
        <w:pStyle w:val="19"/>
        <w:bidi w:val="0"/>
        <w:rPr>
          <w:rFonts w:hint="eastAsia"/>
          <w:lang w:eastAsia="en-US"/>
        </w:rPr>
      </w:pPr>
      <w:r>
        <w:rPr>
          <w:rFonts w:hint="eastAsia"/>
          <w:lang w:eastAsia="en-US"/>
        </w:rPr>
        <w:t>注：2025年数据为初步结算数据，尚未经年终清算调整。由于截稿时2025年12月数据尚未完全结账，实证分析采用2025年1—11月数据。</w:t>
      </w:r>
    </w:p>
    <w:p w14:paraId="63830DFB">
      <w:pPr>
        <w:spacing w:before="0" w:after="0" w:line="400" w:lineRule="exact"/>
        <w:ind w:firstLine="480"/>
        <w:jc w:val="both"/>
        <w:rPr>
          <w:rFonts w:hint="eastAsia" w:ascii="Times New Roman" w:hAnsi="Times New Roman" w:eastAsia="宋体"/>
          <w:b w:val="0"/>
          <w:i w:val="0"/>
          <w:sz w:val="24"/>
        </w:rPr>
      </w:pPr>
      <w:r>
        <w:rPr>
          <w:rFonts w:hint="eastAsia" w:ascii="Times New Roman" w:hAnsi="Times New Roman" w:eastAsia="宋体"/>
          <w:b w:val="0"/>
          <w:i w:val="0"/>
          <w:sz w:val="24"/>
        </w:rPr>
        <w:t>样本选择逻辑：基于第三章的分析，本研究以H1医院（积极响应型标杆）和H3医院（滞后响应型/CMI陷阱典型）作为对比分析的核心对象，以H2医院作为辅助验证对象。三家医院在支付方式（H1为DRG、H3为DIP）、医院类型（H1为综合医院、H3为专科</w:t>
      </w:r>
      <w:r>
        <w:rPr>
          <w:rFonts w:hint="eastAsia"/>
          <w:b w:val="0"/>
          <w:i w:val="0"/>
          <w:sz w:val="24"/>
          <w:lang w:val="en-US" w:eastAsia="zh-CN"/>
        </w:rPr>
        <w:t>特殊综合</w:t>
      </w:r>
      <w:r>
        <w:rPr>
          <w:rFonts w:hint="eastAsia" w:ascii="Times New Roman" w:hAnsi="Times New Roman" w:eastAsia="宋体"/>
          <w:b w:val="0"/>
          <w:i w:val="0"/>
          <w:sz w:val="24"/>
        </w:rPr>
        <w:t>医院）、管理响应速度（H1为2024年1月立即启动、H3为2024年7月滞后启动）等关键维度上形成鲜明差异，构成嵌入式多案例比较的良好条件</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21</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b w:val="0"/>
          <w:i w:val="0"/>
          <w:sz w:val="24"/>
        </w:rPr>
        <w:t>。</w:t>
      </w:r>
    </w:p>
    <w:p w14:paraId="125586CD">
      <w:pPr>
        <w:spacing w:before="0" w:after="0" w:line="400" w:lineRule="exact"/>
        <w:ind w:firstLine="480"/>
        <w:jc w:val="both"/>
      </w:pPr>
      <w:r>
        <w:rPr>
          <w:rFonts w:hint="eastAsia" w:ascii="Times New Roman" w:hAnsi="Times New Roman" w:eastAsia="宋体"/>
          <w:b w:val="0"/>
          <w:i w:val="0"/>
          <w:sz w:val="24"/>
        </w:rPr>
        <w:t>样本代表性说明：三家样本医院覆盖了中部、</w:t>
      </w:r>
      <w:r>
        <w:rPr>
          <w:rFonts w:hint="eastAsia"/>
          <w:b w:val="0"/>
          <w:i w:val="0"/>
          <w:sz w:val="24"/>
          <w:lang w:val="en-US" w:eastAsia="zh-CN"/>
        </w:rPr>
        <w:t>北部</w:t>
      </w:r>
      <w:r>
        <w:rPr>
          <w:rFonts w:hint="eastAsia" w:ascii="Times New Roman" w:hAnsi="Times New Roman" w:eastAsia="宋体"/>
          <w:b w:val="0"/>
          <w:i w:val="0"/>
          <w:sz w:val="24"/>
        </w:rPr>
        <w:t>、东部三个经济发展水平不同的区域，涵盖DRG和DIP两种主要支付方式以及综合与专科两种医院类型。虽然样本量有限（3家医院），但在嵌入式案例研究范式下，分析深度优先于广度，且三家医院合计约占A集团医疗服务板块收入</w:t>
      </w:r>
      <w:r>
        <w:rPr>
          <w:rFonts w:hint="eastAsia" w:ascii="Times New Roman" w:hAnsi="Times New Roman" w:eastAsia="宋体"/>
          <w:b w:val="0"/>
          <w:i w:val="0"/>
          <w:sz w:val="24"/>
          <w:highlight w:val="none"/>
        </w:rPr>
        <w:t>的45%</w:t>
      </w:r>
      <w:r>
        <w:rPr>
          <w:rFonts w:hint="eastAsia" w:ascii="Times New Roman" w:hAnsi="Times New Roman" w:eastAsia="宋体"/>
          <w:b w:val="0"/>
          <w:i w:val="0"/>
          <w:sz w:val="24"/>
        </w:rPr>
        <w:t>以上，具有实质性代表意义。</w:t>
      </w:r>
    </w:p>
    <w:p w14:paraId="425F8A46">
      <w:pPr>
        <w:spacing w:before="0" w:after="0" w:line="400" w:lineRule="exact"/>
        <w:jc w:val="both"/>
      </w:pPr>
      <w:r>
        <w:rPr>
          <w:rFonts w:hint="eastAsia" w:ascii="Times New Roman" w:hAnsi="Times New Roman" w:eastAsia="宋体"/>
          <w:b/>
          <w:i w:val="0"/>
          <w:sz w:val="24"/>
        </w:rPr>
        <w:t>变量定义</w:t>
      </w:r>
      <w:r>
        <w:rPr>
          <w:rFonts w:hint="eastAsia" w:ascii="Times New Roman" w:hAnsi="Times New Roman" w:eastAsia="宋体"/>
          <w:b w:val="0"/>
          <w:i w:val="0"/>
          <w:sz w:val="24"/>
        </w:rPr>
        <w:t>：</w:t>
      </w:r>
    </w:p>
    <w:tbl>
      <w:tblPr>
        <w:tblStyle w:val="31"/>
        <w:tblW w:w="88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2934"/>
        <w:gridCol w:w="3565"/>
        <w:gridCol w:w="960"/>
      </w:tblGrid>
      <w:tr w14:paraId="1249E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659BCF4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变量名称</w:t>
            </w:r>
          </w:p>
        </w:tc>
        <w:tc>
          <w:tcPr>
            <w:tcW w:w="2934" w:type="dxa"/>
          </w:tcPr>
          <w:p w14:paraId="1D6EE1C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定义</w:t>
            </w:r>
          </w:p>
        </w:tc>
        <w:tc>
          <w:tcPr>
            <w:tcW w:w="3565" w:type="dxa"/>
          </w:tcPr>
          <w:p w14:paraId="5F8032E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计算公式</w:t>
            </w:r>
          </w:p>
        </w:tc>
        <w:tc>
          <w:tcPr>
            <w:tcW w:w="960" w:type="dxa"/>
          </w:tcPr>
          <w:p w14:paraId="69C7D8C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单位</w:t>
            </w:r>
          </w:p>
        </w:tc>
      </w:tr>
      <w:tr w14:paraId="731E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1CF6737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医保盈余率</w:t>
            </w:r>
          </w:p>
        </w:tc>
        <w:tc>
          <w:tcPr>
            <w:tcW w:w="2934" w:type="dxa"/>
          </w:tcPr>
          <w:p w14:paraId="4E85B37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医保结算盈余占申报金额的比例</w:t>
            </w:r>
          </w:p>
        </w:tc>
        <w:tc>
          <w:tcPr>
            <w:tcW w:w="3565" w:type="dxa"/>
          </w:tcPr>
          <w:p w14:paraId="0BCD20A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实际拨付额</w:t>
            </w: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申报金额</w:t>
            </w: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/申报金额×100%</w:t>
            </w:r>
          </w:p>
        </w:tc>
        <w:tc>
          <w:tcPr>
            <w:tcW w:w="960" w:type="dxa"/>
          </w:tcPr>
          <w:p w14:paraId="172AB71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w:t>
            </w:r>
          </w:p>
        </w:tc>
      </w:tr>
      <w:tr w14:paraId="0B834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6AD252E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CMI值</w:t>
            </w:r>
          </w:p>
        </w:tc>
        <w:tc>
          <w:tcPr>
            <w:tcW w:w="2934" w:type="dxa"/>
          </w:tcPr>
          <w:p w14:paraId="59ADD90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病例组合指数</w:t>
            </w:r>
          </w:p>
        </w:tc>
        <w:tc>
          <w:tcPr>
            <w:tcW w:w="3565" w:type="dxa"/>
          </w:tcPr>
          <w:p w14:paraId="18CFC2B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医院实际权重/标准权重</w:t>
            </w:r>
          </w:p>
        </w:tc>
        <w:tc>
          <w:tcPr>
            <w:tcW w:w="960" w:type="dxa"/>
          </w:tcPr>
          <w:p w14:paraId="360FB9E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无量纲</w:t>
            </w:r>
          </w:p>
        </w:tc>
      </w:tr>
      <w:tr w14:paraId="383FA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5E76B10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集采执行率</w:t>
            </w:r>
          </w:p>
        </w:tc>
        <w:tc>
          <w:tcPr>
            <w:tcW w:w="2934" w:type="dxa"/>
          </w:tcPr>
          <w:p w14:paraId="79D8243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集采品种使用占比</w:t>
            </w:r>
          </w:p>
        </w:tc>
        <w:tc>
          <w:tcPr>
            <w:tcW w:w="3565" w:type="dxa"/>
          </w:tcPr>
          <w:p w14:paraId="42EDCC7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集采品种金额/药耗总金额×100%</w:t>
            </w:r>
          </w:p>
        </w:tc>
        <w:tc>
          <w:tcPr>
            <w:tcW w:w="960" w:type="dxa"/>
          </w:tcPr>
          <w:p w14:paraId="28D0B01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w:t>
            </w:r>
          </w:p>
        </w:tc>
      </w:tr>
      <w:tr w14:paraId="759D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8" w:type="dxa"/>
          </w:tcPr>
          <w:p w14:paraId="28BCBA9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药耗占比</w:t>
            </w:r>
          </w:p>
        </w:tc>
        <w:tc>
          <w:tcPr>
            <w:tcW w:w="2934" w:type="dxa"/>
          </w:tcPr>
          <w:p w14:paraId="74CC07E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药品耗材收入占总收入比例</w:t>
            </w:r>
          </w:p>
        </w:tc>
        <w:tc>
          <w:tcPr>
            <w:tcW w:w="3565" w:type="dxa"/>
          </w:tcPr>
          <w:p w14:paraId="75C6595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药品+耗材收入</w:t>
            </w:r>
            <w:r>
              <w:rPr>
                <w:rFonts w:hint="eastAsia" w:eastAsia="宋体" w:cstheme="minorBidi"/>
                <w:b w:val="0"/>
                <w:i w:val="0"/>
                <w:kern w:val="0"/>
                <w:sz w:val="22"/>
                <w:szCs w:val="22"/>
                <w:lang w:val="en-US" w:eastAsia="zh-CN"/>
              </w:rPr>
              <w:t>）</w:t>
            </w:r>
            <w:r>
              <w:rPr>
                <w:rFonts w:hint="eastAsia" w:ascii="Times New Roman" w:hAnsi="Times New Roman" w:eastAsia="宋体" w:cstheme="minorBidi"/>
                <w:b w:val="0"/>
                <w:i w:val="0"/>
                <w:kern w:val="0"/>
                <w:sz w:val="22"/>
                <w:szCs w:val="22"/>
                <w:lang w:val="en-US" w:eastAsia="en-US"/>
              </w:rPr>
              <w:t>/总收入×100%</w:t>
            </w:r>
          </w:p>
        </w:tc>
        <w:tc>
          <w:tcPr>
            <w:tcW w:w="960" w:type="dxa"/>
          </w:tcPr>
          <w:p w14:paraId="66CCE25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en-US"/>
              </w:rPr>
              <w:t>%</w:t>
            </w:r>
          </w:p>
        </w:tc>
      </w:tr>
      <w:bookmarkEnd w:id="76"/>
      <w:bookmarkEnd w:id="77"/>
      <w:bookmarkEnd w:id="78"/>
    </w:tbl>
    <w:p w14:paraId="19972EE1">
      <w:pPr>
        <w:pStyle w:val="3"/>
        <w:bidi w:val="0"/>
        <w:rPr>
          <w:lang w:val="en-US" w:eastAsia="en-US"/>
        </w:rPr>
      </w:pPr>
      <w:bookmarkStart w:id="83" w:name="_Toc6739"/>
      <w:r>
        <w:rPr>
          <w:rFonts w:hint="eastAsia"/>
          <w:lang w:val="en-US" w:eastAsia="en-US"/>
        </w:rPr>
        <w:t>H1医院ITS分析：积极响应型的</w:t>
      </w:r>
      <w:r>
        <w:rPr>
          <w:rFonts w:hint="eastAsia"/>
          <w:lang w:val="en-US" w:eastAsia="zh-CN"/>
        </w:rPr>
        <w:t>“</w:t>
      </w:r>
      <w:r>
        <w:rPr>
          <w:rFonts w:hint="eastAsia"/>
          <w:lang w:val="en-US" w:eastAsia="en-US"/>
        </w:rPr>
        <w:t>快速止血</w:t>
      </w:r>
      <w:r>
        <w:rPr>
          <w:rFonts w:hint="eastAsia"/>
          <w:lang w:val="en-US" w:eastAsia="zh-CN"/>
        </w:rPr>
        <w:t>”</w:t>
      </w:r>
      <w:bookmarkEnd w:id="83"/>
    </w:p>
    <w:p w14:paraId="3C313776">
      <w:pPr>
        <w:rPr>
          <w:lang w:val="en-US" w:eastAsia="en-US"/>
        </w:rPr>
      </w:pPr>
    </w:p>
    <w:p w14:paraId="5D9C7A50">
      <w:pPr>
        <w:spacing w:line="240" w:lineRule="auto"/>
        <w:ind w:firstLine="0" w:firstLineChars="0"/>
        <w:jc w:val="center"/>
        <w:rPr>
          <w:rFonts w:hint="eastAsia" w:eastAsia="宋体"/>
          <w:lang w:val="en-US" w:eastAsia="zh-CN"/>
        </w:rPr>
      </w:pPr>
      <w:r>
        <w:rPr>
          <w:rFonts w:hint="eastAsia" w:eastAsia="宋体"/>
          <w:lang w:val="en-US" w:eastAsia="zh-CN"/>
        </w:rPr>
        <w:drawing>
          <wp:inline distT="0" distB="0" distL="114300" distR="114300">
            <wp:extent cx="5676265" cy="2820035"/>
            <wp:effectExtent l="0" t="0" r="635" b="18415"/>
            <wp:docPr id="4" name="图片 4" descr="fig4_1_surplus_rate_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4_1_surplus_rate_timeseries"/>
                    <pic:cNvPicPr>
                      <a:picLocks noChangeAspect="1"/>
                    </pic:cNvPicPr>
                  </pic:nvPicPr>
                  <pic:blipFill>
                    <a:blip r:embed="rId22"/>
                    <a:stretch>
                      <a:fillRect/>
                    </a:stretch>
                  </pic:blipFill>
                  <pic:spPr>
                    <a:xfrm>
                      <a:off x="0" y="0"/>
                      <a:ext cx="5676265" cy="2820035"/>
                    </a:xfrm>
                    <a:prstGeom prst="rect">
                      <a:avLst/>
                    </a:prstGeom>
                  </pic:spPr>
                </pic:pic>
              </a:graphicData>
            </a:graphic>
          </wp:inline>
        </w:drawing>
      </w:r>
    </w:p>
    <w:p w14:paraId="79F6440F">
      <w:pPr>
        <w:rPr>
          <w:lang w:val="en-US" w:eastAsia="en-US"/>
        </w:rPr>
      </w:pPr>
    </w:p>
    <w:p w14:paraId="7F82A93C">
      <w:pPr>
        <w:pStyle w:val="4"/>
        <w:bidi w:val="0"/>
        <w:rPr>
          <w:lang w:val="en-US" w:eastAsia="en-US"/>
        </w:rPr>
      </w:pPr>
      <w:bookmarkStart w:id="84" w:name="_Toc15913"/>
      <w:bookmarkStart w:id="85" w:name="_Toc27495"/>
      <w:r>
        <w:rPr>
          <w:rFonts w:hint="eastAsia"/>
          <w:lang w:val="en-US" w:eastAsia="en-US"/>
        </w:rPr>
        <w:t>描述性统计</w:t>
      </w:r>
      <w:bookmarkEnd w:id="84"/>
      <w:bookmarkEnd w:id="85"/>
    </w:p>
    <w:p w14:paraId="171C1C7A">
      <w:pPr>
        <w:pStyle w:val="12"/>
        <w:bidi w:val="0"/>
        <w:rPr>
          <w:lang w:eastAsia="en-US"/>
        </w:rPr>
      </w:pPr>
      <w:r>
        <w:t>表 4.1 H1医院关键指标描述性统计</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8"/>
        <w:gridCol w:w="1320"/>
        <w:gridCol w:w="1529"/>
        <w:gridCol w:w="1164"/>
        <w:gridCol w:w="1575"/>
        <w:gridCol w:w="1848"/>
      </w:tblGrid>
      <w:tr w14:paraId="0CF6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738" w:type="dxa"/>
            <w:vAlign w:val="center"/>
          </w:tcPr>
          <w:p w14:paraId="5C40575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指标</w:t>
            </w:r>
          </w:p>
        </w:tc>
        <w:tc>
          <w:tcPr>
            <w:tcW w:w="1320" w:type="dxa"/>
            <w:vAlign w:val="center"/>
          </w:tcPr>
          <w:p w14:paraId="10DF1A9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干预前均值</w:t>
            </w:r>
          </w:p>
        </w:tc>
        <w:tc>
          <w:tcPr>
            <w:tcW w:w="1529" w:type="dxa"/>
            <w:vAlign w:val="center"/>
          </w:tcPr>
          <w:p w14:paraId="7FD6A8A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干预后均值</w:t>
            </w:r>
          </w:p>
        </w:tc>
        <w:tc>
          <w:tcPr>
            <w:tcW w:w="1164" w:type="dxa"/>
            <w:vAlign w:val="center"/>
          </w:tcPr>
          <w:p w14:paraId="2AAB5EC0">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变化</w:t>
            </w:r>
          </w:p>
        </w:tc>
        <w:tc>
          <w:tcPr>
            <w:tcW w:w="1575" w:type="dxa"/>
            <w:vAlign w:val="center"/>
          </w:tcPr>
          <w:p w14:paraId="3EED005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干预前标准差</w:t>
            </w:r>
          </w:p>
        </w:tc>
        <w:tc>
          <w:tcPr>
            <w:tcW w:w="1848" w:type="dxa"/>
            <w:vAlign w:val="center"/>
          </w:tcPr>
          <w:p w14:paraId="2D6AB4B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干预后标准差</w:t>
            </w:r>
          </w:p>
        </w:tc>
      </w:tr>
      <w:tr w14:paraId="7E87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76D098C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医保盈余率（%）</w:t>
            </w:r>
          </w:p>
        </w:tc>
        <w:tc>
          <w:tcPr>
            <w:tcW w:w="1320" w:type="dxa"/>
            <w:vAlign w:val="center"/>
          </w:tcPr>
          <w:p w14:paraId="30215FA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-11.78</w:t>
            </w:r>
          </w:p>
        </w:tc>
        <w:tc>
          <w:tcPr>
            <w:tcW w:w="1529" w:type="dxa"/>
            <w:vAlign w:val="center"/>
          </w:tcPr>
          <w:p w14:paraId="0772351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-6.59</w:t>
            </w:r>
          </w:p>
        </w:tc>
        <w:tc>
          <w:tcPr>
            <w:tcW w:w="1164" w:type="dxa"/>
            <w:vAlign w:val="center"/>
          </w:tcPr>
          <w:p w14:paraId="04FC411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+5.19</w:t>
            </w:r>
          </w:p>
        </w:tc>
        <w:tc>
          <w:tcPr>
            <w:tcW w:w="1575" w:type="dxa"/>
            <w:vAlign w:val="center"/>
          </w:tcPr>
          <w:p w14:paraId="51E254C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7.82</w:t>
            </w:r>
          </w:p>
        </w:tc>
        <w:tc>
          <w:tcPr>
            <w:tcW w:w="1848" w:type="dxa"/>
            <w:vAlign w:val="center"/>
          </w:tcPr>
          <w:p w14:paraId="58393EF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10.44</w:t>
            </w:r>
          </w:p>
        </w:tc>
      </w:tr>
      <w:tr w14:paraId="76971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332962EA">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CMI值</w:t>
            </w:r>
          </w:p>
        </w:tc>
        <w:tc>
          <w:tcPr>
            <w:tcW w:w="1320" w:type="dxa"/>
            <w:vAlign w:val="center"/>
          </w:tcPr>
          <w:p w14:paraId="5DD507F8">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0.85</w:t>
            </w:r>
          </w:p>
        </w:tc>
        <w:tc>
          <w:tcPr>
            <w:tcW w:w="1529" w:type="dxa"/>
            <w:vAlign w:val="center"/>
          </w:tcPr>
          <w:p w14:paraId="483E986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0.88</w:t>
            </w:r>
          </w:p>
        </w:tc>
        <w:tc>
          <w:tcPr>
            <w:tcW w:w="1164" w:type="dxa"/>
            <w:vAlign w:val="center"/>
          </w:tcPr>
          <w:p w14:paraId="74A0240B">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+0.03</w:t>
            </w:r>
          </w:p>
        </w:tc>
        <w:tc>
          <w:tcPr>
            <w:tcW w:w="1575" w:type="dxa"/>
            <w:vAlign w:val="center"/>
          </w:tcPr>
          <w:p w14:paraId="4E9D550E">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0.04</w:t>
            </w:r>
          </w:p>
        </w:tc>
        <w:tc>
          <w:tcPr>
            <w:tcW w:w="1848" w:type="dxa"/>
            <w:vAlign w:val="center"/>
          </w:tcPr>
          <w:p w14:paraId="479B8221">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0.03</w:t>
            </w:r>
          </w:p>
        </w:tc>
      </w:tr>
      <w:tr w14:paraId="1957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566490E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集采执行率（%）</w:t>
            </w:r>
          </w:p>
        </w:tc>
        <w:tc>
          <w:tcPr>
            <w:tcW w:w="1320" w:type="dxa"/>
            <w:vAlign w:val="center"/>
          </w:tcPr>
          <w:p w14:paraId="01D01E8F">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28.5</w:t>
            </w:r>
          </w:p>
        </w:tc>
        <w:tc>
          <w:tcPr>
            <w:tcW w:w="1529" w:type="dxa"/>
            <w:vAlign w:val="center"/>
          </w:tcPr>
          <w:p w14:paraId="3D6CE402">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42.3</w:t>
            </w:r>
          </w:p>
        </w:tc>
        <w:tc>
          <w:tcPr>
            <w:tcW w:w="1164" w:type="dxa"/>
            <w:vAlign w:val="center"/>
          </w:tcPr>
          <w:p w14:paraId="425EC076">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+13.8</w:t>
            </w:r>
          </w:p>
        </w:tc>
        <w:tc>
          <w:tcPr>
            <w:tcW w:w="1575" w:type="dxa"/>
            <w:vAlign w:val="center"/>
          </w:tcPr>
          <w:p w14:paraId="1B72237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8.6</w:t>
            </w:r>
          </w:p>
        </w:tc>
        <w:tc>
          <w:tcPr>
            <w:tcW w:w="1848" w:type="dxa"/>
            <w:vAlign w:val="center"/>
          </w:tcPr>
          <w:p w14:paraId="774B1CA3">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5.2</w:t>
            </w:r>
          </w:p>
        </w:tc>
      </w:tr>
      <w:tr w14:paraId="01A4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vAlign w:val="center"/>
          </w:tcPr>
          <w:p w14:paraId="65C9708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药耗占比（%）</w:t>
            </w:r>
          </w:p>
        </w:tc>
        <w:tc>
          <w:tcPr>
            <w:tcW w:w="1320" w:type="dxa"/>
            <w:vAlign w:val="center"/>
          </w:tcPr>
          <w:p w14:paraId="7EE443CC">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38.2</w:t>
            </w:r>
          </w:p>
        </w:tc>
        <w:tc>
          <w:tcPr>
            <w:tcW w:w="1529" w:type="dxa"/>
            <w:vAlign w:val="center"/>
          </w:tcPr>
          <w:p w14:paraId="20FEDC47">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32.1</w:t>
            </w:r>
          </w:p>
        </w:tc>
        <w:tc>
          <w:tcPr>
            <w:tcW w:w="1164" w:type="dxa"/>
            <w:vAlign w:val="center"/>
          </w:tcPr>
          <w:p w14:paraId="0D933645">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-6.1</w:t>
            </w:r>
          </w:p>
        </w:tc>
        <w:tc>
          <w:tcPr>
            <w:tcW w:w="1575" w:type="dxa"/>
            <w:vAlign w:val="center"/>
          </w:tcPr>
          <w:p w14:paraId="1E785EFD">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2.8</w:t>
            </w:r>
          </w:p>
        </w:tc>
        <w:tc>
          <w:tcPr>
            <w:tcW w:w="1848" w:type="dxa"/>
            <w:vAlign w:val="center"/>
          </w:tcPr>
          <w:p w14:paraId="1F696A14">
            <w:pPr>
              <w:widowControl/>
              <w:spacing w:after="0" w:line="240" w:lineRule="auto"/>
              <w:ind w:firstLine="0" w:firstLineChars="0"/>
              <w:jc w:val="left"/>
              <w:textAlignment w:val="auto"/>
              <w:rPr>
                <w:rFonts w:hint="eastAsia" w:ascii="Times New Roman" w:hAnsi="Times New Roman" w:eastAsia="宋体" w:cstheme="minorBidi"/>
                <w:b w:val="0"/>
                <w:i w:val="0"/>
                <w:kern w:val="0"/>
                <w:sz w:val="22"/>
                <w:szCs w:val="22"/>
                <w:lang w:val="en-US" w:eastAsia="en-US"/>
              </w:rPr>
            </w:pPr>
            <w:r>
              <w:rPr>
                <w:rFonts w:hint="eastAsia" w:ascii="Times New Roman" w:hAnsi="Times New Roman" w:eastAsia="宋体" w:cstheme="minorBidi"/>
                <w:b w:val="0"/>
                <w:i w:val="0"/>
                <w:kern w:val="0"/>
                <w:sz w:val="22"/>
                <w:szCs w:val="22"/>
                <w:lang w:val="en-US" w:eastAsia="zh-CN"/>
              </w:rPr>
              <w:t>3.5</w:t>
            </w:r>
          </w:p>
        </w:tc>
      </w:tr>
    </w:tbl>
    <w:p w14:paraId="0B7491CB">
      <w:pPr>
        <w:pStyle w:val="19"/>
        <w:bidi w:val="0"/>
        <w:rPr>
          <w:rFonts w:hint="eastAsia"/>
          <w:lang w:eastAsia="zh-CN"/>
        </w:rPr>
      </w:pPr>
      <w:r>
        <w:rPr>
          <w:rFonts w:hint="eastAsia"/>
          <w:lang w:eastAsia="en-US"/>
        </w:rPr>
        <w:t>资料来源：</w:t>
      </w:r>
      <w:r>
        <w:rPr>
          <w:rFonts w:hint="eastAsia"/>
          <w:lang w:eastAsia="zh-CN"/>
        </w:rPr>
        <w:t>A医疗集团</w:t>
      </w:r>
      <w:r>
        <w:rPr>
          <w:rFonts w:hint="eastAsia"/>
          <w:lang w:eastAsia="en-US"/>
        </w:rPr>
        <w:t>运营数据库，作者整理（n=47</w:t>
      </w:r>
      <w:r>
        <w:rPr>
          <w:rFonts w:hint="eastAsia"/>
          <w:lang w:eastAsia="zh-CN"/>
        </w:rPr>
        <w:t>）</w:t>
      </w:r>
    </w:p>
    <w:p w14:paraId="23A3216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从表 4.1可见，H1医院在双重干预后呈现全面改善态势：医保盈余率从干预前的月均-11.78%改善至干预后的-6.59%，提升幅度达5.19个百分点；集采执行率从28.5%大幅提升至42.3%（+13.8个百分点），为集团内最高增幅；药耗占比相应从38.2%下降至32.1%（-6.1个百分点）。值得注意的是，CMI值仅从0.85微升至0.88（+0.03），表明H1的财务改善并非依赖病例难度提升，而是源于管理效率的实质性改善——这与“价值创造—成本控制”三维框架的预判一致。</w:t>
      </w:r>
    </w:p>
    <w:p w14:paraId="3335453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另一个值得关注的特征是干预后标准差的变化。盈余率标准差从7.82增大至10.44，反映了干预后初期（2024年1—6月）的剧烈波动和中后期（2024年7月至2025年11月）的逐步收敛。这种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先波动后收敛</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的模式，恰好对应管理措施从启动到见效的过渡过程。</w:t>
      </w:r>
    </w:p>
    <w:p w14:paraId="7AD787DE">
      <w:pPr>
        <w:pStyle w:val="4"/>
        <w:bidi w:val="0"/>
        <w:rPr>
          <w:lang w:val="en-US" w:eastAsia="en-US"/>
        </w:rPr>
      </w:pPr>
      <w:bookmarkStart w:id="86" w:name="_Toc17828"/>
      <w:bookmarkStart w:id="87" w:name="_Toc16288"/>
      <w:r>
        <w:rPr>
          <w:rFonts w:hint="eastAsia"/>
          <w:lang w:val="en-US" w:eastAsia="en-US"/>
        </w:rPr>
        <w:t>ITS回归结果</w:t>
      </w:r>
      <w:bookmarkEnd w:id="86"/>
      <w:bookmarkEnd w:id="87"/>
    </w:p>
    <w:p w14:paraId="125002FC">
      <w:pPr>
        <w:widowControl/>
        <w:spacing w:before="0" w:after="0" w:line="240" w:lineRule="auto"/>
        <w:ind w:firstLine="0" w:firstLineChars="0"/>
        <w:jc w:val="center"/>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zh-CN"/>
        </w:rPr>
        <w:drawing>
          <wp:inline distT="0" distB="0" distL="114300" distR="114300">
            <wp:extent cx="5686425" cy="3300095"/>
            <wp:effectExtent l="0" t="0" r="9525" b="14605"/>
            <wp:docPr id="2" name="图片 2" descr="fig4_2_H1_ITS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4_2_H1_ITS_fit"/>
                    <pic:cNvPicPr>
                      <a:picLocks noChangeAspect="1"/>
                    </pic:cNvPicPr>
                  </pic:nvPicPr>
                  <pic:blipFill>
                    <a:blip r:embed="rId23"/>
                    <a:stretch>
                      <a:fillRect/>
                    </a:stretch>
                  </pic:blipFill>
                  <pic:spPr>
                    <a:xfrm>
                      <a:off x="0" y="0"/>
                      <a:ext cx="5686425" cy="3300095"/>
                    </a:xfrm>
                    <a:prstGeom prst="rect">
                      <a:avLst/>
                    </a:prstGeom>
                  </pic:spPr>
                </pic:pic>
              </a:graphicData>
            </a:graphic>
          </wp:inline>
        </w:drawing>
      </w:r>
    </w:p>
    <w:p w14:paraId="5C0F217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运用普通最小二乘法（OLS）对H1医院47个月的月度盈余率数据进行ITS回归分析，结果如表 4.2所示：</w:t>
      </w:r>
    </w:p>
    <w:p w14:paraId="07396B42">
      <w:pPr>
        <w:pStyle w:val="12"/>
        <w:bidi w:val="0"/>
        <w:rPr>
          <w:rFonts w:hint="eastAsia" w:eastAsia="宋体" w:cs="Times New Roman"/>
          <w:b/>
          <w:lang w:eastAsia="en-US"/>
        </w:rPr>
      </w:pPr>
      <w:r>
        <w:t>表 4.2 H1医院ITS回归结果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34"/>
        <w:gridCol w:w="914"/>
        <w:gridCol w:w="694"/>
        <w:gridCol w:w="493"/>
        <w:gridCol w:w="654"/>
        <w:gridCol w:w="694"/>
      </w:tblGrid>
      <w:tr w14:paraId="7B52F4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EB284B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01E29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系数估计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82803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标准误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99FB7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t值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85C03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p值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369EA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显著性</w:t>
            </w:r>
          </w:p>
        </w:tc>
      </w:tr>
      <w:tr w14:paraId="55413F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B0D6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β₀（基线水平）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41988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-15.55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17DF4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3.82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28B9C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BADF6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&lt;0.001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4F357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644D3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A52F4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β₁（干预前斜率）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2A854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E0A23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56BE41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2.33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6CDBD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45C7A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01A66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6FAEC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β₂（即时效应）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B9C06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5E96B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E44C3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-3.58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BF84F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7862A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31C5C9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3B730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β₃（斜率变化效应）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095A3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9B177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884C8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0.84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58F2B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0.407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D5C2D4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ns</w:t>
            </w:r>
          </w:p>
        </w:tc>
      </w:tr>
    </w:tbl>
    <w:p w14:paraId="06E46639">
      <w:pPr>
        <w:pStyle w:val="19"/>
        <w:bidi w:val="0"/>
        <w:rPr>
          <w:rFonts w:hint="eastAsia"/>
          <w:lang w:eastAsia="en-US"/>
        </w:rPr>
      </w:pPr>
      <w:r>
        <w:rPr>
          <w:rFonts w:hint="eastAsia"/>
          <w:lang w:eastAsia="en-US"/>
        </w:rPr>
        <w:t>资料来源：作者根据H1医院2022年1月至2025年11月月度数据计算</w:t>
      </w:r>
    </w:p>
    <w:p w14:paraId="6D47A54E">
      <w:pPr>
        <w:pStyle w:val="19"/>
        <w:bidi w:val="0"/>
        <w:rPr>
          <w:rFonts w:hint="eastAsia"/>
          <w:lang w:eastAsia="en-US"/>
        </w:rPr>
      </w:pPr>
      <w:r>
        <w:rPr>
          <w:rFonts w:hint="eastAsia"/>
          <w:lang w:eastAsia="en-US"/>
        </w:rPr>
        <w:t>*注：模型拟合度：R²=0.461</w:t>
      </w:r>
      <w:r>
        <w:rPr>
          <w:rFonts w:hint="eastAsia"/>
          <w:lang w:val="en-US" w:eastAsia="zh-CN"/>
        </w:rPr>
        <w:t>1</w:t>
      </w:r>
      <w:r>
        <w:rPr>
          <w:rFonts w:hint="eastAsia"/>
          <w:lang w:eastAsia="en-US"/>
        </w:rPr>
        <w:t>，调整R²=0.423，F(3,43)=12.28，p&lt;0.001</w:t>
      </w:r>
      <w:r>
        <w:rPr>
          <w:rFonts w:hint="eastAsia"/>
          <w:lang w:eastAsia="zh-CN"/>
        </w:rPr>
        <w:t>，</w:t>
      </w:r>
      <w:r>
        <w:rPr>
          <w:rFonts w:hint="eastAsia"/>
          <w:lang w:eastAsia="en-US"/>
        </w:rPr>
        <w:t>***表示p&lt;0.001，**表示p&lt;0.01，表示p&lt;0.05，ns表示不显著。考虑到医保盈余率受多因素影响（政策变化、季节性波动、医院运营决策等），R²=0.461</w:t>
      </w:r>
      <w:r>
        <w:rPr>
          <w:rFonts w:hint="eastAsia"/>
          <w:lang w:val="en-US" w:eastAsia="zh-CN"/>
        </w:rPr>
        <w:t>1</w:t>
      </w:r>
      <w:r>
        <w:rPr>
          <w:rFonts w:hint="eastAsia"/>
          <w:lang w:eastAsia="en-US"/>
        </w:rPr>
        <w:t>属于社会科学研究中可接受的拟合水平。</w:t>
      </w:r>
    </w:p>
    <w:p w14:paraId="07CD608A">
      <w:pPr>
        <w:pStyle w:val="19"/>
        <w:bidi w:val="0"/>
        <w:rPr>
          <w:rFonts w:hint="eastAsia"/>
          <w:lang w:eastAsia="en-US"/>
        </w:rPr>
      </w:pPr>
    </w:p>
    <w:p w14:paraId="68C437A4">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i w:val="0"/>
          <w:kern w:val="0"/>
          <w:sz w:val="24"/>
          <w:szCs w:val="22"/>
          <w:lang w:eastAsia="en-US"/>
        </w:rPr>
        <w:t>结果解读：积极响应型的</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快速止血</w:t>
      </w:r>
      <w:r>
        <w:rPr>
          <w:rFonts w:hint="eastAsia" w:cs="Times New Roman"/>
          <w:b/>
          <w:i w:val="0"/>
          <w:kern w:val="0"/>
          <w:sz w:val="24"/>
          <w:szCs w:val="22"/>
          <w:lang w:eastAsia="zh-CN"/>
        </w:rPr>
        <w:t>”</w:t>
      </w:r>
    </w:p>
    <w:p w14:paraId="5E431B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（1）干预前趋势（β₁=+0.56，p=0.025）。 在2024年1月之前，H1医院的医保盈余率呈现缓慢改善趋势，月均提升约0.56个百分点。这一正向趋势反映了2022—2023年A集团完成</w:t>
      </w:r>
      <w:r>
        <w:rPr>
          <w:rFonts w:hint="eastAsia" w:cs="Times New Roman"/>
          <w:b w:val="0"/>
          <w:i w:val="0"/>
          <w:kern w:val="0"/>
          <w:sz w:val="24"/>
          <w:szCs w:val="22"/>
          <w:lang w:val="en-US" w:eastAsia="zh-CN"/>
        </w:rPr>
        <w:t>管理转型后</w:t>
      </w:r>
      <w:r>
        <w:rPr>
          <w:rFonts w:hint="eastAsia" w:ascii="Times New Roman" w:hAnsi="Times New Roman" w:eastAsia="宋体" w:cs="Times New Roman"/>
          <w:b w:val="0"/>
          <w:i w:val="0"/>
          <w:kern w:val="0"/>
          <w:sz w:val="24"/>
          <w:szCs w:val="22"/>
          <w:lang w:eastAsia="en-US"/>
        </w:rPr>
        <w:t>管理效率逐步提升的背景。</w:t>
      </w:r>
    </w:p>
    <w:p w14:paraId="4B69293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（2）即时效应（β₂=-11.50</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eastAsia="en-US"/>
        </w:rPr>
        <w:t>，p=0.001）。 2024年1月，H1医院遭受高度显著的即时负向冲击，盈余率骤降11.50个百分点。这一冲击在三家医院中仅次于H2医院（β₂=-18.36），但统计显著性最强。</w:t>
      </w:r>
    </w:p>
    <w:p w14:paraId="22F2C0D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什么H1遭受的冲击如此剧烈？第一，H1采用DRG支付方式，DRG按病种分组的点数单价机制比DIP更为严格。第二，H1所在地区2024年率先推行智能审核系统，拒付率和扣减率显著上升。第三，H1作为三级综合医院，医保审核标准本身高于二级医院。需要特别强调的是，β₂的大小主要由外部政策环境决定，与医院自身管理能力关联度较低。事实上，H1管理能力在三家医院中最强，但β₂反而最为负向——这恰好说明，在外部政策冲击面前，短期内（1—3个月）管理措施尚难产生财务效果。</w:t>
      </w:r>
      <w:r>
        <w:rPr>
          <w:rFonts w:hint="eastAsia" w:cs="Times New Roman"/>
          <w:b w:val="0"/>
          <w:i w:val="0"/>
          <w:kern w:val="0"/>
          <w:sz w:val="24"/>
          <w:szCs w:val="22"/>
          <w:lang w:eastAsia="zh-CN"/>
        </w:rPr>
        <w:t>假设HP</w:t>
      </w:r>
      <w:r>
        <w:rPr>
          <w:rFonts w:hint="eastAsia" w:ascii="Times New Roman" w:hAnsi="Times New Roman" w:eastAsia="宋体" w:cs="Times New Roman"/>
          <w:b w:val="0"/>
          <w:i w:val="0"/>
          <w:kern w:val="0"/>
          <w:sz w:val="24"/>
          <w:szCs w:val="22"/>
          <w:lang w:eastAsia="en-US"/>
        </w:rPr>
        <w:t>1得到支持。</w:t>
      </w:r>
    </w:p>
    <w:p w14:paraId="1ECAD7E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（3）斜率变化效应（β₃=+0.21，p=0.407，不显著）。 这是本章最需要深入解析的发现。H1医院干预后斜率较干预前略有上升（+0.21%/月），但未达到统计显著性水平。</w:t>
      </w:r>
    </w:p>
    <w:p w14:paraId="761C0F3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这并非管理失败，而是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快速止血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成功的体现。 传统ITS文献中，β₃&gt;0且显著被视为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干预有效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的标准证据</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。但本研究发现，这一判断标准在双重干预叠加情境下需要修正。β₃的大小实质上反映的是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改善空间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改善能力</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：当管理措施快速吸收了外部冲击后，干预后斜率回归至接近干预前水平（β₃≈0），统计上表现为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不显著</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，但财务上已实现止损。</w:t>
      </w:r>
    </w:p>
    <w:p w14:paraId="556265FD">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val="0"/>
          <w:i w:val="0"/>
          <w:kern w:val="0"/>
          <w:sz w:val="24"/>
          <w:szCs w:val="22"/>
          <w:lang w:eastAsia="en-US"/>
        </w:rPr>
        <w:t>证据如下：如果将H1的干预后数据分段回归——2024年1—6月斜率约为-0.8%/月（消化冲击阶段），2024年7月至2025年11月斜率约为+0.5%/月（缓慢爬升阶段）。两段平均后，整体干预后斜率接近零，这正是β₃不显著的统计原因。换言之，H1医院通过快速响应，在6个月内基本抵消了外部冲击，使盈余率轨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回归正轨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D03A2F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p>
    <w:p w14:paraId="18C8B100">
      <w:pPr>
        <w:pStyle w:val="4"/>
        <w:bidi w:val="0"/>
        <w:rPr>
          <w:lang w:val="en-US" w:eastAsia="en-US"/>
        </w:rPr>
      </w:pPr>
      <w:bookmarkStart w:id="88" w:name="_Toc24490"/>
      <w:r>
        <w:rPr>
          <w:rFonts w:hint="eastAsia"/>
          <w:lang w:val="en-US" w:eastAsia="en-US"/>
        </w:rPr>
        <w:t xml:space="preserve"> </w:t>
      </w:r>
      <w:bookmarkEnd w:id="88"/>
      <w:bookmarkStart w:id="89" w:name="_Toc20228"/>
      <w:r>
        <w:rPr>
          <w:rFonts w:hint="eastAsia"/>
          <w:lang w:val="en-US" w:eastAsia="zh-CN"/>
        </w:rPr>
        <w:t>“</w:t>
      </w:r>
      <w:r>
        <w:rPr>
          <w:rFonts w:hint="eastAsia"/>
          <w:lang w:val="en-US" w:eastAsia="en-US"/>
        </w:rPr>
        <w:t>快速止血</w:t>
      </w:r>
      <w:r>
        <w:rPr>
          <w:rFonts w:hint="eastAsia"/>
          <w:lang w:val="en-US" w:eastAsia="zh-CN"/>
        </w:rPr>
        <w:t>”</w:t>
      </w:r>
      <w:r>
        <w:rPr>
          <w:rFonts w:hint="eastAsia"/>
          <w:lang w:val="en-US" w:eastAsia="en-US"/>
        </w:rPr>
        <w:t>的管理驱动因素</w:t>
      </w:r>
      <w:bookmarkEnd w:id="89"/>
    </w:p>
    <w:p w14:paraId="3EA84DC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H1医院实现快速止血的核心驱动因素可归纳为三个层面。</w:t>
      </w:r>
    </w:p>
    <w:p w14:paraId="16B41F0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第一，成本控制层面：集采政策的彻底执行。 H1医院的集采执行率从干预前的28.5%提升至42.3%，增幅达13.8个百分点，为集团内最高。集采品种覆盖了骨科耗材、心血管耗材和常用药品三大品类，平均降价幅度约35%。尽管集采品种的供应链</w:t>
      </w:r>
      <w:r>
        <w:rPr>
          <w:rFonts w:hint="eastAsia" w:cs="Times New Roman"/>
          <w:b w:val="0"/>
          <w:i w:val="0"/>
          <w:kern w:val="0"/>
          <w:sz w:val="24"/>
          <w:szCs w:val="22"/>
          <w:lang w:val="en-US" w:eastAsia="zh-CN"/>
        </w:rPr>
        <w:t>集中管理协同收益</w:t>
      </w:r>
      <w:r>
        <w:rPr>
          <w:rFonts w:hint="eastAsia" w:ascii="Times New Roman" w:hAnsi="Times New Roman" w:eastAsia="宋体" w:cs="Times New Roman"/>
          <w:b w:val="0"/>
          <w:i w:val="0"/>
          <w:kern w:val="0"/>
          <w:sz w:val="24"/>
          <w:szCs w:val="22"/>
          <w:lang w:eastAsia="en-US"/>
        </w:rPr>
        <w:t>较低，但其带来的实质性成本下降远超利润率损失——在年收入</w:t>
      </w:r>
      <w:r>
        <w:rPr>
          <w:rFonts w:hint="eastAsia" w:cs="Times New Roman"/>
          <w:b w:val="0"/>
          <w:i w:val="0"/>
          <w:kern w:val="0"/>
          <w:sz w:val="24"/>
          <w:szCs w:val="22"/>
          <w:lang w:eastAsia="zh-CN"/>
        </w:rPr>
        <w:t>5亿—6亿</w:t>
      </w:r>
      <w:r>
        <w:rPr>
          <w:rFonts w:hint="eastAsia" w:ascii="Times New Roman" w:hAnsi="Times New Roman" w:eastAsia="宋体" w:cs="Times New Roman"/>
          <w:b w:val="0"/>
          <w:i w:val="0"/>
          <w:kern w:val="0"/>
          <w:sz w:val="24"/>
          <w:szCs w:val="22"/>
          <w:lang w:eastAsia="en-US"/>
        </w:rPr>
        <w:t>元规模下，集采执行率每提升10个百分点约可节约成本1,200万元。</w:t>
      </w:r>
    </w:p>
    <w:p w14:paraId="1902D6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第二，价值创造层面：临床路径的标准化落地。 H1医院的临床路径执行率达75%，显著高于集团平均水平。标准化诊疗流程有效控制了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诊疗变异</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——即同一病种在不同医生之间的成本差异。82个病种的临床路径覆盖了H1约65%的住院病例，使单病种成本的变异系数从0.35降至0.22。</w:t>
      </w:r>
    </w:p>
    <w:p w14:paraId="11478FA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第三，激励相容层面：DRG编码管理的精细化。 H1医院建立了专职DRG编码团队，病案首页质量在集团内排名第一，编码准确率从76%提升至89%。准确的编码确保了医院获得与其实际医疗服务相匹配的DRG分值，避免了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低码高费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导致的拒付风险。编码准确率每提升1个百分点约增加收入0.3%—0.5%</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w:t>
      </w:r>
    </w:p>
    <w:p w14:paraId="2930316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管理启示：快速响应的价值不在β₃系数，而在止损金额。 H1的案例证明，虽然无法避免即时冲击（β₂=-11.50%），但通过快速行动，在6个月内止血，避免了额外损失的累积。如果H1像H3一样滞后6个月才启动管理措施，那么2024年上半年将多承受额外的盈余率恶化，在年收入</w:t>
      </w:r>
      <w:r>
        <w:rPr>
          <w:rFonts w:hint="eastAsia" w:cs="Times New Roman"/>
          <w:b w:val="0"/>
          <w:i w:val="0"/>
          <w:kern w:val="0"/>
          <w:sz w:val="24"/>
          <w:szCs w:val="22"/>
          <w:lang w:eastAsia="zh-CN"/>
        </w:rPr>
        <w:t>5亿—6亿</w:t>
      </w:r>
      <w:r>
        <w:rPr>
          <w:rFonts w:hint="eastAsia" w:ascii="Times New Roman" w:hAnsi="Times New Roman" w:eastAsia="宋体" w:cs="Times New Roman"/>
          <w:b w:val="0"/>
          <w:i w:val="0"/>
          <w:kern w:val="0"/>
          <w:sz w:val="24"/>
          <w:szCs w:val="22"/>
          <w:lang w:eastAsia="en-US"/>
        </w:rPr>
        <w:t>元规模下，这一滞后代价约为3,000万元。</w:t>
      </w:r>
    </w:p>
    <w:p w14:paraId="2F271BEF">
      <w:pPr>
        <w:pStyle w:val="3"/>
        <w:bidi w:val="0"/>
        <w:rPr>
          <w:lang w:val="en-US" w:eastAsia="en-US"/>
        </w:rPr>
      </w:pPr>
      <w:r>
        <w:rPr>
          <w:rFonts w:hint="eastAsia"/>
          <w:lang w:val="en-US" w:eastAsia="en-US"/>
        </w:rPr>
        <w:t xml:space="preserve"> </w:t>
      </w:r>
      <w:bookmarkStart w:id="90" w:name="_Toc5470"/>
      <w:r>
        <w:rPr>
          <w:rFonts w:hint="eastAsia"/>
          <w:lang w:val="en-US" w:eastAsia="en-US"/>
        </w:rPr>
        <w:t>H3医院ITS分析：滞后响应型的</w:t>
      </w:r>
      <w:r>
        <w:rPr>
          <w:rFonts w:hint="eastAsia"/>
          <w:lang w:val="en-US" w:eastAsia="zh-CN"/>
        </w:rPr>
        <w:t>“</w:t>
      </w:r>
      <w:r>
        <w:rPr>
          <w:rFonts w:hint="eastAsia"/>
          <w:lang w:val="en-US" w:eastAsia="en-US"/>
        </w:rPr>
        <w:t>先抑后扬</w:t>
      </w:r>
      <w:r>
        <w:rPr>
          <w:rFonts w:hint="eastAsia"/>
          <w:lang w:val="en-US" w:eastAsia="zh-CN"/>
        </w:rPr>
        <w:t>”</w:t>
      </w:r>
      <w:bookmarkEnd w:id="90"/>
    </w:p>
    <w:p w14:paraId="465B039E">
      <w:pPr>
        <w:pStyle w:val="4"/>
        <w:bidi w:val="0"/>
        <w:rPr>
          <w:lang w:val="en-US" w:eastAsia="en-US"/>
        </w:rPr>
      </w:pPr>
      <w:bookmarkStart w:id="91" w:name="_Toc32567"/>
      <w:bookmarkStart w:id="92" w:name="_Toc23217"/>
      <w:r>
        <w:rPr>
          <w:rFonts w:hint="eastAsia"/>
          <w:lang w:val="en-US" w:eastAsia="en-US"/>
        </w:rPr>
        <w:t>描述性统计</w:t>
      </w:r>
      <w:bookmarkEnd w:id="91"/>
      <w:bookmarkEnd w:id="92"/>
    </w:p>
    <w:p w14:paraId="0ABAB1E1">
      <w:pPr>
        <w:pStyle w:val="12"/>
        <w:bidi w:val="0"/>
        <w:rPr>
          <w:lang w:eastAsia="en-US"/>
        </w:rPr>
      </w:pPr>
      <w:r>
        <w:t>表 4.3 H3医院关键指标描述性统计</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758"/>
        <w:gridCol w:w="1134"/>
        <w:gridCol w:w="1134"/>
        <w:gridCol w:w="544"/>
        <w:gridCol w:w="1354"/>
        <w:gridCol w:w="1354"/>
      </w:tblGrid>
      <w:tr w14:paraId="08CC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37B23B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3AF73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干预前均值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3522E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干预后均值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C89E5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6DDDF7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干预前标准差</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55A59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干预后标准差</w:t>
            </w:r>
          </w:p>
        </w:tc>
      </w:tr>
      <w:tr w14:paraId="36B46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C6B98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医保盈余率（%）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D1522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-16.71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5AF2A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BD54A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+4.36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53D35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8.94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6B719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12.67</w:t>
            </w:r>
          </w:p>
        </w:tc>
      </w:tr>
      <w:tr w14:paraId="78B91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1FBC8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0EB55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B27FE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E487E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+0.13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07EF3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E0C09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0.06</w:t>
            </w:r>
          </w:p>
        </w:tc>
      </w:tr>
      <w:tr w14:paraId="5F546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0417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集采执行率（%）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CDCC8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56420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E931D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443F4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750F4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2.8</w:t>
            </w:r>
          </w:p>
        </w:tc>
      </w:tr>
      <w:tr w14:paraId="0E6ED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D36C6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药耗占比（%）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4478A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8E05E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46.2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06D7C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D3B02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A9B71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3.6</w:t>
            </w:r>
          </w:p>
        </w:tc>
      </w:tr>
    </w:tbl>
    <w:p w14:paraId="19FAE726">
      <w:pPr>
        <w:pStyle w:val="19"/>
        <w:bidi w:val="0"/>
        <w:rPr>
          <w:rFonts w:hint="eastAsia"/>
          <w:lang w:eastAsia="en-US"/>
        </w:rPr>
      </w:pPr>
      <w:r>
        <w:rPr>
          <w:rFonts w:hint="eastAsia"/>
          <w:lang w:eastAsia="en-US"/>
        </w:rPr>
        <w:t>资料来源：</w:t>
      </w:r>
      <w:r>
        <w:rPr>
          <w:rFonts w:hint="eastAsia"/>
          <w:lang w:eastAsia="zh-CN"/>
        </w:rPr>
        <w:t>A医疗集团</w:t>
      </w:r>
      <w:r>
        <w:rPr>
          <w:rFonts w:hint="eastAsia"/>
          <w:lang w:eastAsia="en-US"/>
        </w:rPr>
        <w:t>运营数据库，作者整理（n=46）</w:t>
      </w:r>
    </w:p>
    <w:p w14:paraId="2544324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3医院的描述性统计呈现一个典型悖论：CMI值从1.18提升至1.31（+0.13），技术能力持续提升；但药耗占比不降反升（+3.4个百分点），集采执行率仅有微弱改善（+3.1个百分点，绝对水平仅为8.1%，远低于H1的42.3%）。这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高技术、低管控</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的组合正是第二章所论述的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的典型表征。</w:t>
      </w:r>
    </w:p>
    <w:p w14:paraId="34AB9B0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然而，盈余率变化（+4.36个百分点）显示出改善迹象，且干预后标准差（12.67）显著大于干预前（8.94），暗示干预后存在先恶化后改善的剧烈波动——这一动态模式将在ITS回归中得到精确刻画。</w:t>
      </w:r>
    </w:p>
    <w:p w14:paraId="534CEAB5">
      <w:pPr>
        <w:pStyle w:val="4"/>
        <w:bidi w:val="0"/>
        <w:rPr>
          <w:rFonts w:hint="eastAsia"/>
          <w:lang w:eastAsia="en-US"/>
        </w:rPr>
      </w:pPr>
      <w:bookmarkStart w:id="93" w:name="_Toc12005"/>
      <w:bookmarkStart w:id="94" w:name="_Toc8130"/>
      <w:r>
        <w:rPr>
          <w:rFonts w:hint="eastAsia"/>
          <w:lang w:val="en-US" w:eastAsia="en-US"/>
        </w:rPr>
        <w:t>ITS回归结果</w:t>
      </w:r>
      <w:bookmarkEnd w:id="93"/>
      <w:bookmarkEnd w:id="94"/>
    </w:p>
    <w:p w14:paraId="74DF2125">
      <w:pPr>
        <w:spacing w:line="240" w:lineRule="auto"/>
        <w:ind w:firstLine="0" w:firstLineChars="0"/>
        <w:jc w:val="center"/>
        <w:rPr>
          <w:rFonts w:hint="eastAsia" w:eastAsia="宋体"/>
          <w:lang w:eastAsia="zh-CN"/>
        </w:rPr>
      </w:pPr>
      <w:r>
        <w:rPr>
          <w:rFonts w:hint="eastAsia" w:eastAsia="宋体"/>
          <w:lang w:eastAsia="zh-CN"/>
        </w:rPr>
        <w:drawing>
          <wp:inline distT="0" distB="0" distL="114300" distR="114300">
            <wp:extent cx="5686425" cy="3300095"/>
            <wp:effectExtent l="0" t="0" r="9525" b="14605"/>
            <wp:docPr id="5" name="图片 5" descr="fig4_3_H3_ITS_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4_3_H3_ITS_fit"/>
                    <pic:cNvPicPr>
                      <a:picLocks noChangeAspect="1"/>
                    </pic:cNvPicPr>
                  </pic:nvPicPr>
                  <pic:blipFill>
                    <a:blip r:embed="rId24"/>
                    <a:stretch>
                      <a:fillRect/>
                    </a:stretch>
                  </pic:blipFill>
                  <pic:spPr>
                    <a:xfrm>
                      <a:off x="0" y="0"/>
                      <a:ext cx="5686425" cy="3300095"/>
                    </a:xfrm>
                    <a:prstGeom prst="rect">
                      <a:avLst/>
                    </a:prstGeom>
                  </pic:spPr>
                </pic:pic>
              </a:graphicData>
            </a:graphic>
          </wp:inline>
        </w:drawing>
      </w:r>
    </w:p>
    <w:p w14:paraId="5C0B0867">
      <w:pPr>
        <w:rPr>
          <w:rFonts w:hint="eastAsia"/>
          <w:lang w:eastAsia="en-US"/>
        </w:rPr>
      </w:pPr>
      <w:r>
        <w:t>运用OLS对H3医院46个月的月度盈余率数据进行ITS回归分析，结果如表 4.4所示。</w:t>
      </w:r>
    </w:p>
    <w:p w14:paraId="01584B7C">
      <w:pPr>
        <w:pStyle w:val="12"/>
        <w:bidi w:val="0"/>
        <w:rPr>
          <w:lang w:eastAsia="en-US"/>
        </w:rPr>
      </w:pPr>
      <w:r>
        <w:t>表 4.4 H3医院ITS回归结果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34"/>
        <w:gridCol w:w="914"/>
        <w:gridCol w:w="694"/>
        <w:gridCol w:w="493"/>
        <w:gridCol w:w="654"/>
        <w:gridCol w:w="694"/>
      </w:tblGrid>
      <w:tr w14:paraId="65D8D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1C79E09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参数</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8B5C6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系数估计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1E900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标准误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6E79D5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t值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617C1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p值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DCC28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显著性</w:t>
            </w:r>
          </w:p>
        </w:tc>
      </w:tr>
      <w:tr w14:paraId="5E08A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95BAF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β₀（基线水平）</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022B4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-24.21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22A2C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2ACA19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-5.31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83EF7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&lt;0.001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E9F7E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5BB42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05F99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β₁（干预前斜率）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7A43D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65292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FEB26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0ECFDA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0.278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CA926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ns</w:t>
            </w:r>
          </w:p>
        </w:tc>
      </w:tr>
      <w:tr w14:paraId="654F4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5FDA34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β₂（即时效应）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B8A92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F0D4B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4.15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68671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08A25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1D1EB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5CDF8F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1A14B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β₃（斜率变化效应）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586F1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+0.69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A35B2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811F41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8E817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0.032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A81CC3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bl>
    <w:p w14:paraId="322FEE2B">
      <w:pPr>
        <w:pStyle w:val="19"/>
        <w:bidi w:val="0"/>
        <w:rPr>
          <w:rFonts w:hint="eastAsia"/>
          <w:lang w:eastAsia="en-US"/>
        </w:rPr>
      </w:pPr>
      <w:r>
        <w:rPr>
          <w:rFonts w:hint="eastAsia"/>
          <w:lang w:eastAsia="en-US"/>
        </w:rPr>
        <w:t>资料来源：作者根据H3医院2022年2月至2025年11月月度数据计算</w:t>
      </w:r>
    </w:p>
    <w:p w14:paraId="419904C6">
      <w:pPr>
        <w:pStyle w:val="19"/>
        <w:bidi w:val="0"/>
        <w:rPr>
          <w:rFonts w:hint="eastAsia" w:ascii="Times New Roman" w:hAnsi="Times New Roman" w:eastAsia="宋体" w:cs="Times New Roman"/>
          <w:b w:val="0"/>
          <w:i w:val="0"/>
          <w:kern w:val="0"/>
          <w:sz w:val="24"/>
          <w:szCs w:val="22"/>
          <w:lang w:eastAsia="en-US"/>
        </w:rPr>
      </w:pPr>
      <w:r>
        <w:rPr>
          <w:rFonts w:hint="eastAsia"/>
          <w:lang w:eastAsia="en-US"/>
        </w:rPr>
        <w:t>注：模型拟合度：R²=0.461</w:t>
      </w:r>
      <w:r>
        <w:rPr>
          <w:rFonts w:hint="eastAsia"/>
          <w:lang w:val="en-US" w:eastAsia="zh-CN"/>
        </w:rPr>
        <w:t>5</w:t>
      </w:r>
      <w:r>
        <w:rPr>
          <w:rFonts w:hint="eastAsia"/>
          <w:lang w:eastAsia="en-US"/>
        </w:rPr>
        <w:t>，调整R²=0.422，F(3,42)=11.96，p&lt;0.001</w:t>
      </w:r>
      <w:r>
        <w:rPr>
          <w:rFonts w:hint="eastAsia"/>
          <w:lang w:eastAsia="zh-CN"/>
        </w:rPr>
        <w:t>。</w:t>
      </w:r>
      <w:r>
        <w:rPr>
          <w:rFonts w:hint="eastAsia"/>
          <w:lang w:eastAsia="en-US"/>
        </w:rPr>
        <w:t>H3样本量为46个月（剔除2022年1月），R²=0.461</w:t>
      </w:r>
      <w:r>
        <w:rPr>
          <w:rFonts w:hint="eastAsia"/>
          <w:lang w:val="en-US" w:eastAsia="zh-CN"/>
        </w:rPr>
        <w:t>5</w:t>
      </w:r>
      <w:r>
        <w:rPr>
          <w:rFonts w:hint="eastAsia"/>
          <w:lang w:eastAsia="en-US"/>
        </w:rPr>
        <w:t>与H1模型</w:t>
      </w:r>
      <w:r>
        <w:rPr>
          <w:rFonts w:hint="eastAsia"/>
          <w:lang w:val="en-US" w:eastAsia="zh-CN"/>
        </w:rPr>
        <w:t>基本</w:t>
      </w:r>
      <w:r>
        <w:rPr>
          <w:rFonts w:hint="eastAsia"/>
          <w:lang w:eastAsia="en-US"/>
        </w:rPr>
        <w:t>一致</w:t>
      </w:r>
      <w:r>
        <w:rPr>
          <w:rFonts w:hint="eastAsia" w:ascii="Times New Roman" w:hAnsi="Times New Roman" w:eastAsia="宋体" w:cs="Times New Roman"/>
          <w:b w:val="0"/>
          <w:i w:val="0"/>
          <w:kern w:val="0"/>
          <w:sz w:val="24"/>
          <w:szCs w:val="22"/>
          <w:lang w:eastAsia="en-US"/>
        </w:rPr>
        <w:t>。</w:t>
      </w:r>
    </w:p>
    <w:p w14:paraId="464658B6">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hint="eastAsia" w:ascii="Times New Roman" w:hAnsi="Times New Roman" w:eastAsia="宋体" w:cs="Times New Roman"/>
          <w:b/>
          <w:bCs/>
          <w:i w:val="0"/>
          <w:kern w:val="0"/>
          <w:sz w:val="24"/>
          <w:szCs w:val="22"/>
          <w:lang w:eastAsia="en-US"/>
        </w:rPr>
        <w:t>结果解读：滞后响应型的</w:t>
      </w:r>
      <w:r>
        <w:rPr>
          <w:rFonts w:hint="eastAsia" w:cs="Times New Roman"/>
          <w:b/>
          <w:bCs/>
          <w:i w:val="0"/>
          <w:kern w:val="0"/>
          <w:sz w:val="24"/>
          <w:szCs w:val="22"/>
          <w:lang w:eastAsia="zh-CN"/>
        </w:rPr>
        <w:t>“</w:t>
      </w:r>
      <w:r>
        <w:rPr>
          <w:rFonts w:hint="eastAsia" w:ascii="Times New Roman" w:hAnsi="Times New Roman" w:eastAsia="宋体" w:cs="Times New Roman"/>
          <w:b/>
          <w:bCs/>
          <w:i w:val="0"/>
          <w:kern w:val="0"/>
          <w:sz w:val="24"/>
          <w:szCs w:val="22"/>
          <w:lang w:eastAsia="en-US"/>
        </w:rPr>
        <w:t>先抑后扬</w:t>
      </w:r>
      <w:r>
        <w:rPr>
          <w:rFonts w:hint="eastAsia" w:cs="Times New Roman"/>
          <w:b/>
          <w:bCs/>
          <w:i w:val="0"/>
          <w:kern w:val="0"/>
          <w:sz w:val="24"/>
          <w:szCs w:val="22"/>
          <w:lang w:eastAsia="zh-CN"/>
        </w:rPr>
        <w:t>”</w:t>
      </w:r>
    </w:p>
    <w:p w14:paraId="50C646D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（1）干预前趋势（β₁=+0.32，p=0.278，不显著）。 H3医院在干预前未呈现显著的时间趋势。盈余率在-24%至-10%之间波动，平均水平约为-16.7%，远低于H1医院的-11.8%。不显著的β₁意味着H3在干预前处于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低位震荡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状态——既未持续恶化，也未自发改善。</w:t>
      </w:r>
    </w:p>
    <w:p w14:paraId="3374CE2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（2）即时效应（β₂=-8.29，p=0.050）。 2024年1月，H3医院盈余率即时下降约8.29个百分点，处于统计显著性的临界水平。这一冲击在三家医院中最为温和。</w:t>
      </w:r>
    </w:p>
    <w:p w14:paraId="32DDB4F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为什么H3遭受的即时冲击相对较小？第一，H3作为专科</w:t>
      </w:r>
      <w:r>
        <w:rPr>
          <w:rFonts w:hint="eastAsia" w:cs="Times New Roman"/>
          <w:b w:val="0"/>
          <w:i w:val="0"/>
          <w:kern w:val="0"/>
          <w:sz w:val="24"/>
          <w:szCs w:val="22"/>
          <w:lang w:val="en-US" w:eastAsia="zh-CN"/>
        </w:rPr>
        <w:t>特色综合</w:t>
      </w:r>
      <w:r>
        <w:rPr>
          <w:rFonts w:hint="eastAsia" w:ascii="Times New Roman" w:hAnsi="Times New Roman" w:eastAsia="宋体" w:cs="Times New Roman"/>
          <w:b w:val="0"/>
          <w:i w:val="0"/>
          <w:kern w:val="0"/>
          <w:sz w:val="24"/>
          <w:szCs w:val="22"/>
          <w:lang w:eastAsia="en-US"/>
        </w:rPr>
        <w:t>医院采用DIP支付方式，DIP的分值确定和结算机制比DRG更为灵活。第二，所在省份对</w:t>
      </w:r>
      <w:r>
        <w:rPr>
          <w:rFonts w:hint="eastAsia" w:cs="Times New Roman"/>
          <w:b w:val="0"/>
          <w:i w:val="0"/>
          <w:kern w:val="0"/>
          <w:sz w:val="24"/>
          <w:szCs w:val="22"/>
          <w:lang w:val="en-US" w:eastAsia="zh-CN"/>
        </w:rPr>
        <w:t>该专科</w:t>
      </w:r>
      <w:r>
        <w:rPr>
          <w:rFonts w:hint="eastAsia" w:ascii="Times New Roman" w:hAnsi="Times New Roman" w:eastAsia="宋体" w:cs="Times New Roman"/>
          <w:b w:val="0"/>
          <w:i w:val="0"/>
          <w:kern w:val="0"/>
          <w:sz w:val="24"/>
          <w:szCs w:val="22"/>
          <w:lang w:eastAsia="en-US"/>
        </w:rPr>
        <w:t>优势病种给予额外政策倾斜，清算时相对宽松。第三，H3起始盈余率已处于-16.7%的低位，进一步下降的空间有限（</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地板效应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）。假设H1得到支持——即时冲击确实因支付方式和政策环境而呈现差异化特征。</w:t>
      </w:r>
    </w:p>
    <w:p w14:paraId="39E783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（3）斜率变化效应（β₃=+0.69，p=0.032，显著）。 H3医院干预后斜率显著上升，月均改善0.69个百分点。β₃=+0.69%/月如何理解？ 本研究认为，这并非H3</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走出CMI陷阱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的证据，而是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管理措施滞后见效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的体现。将H3的干预后时段进行时间轴分解：</w:t>
      </w:r>
    </w:p>
    <w:p w14:paraId="36D2FB1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2024年1—6月为观望期。H3对A集团管理转型要求持观望态度，未采取实质性措施。盈余率从约-15%持续恶化至约-25%，形成了β₂的负向即时效应之后的进一步恶化。</w:t>
      </w:r>
    </w:p>
    <w:p w14:paraId="1D9F8F4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7—9月为启动期。集团下达限期整改要求，H3于2024年7月（滞后6个月）开始启动成本控制专项行动，重点针对高值耗材和药品采购（高值耗材集采降价幅度约25%—60%、平均约35%）。启动期内财务影响尚不明显。</w:t>
      </w:r>
    </w:p>
    <w:p w14:paraId="79F5AE0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2024年10月至2025年11月为见效期。成本控制措施在2—3个月时滞后逐步见效，盈余率从约-25%改善至约-12%，月均改善约0.7%——这与β₃=+0.69%高度一致。</w:t>
      </w:r>
    </w:p>
    <w:p w14:paraId="0431F85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关键洞察：β₃为正且显著在统计上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看起来很好</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但其背后暗含代价。如果H3在2024年1月即启动管理措施（如H1），那么2024年上半年的盈余率恶化（从-15%降至-25%）本可避免。在月均申报金额约1,500万元的规模下，6个月的滞后代价估计约为900万—1,200万元。换言之，β₃越大，不一定代表管理越好，可能代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起点越低、滞后越严重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——改善空间本身就是前期损失的映射。</w:t>
      </w:r>
    </w:p>
    <w:p w14:paraId="71DC019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058CD14E">
      <w:pPr>
        <w:pStyle w:val="4"/>
        <w:bidi w:val="0"/>
        <w:rPr>
          <w:lang w:val="en-US" w:eastAsia="en-US"/>
        </w:rPr>
      </w:pPr>
      <w:bookmarkStart w:id="95" w:name="_Toc14047"/>
      <w:r>
        <w:rPr>
          <w:rFonts w:hint="eastAsia"/>
          <w:lang w:val="en-US" w:eastAsia="zh-CN"/>
        </w:rPr>
        <w:t>“</w:t>
      </w:r>
      <w:r>
        <w:rPr>
          <w:rFonts w:hint="eastAsia"/>
          <w:lang w:val="en-US" w:eastAsia="en-US"/>
        </w:rPr>
        <w:t>CMI陷阱</w:t>
      </w:r>
      <w:r>
        <w:rPr>
          <w:rFonts w:hint="eastAsia"/>
          <w:lang w:val="en-US" w:eastAsia="zh-CN"/>
        </w:rPr>
        <w:t>”</w:t>
      </w:r>
      <w:r>
        <w:rPr>
          <w:rFonts w:hint="eastAsia"/>
          <w:lang w:val="en-US" w:eastAsia="en-US"/>
        </w:rPr>
        <w:t>的实证检验</w:t>
      </w:r>
      <w:bookmarkEnd w:id="95"/>
    </w:p>
    <w:p w14:paraId="777BBCCB">
      <w:pPr>
        <w:rPr>
          <w:lang w:val="en-US" w:eastAsia="en-US"/>
        </w:rPr>
      </w:pPr>
      <w:r>
        <w:rPr>
          <w:rFonts w:hint="eastAsia"/>
          <w:lang w:val="en-US" w:eastAsia="en-US"/>
        </w:rPr>
        <w:t>为进一步验证假设H4（CMI陷阱），本研究以H3医院的月度数据为样本，分析CMI值与医保盈余率之间的非线性关系。回归模型设定如下</w:t>
      </w:r>
    </w:p>
    <w:p w14:paraId="3D0B9AA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回归模型设定</w:t>
      </w:r>
      <w:r>
        <w:rPr>
          <w:rFonts w:hint="eastAsia" w:ascii="Times New Roman" w:hAnsi="Times New Roman" w:eastAsia="宋体" w:cs="Times New Roman"/>
          <w:b w:val="0"/>
          <w:i w:val="0"/>
          <w:kern w:val="0"/>
          <w:sz w:val="24"/>
          <w:szCs w:val="22"/>
          <w:lang w:eastAsia="en-US"/>
        </w:rPr>
        <w:t>：</w:t>
      </w:r>
    </w:p>
    <w:p w14:paraId="7A480E8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m:oMathPara>
        <m:oMath>
          <m:r>
            <m:rPr>
              <m:nor/>
            </m:rPr>
            <w:rPr>
              <w:rFonts w:hint="default" w:ascii="Times New Roman" w:hAnsi="Times New Roman" w:eastAsia="宋体" w:cs="Times New Roman"/>
              <w:i/>
              <w:sz w:val="24"/>
            </w:rPr>
            <m:t>Surplu</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α</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CM</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nor/>
            </m:rPr>
            <w:rPr>
              <w:rFonts w:hint="default" w:ascii="Times New Roman" w:hAnsi="Times New Roman" w:eastAsia="宋体" w:cs="Times New Roman"/>
              <w:i/>
              <w:sz w:val="24"/>
            </w:rPr>
            <m:t>CM</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δ</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μ</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m:oMathPara>
    </w:p>
    <w:p w14:paraId="4F413721">
      <w:pPr>
        <w:widowControl/>
        <w:spacing w:before="0" w:after="0" w:line="400" w:lineRule="exact"/>
        <w:ind w:firstLine="480" w:firstLineChars="0"/>
        <w:jc w:val="both"/>
        <w:textAlignment w:val="auto"/>
        <w:rPr>
          <w:lang w:val="en-US" w:eastAsia="en-US"/>
        </w:rPr>
      </w:pPr>
      <w:r>
        <w:rPr>
          <w:rFonts w:hint="eastAsia" w:ascii="Times New Roman" w:hAnsi="Times New Roman" w:eastAsia="宋体" w:cs="Times New Roman"/>
          <w:b w:val="0"/>
          <w:i w:val="0"/>
          <w:kern w:val="0"/>
          <w:sz w:val="24"/>
          <w:szCs w:val="22"/>
          <w:lang w:eastAsia="en-US"/>
        </w:rPr>
        <w:t>其中</w:t>
      </w:r>
      <m:oMath>
        <m:r>
          <m:rPr>
            <m:nor/>
          </m:rPr>
          <w:rPr>
            <w:rFonts w:hint="default" w:ascii="Times New Roman" w:hAnsi="Times New Roman" w:eastAsia="宋体" w:cs="Times New Roman"/>
            <w:i/>
            <w:sz w:val="24"/>
          </w:rPr>
          <m:t>Surplu</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为医保盈余率，</w:t>
      </w:r>
      <m:oMath>
        <m:r>
          <m:rPr>
            <m:nor/>
          </m:rPr>
          <w:rPr>
            <w:rFonts w:hint="default" w:ascii="Times New Roman" w:hAnsi="Times New Roman" w:eastAsia="宋体" w:cs="Times New Roman"/>
            <w:i/>
            <w:sz w:val="24"/>
          </w:rPr>
          <m:t>CM</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为当月CMI值，</w:t>
      </w:r>
      <m:oMath>
        <m:r>
          <m:rPr>
            <m:nor/>
          </m:rPr>
          <w:rPr>
            <w:rFonts w:hint="default" w:ascii="Times New Roman" w:hAnsi="Times New Roman" w:eastAsia="宋体" w:cs="Times New Roman"/>
            <w:i/>
            <w:sz w:val="24"/>
          </w:rPr>
          <m:t>CM</m:t>
        </m:r>
        <m:sSubSup>
          <m:sSubSupPr>
            <m:ctrlPr>
              <w:rPr>
                <w:rFonts w:hint="default" w:ascii="Cambria Math" w:hAnsi="Cambria Math" w:eastAsia="宋体" w:cs="Times New Roman"/>
                <w:sz w:val="24"/>
              </w:rPr>
            </m:ctrlPr>
          </m:sSub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bSup>
      </m:oMath>
      <w:r>
        <w:rPr>
          <w:rFonts w:hint="eastAsia" w:ascii="Times New Roman" w:hAnsi="Times New Roman" w:eastAsia="宋体" w:cs="Times New Roman"/>
          <w:b w:val="0"/>
          <w:i w:val="0"/>
          <w:kern w:val="0"/>
          <w:sz w:val="24"/>
          <w:szCs w:val="22"/>
          <w:lang w:eastAsia="en-US"/>
        </w:rPr>
        <w:t>为CMI的二次项（捕捉非线性关系），</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为控制变量向量（包括药耗占比、集采执行率等）。</w:t>
      </w:r>
    </w:p>
    <w:p w14:paraId="05C77B5A">
      <w:pPr>
        <w:rPr>
          <w:rFonts w:hint="eastAsia"/>
          <w:lang w:val="en-US" w:eastAsia="en-US"/>
        </w:rPr>
      </w:pPr>
      <w:r>
        <w:rPr>
          <w:rFonts w:hint="eastAsia"/>
          <w:lang w:val="en-US" w:eastAsia="en-US"/>
        </w:rPr>
        <w:t>选择H3医院作为CMI效应的主分析对象基于两方面考虑：其一，H3为DIP支付的专科</w:t>
      </w:r>
      <w:r>
        <w:rPr>
          <w:rFonts w:hint="eastAsia"/>
          <w:lang w:val="en-US" w:eastAsia="zh-CN"/>
        </w:rPr>
        <w:t>特色综合</w:t>
      </w:r>
      <w:r>
        <w:rPr>
          <w:rFonts w:hint="eastAsia"/>
          <w:lang w:val="en-US" w:eastAsia="en-US"/>
        </w:rPr>
        <w:t>医院，CMI值范围（1.12~1.40，均值1.31）显著高于H1（0.77~0.85）和H2（0.86~1.07），变异范围为三院中最大，有利于识别非线性效应；其二，H3的β₃=+0.69*（p=0.032）显示干预后存在显著的趋势改善，为</w:t>
      </w:r>
      <w:r>
        <w:rPr>
          <w:rFonts w:hint="eastAsia"/>
          <w:lang w:val="en-US" w:eastAsia="zh-CN"/>
        </w:rPr>
        <w:t>“</w:t>
      </w:r>
      <w:r>
        <w:rPr>
          <w:rFonts w:hint="eastAsia"/>
          <w:lang w:val="en-US" w:eastAsia="en-US"/>
        </w:rPr>
        <w:t>管理突破CMI陷阱</w:t>
      </w:r>
      <w:r>
        <w:rPr>
          <w:rFonts w:hint="eastAsia"/>
          <w:lang w:val="en-US" w:eastAsia="zh-CN"/>
        </w:rPr>
        <w:t>”</w:t>
      </w:r>
      <w:r>
        <w:rPr>
          <w:rFonts w:hint="eastAsia"/>
          <w:lang w:val="en-US" w:eastAsia="en-US"/>
        </w:rPr>
        <w:t>假说提供了检验基础。</w:t>
      </w:r>
    </w:p>
    <w:p w14:paraId="2D962D6D">
      <w:pPr>
        <w:pStyle w:val="12"/>
        <w:bidi w:val="0"/>
        <w:rPr>
          <w:lang w:eastAsia="en-US"/>
        </w:rPr>
      </w:pPr>
      <w:r>
        <w:t>表 4.5  H3医院CMI与医保盈余率回归结果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147"/>
        <w:gridCol w:w="1804"/>
        <w:gridCol w:w="1973"/>
      </w:tblGrid>
      <w:tr w14:paraId="77000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7AE08EB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变量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8D679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含时间控制模型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164D8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不含时间控制模型</w:t>
            </w:r>
          </w:p>
        </w:tc>
      </w:tr>
      <w:tr w14:paraId="446F1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4627FA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截距α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6F446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556.53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22092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1318.00</w:t>
            </w:r>
          </w:p>
        </w:tc>
      </w:tr>
      <w:tr w14:paraId="6BF5C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3F637D">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γ₁(CMI)</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37072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-919.88 (p=0.193)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4A822CD">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-1980.36 (p=0.008**)</w:t>
            </w:r>
          </w:p>
        </w:tc>
      </w:tr>
      <w:tr w14:paraId="58927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B64FE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γ₂(CMI²)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6E60E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361.81 (p=0.192)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A8F34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782.07 (p=0.008**)</w:t>
            </w:r>
          </w:p>
        </w:tc>
      </w:tr>
      <w:tr w14:paraId="0DE42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71B64C">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δ(Time)</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29451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+0.35 (p=0.001***)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028AA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w:t>
            </w:r>
          </w:p>
        </w:tc>
      </w:tr>
      <w:tr w14:paraId="58501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05A3A2">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R²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8847F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0.377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CC24C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0.183</w:t>
            </w:r>
          </w:p>
        </w:tc>
      </w:tr>
      <w:tr w14:paraId="072DE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7E73B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Adj-R²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44A00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0.333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3181A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0.145</w:t>
            </w:r>
          </w:p>
        </w:tc>
      </w:tr>
      <w:tr w14:paraId="0D613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F38DC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CMI*阈值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B342AC">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E7427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1.27</w:t>
            </w:r>
          </w:p>
        </w:tc>
      </w:tr>
      <w:tr w14:paraId="7ACDF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0B651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n</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D0156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C0667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46</w:t>
            </w:r>
          </w:p>
        </w:tc>
      </w:tr>
    </w:tbl>
    <w:p w14:paraId="23A82590">
      <w:pPr>
        <w:pStyle w:val="19"/>
        <w:bidi w:val="0"/>
        <w:rPr>
          <w:rFonts w:hint="eastAsia"/>
          <w:lang w:val="en-US" w:eastAsia="en-US"/>
        </w:rPr>
      </w:pPr>
      <w:r>
        <w:rPr>
          <w:rFonts w:hint="eastAsia"/>
          <w:lang w:val="en-US" w:eastAsia="en-US"/>
        </w:rPr>
        <w:t>注：*p&lt;0.05, **p&lt;0.01, ***p&lt;0.001。</w:t>
      </w:r>
    </w:p>
    <w:p w14:paraId="7CC651F5">
      <w:pPr>
        <w:rPr>
          <w:rFonts w:hint="eastAsia"/>
          <w:lang w:val="en-US" w:eastAsia="en-US"/>
        </w:rPr>
      </w:pPr>
    </w:p>
    <w:p w14:paraId="26F8EE40">
      <w:pPr>
        <w:rPr>
          <w:rFonts w:hint="eastAsia"/>
          <w:lang w:val="en-US" w:eastAsia="en-US"/>
        </w:rPr>
      </w:pPr>
      <w:r>
        <w:rPr>
          <w:rFonts w:hint="eastAsia"/>
          <w:lang w:val="en-US" w:eastAsia="en-US"/>
        </w:rPr>
        <w:t>关键发现的重新解读：</w:t>
      </w:r>
    </w:p>
    <w:p w14:paraId="4283972B">
      <w:pPr>
        <w:rPr>
          <w:rFonts w:hint="eastAsia"/>
          <w:lang w:val="en-US" w:eastAsia="en-US"/>
        </w:rPr>
      </w:pPr>
      <w:r>
        <w:rPr>
          <w:rFonts w:hint="eastAsia"/>
          <w:lang w:val="en-US" w:eastAsia="en-US"/>
        </w:rPr>
        <w:t>（1）阈值位置校正。两个模型均收敛至CMI*≈1.27，且该值落在H3医院实际CMI观测区间（1.12~1.40）之内。这意味着在观测期内H3医院确实经历了</w:t>
      </w:r>
      <w:r>
        <w:rPr>
          <w:rFonts w:hint="eastAsia"/>
          <w:lang w:val="en-US" w:eastAsia="zh-CN"/>
        </w:rPr>
        <w:t>“</w:t>
      </w:r>
      <w:r>
        <w:rPr>
          <w:rFonts w:hint="eastAsia"/>
          <w:lang w:val="en-US" w:eastAsia="en-US"/>
        </w:rPr>
        <w:t>穿越阈值</w:t>
      </w:r>
      <w:r>
        <w:rPr>
          <w:rFonts w:hint="eastAsia"/>
          <w:lang w:val="en-US" w:eastAsia="zh-CN"/>
        </w:rPr>
        <w:t>”</w:t>
      </w:r>
      <w:r>
        <w:rPr>
          <w:rFonts w:hint="eastAsia"/>
          <w:lang w:val="en-US" w:eastAsia="en-US"/>
        </w:rPr>
        <w:t>的过程。</w:t>
      </w:r>
    </w:p>
    <w:p w14:paraId="12B7CAD6">
      <w:pPr>
        <w:rPr>
          <w:rFonts w:hint="eastAsia"/>
          <w:lang w:val="en-US" w:eastAsia="en-US"/>
        </w:rPr>
      </w:pPr>
      <w:r>
        <w:rPr>
          <w:rFonts w:hint="eastAsia"/>
          <w:lang w:val="en-US" w:eastAsia="en-US"/>
        </w:rPr>
        <w:t>（2）非线性形态为U型而非倒U型。实证数据显示γ₂&gt;0（二次项系数为正），曲线呈U型（先降后升）。这一差异具有重要的管理含义：U型意味着CMI接近阈值（≈1.27）时盈余率最低，偏离阈值（向低或向高）则盈余率改善。对于DIP支付的</w:t>
      </w:r>
      <w:r>
        <w:rPr>
          <w:rFonts w:hint="eastAsia"/>
          <w:lang w:val="en-US" w:eastAsia="zh-CN"/>
        </w:rPr>
        <w:t>专科特色综合</w:t>
      </w:r>
      <w:r>
        <w:rPr>
          <w:rFonts w:hint="eastAsia"/>
          <w:lang w:val="en-US" w:eastAsia="en-US"/>
        </w:rPr>
        <w:t>医院而言，CMI处于1.20~1.30的</w:t>
      </w:r>
      <w:r>
        <w:rPr>
          <w:rFonts w:hint="eastAsia"/>
          <w:lang w:val="en-US" w:eastAsia="zh-CN"/>
        </w:rPr>
        <w:t>“</w:t>
      </w:r>
      <w:r>
        <w:rPr>
          <w:rFonts w:hint="eastAsia"/>
          <w:lang w:val="en-US" w:eastAsia="en-US"/>
        </w:rPr>
        <w:t>中等复杂度</w:t>
      </w:r>
      <w:r>
        <w:rPr>
          <w:rFonts w:hint="eastAsia"/>
          <w:lang w:val="en-US" w:eastAsia="zh-CN"/>
        </w:rPr>
        <w:t>”</w:t>
      </w:r>
      <w:r>
        <w:rPr>
          <w:rFonts w:hint="eastAsia"/>
          <w:lang w:val="en-US" w:eastAsia="en-US"/>
        </w:rPr>
        <w:t>区间恰恰是成本收益最不匹配的</w:t>
      </w:r>
      <w:r>
        <w:rPr>
          <w:rFonts w:hint="eastAsia"/>
          <w:lang w:val="en-US" w:eastAsia="zh-CN"/>
        </w:rPr>
        <w:t>“</w:t>
      </w:r>
      <w:r>
        <w:rPr>
          <w:rFonts w:hint="eastAsia"/>
          <w:lang w:val="en-US" w:eastAsia="en-US"/>
        </w:rPr>
        <w:t>陷阱地带</w:t>
      </w:r>
      <w:r>
        <w:rPr>
          <w:rFonts w:hint="eastAsia"/>
          <w:lang w:val="en-US" w:eastAsia="zh-CN"/>
        </w:rPr>
        <w:t>”</w:t>
      </w:r>
      <w:r>
        <w:rPr>
          <w:rFonts w:hint="eastAsia"/>
          <w:lang w:val="en-US" w:eastAsia="en-US"/>
        </w:rPr>
        <w:t>——病种复杂度已足够推高实际医疗成本，但DIP分值尚未充分反映</w:t>
      </w:r>
      <w:r>
        <w:rPr>
          <w:rFonts w:hint="eastAsia"/>
          <w:lang w:val="en-US" w:eastAsia="zh-CN"/>
        </w:rPr>
        <w:t>专科特色综合医院</w:t>
      </w:r>
      <w:r>
        <w:rPr>
          <w:rFonts w:hint="eastAsia"/>
          <w:lang w:val="en-US" w:eastAsia="en-US"/>
        </w:rPr>
        <w:t>诊疗的技术含量。</w:t>
      </w:r>
    </w:p>
    <w:p w14:paraId="425C2B02">
      <w:pPr>
        <w:rPr>
          <w:rFonts w:hint="eastAsia"/>
          <w:lang w:val="en-US" w:eastAsia="en-US"/>
        </w:rPr>
      </w:pPr>
      <w:r>
        <w:rPr>
          <w:rFonts w:hint="eastAsia"/>
          <w:lang w:val="en-US" w:eastAsia="en-US"/>
        </w:rPr>
        <w:t>（3）时间控制的重要性。含时间控制模型中γ₁和γ₂均未</w:t>
      </w:r>
      <w:r>
        <w:rPr>
          <w:rFonts w:hint="eastAsia"/>
          <w:lang w:val="en-US" w:eastAsia="zh-CN"/>
        </w:rPr>
        <w:t>达到</w:t>
      </w:r>
      <w:r>
        <w:rPr>
          <w:rFonts w:hint="eastAsia"/>
          <w:lang w:val="en-US" w:eastAsia="en-US"/>
        </w:rPr>
        <w:t>显著水平（p=0.193, p=0.192），而不含时间控制时均高度显著（p=0.008）。这表明CMI的非线性效应与时间趋势存在共线性——随着管理改革推进，CMI结构与盈余率同步变动，纯粹的CMI效应难以与管理改善效应完全分离。这一发现恰好印证了第4.4节</w:t>
      </w:r>
      <w:r>
        <w:rPr>
          <w:rFonts w:hint="eastAsia"/>
          <w:lang w:val="en-US" w:eastAsia="zh-CN"/>
        </w:rPr>
        <w:t>“</w:t>
      </w:r>
      <w:r>
        <w:rPr>
          <w:rFonts w:hint="eastAsia"/>
          <w:lang w:val="en-US" w:eastAsia="en-US"/>
        </w:rPr>
        <w:t>CMI陷阱可突破</w:t>
      </w:r>
      <w:r>
        <w:rPr>
          <w:rFonts w:hint="eastAsia"/>
          <w:lang w:val="en-US" w:eastAsia="zh-CN"/>
        </w:rPr>
        <w:t>”</w:t>
      </w:r>
      <w:r>
        <w:rPr>
          <w:rFonts w:hint="eastAsia"/>
          <w:lang w:val="en-US" w:eastAsia="en-US"/>
        </w:rPr>
        <w:t>的论点：CMI对盈余率的影响并非不可改变的结构性宿命，而是可以通过管理干预加以调节的动态关系。</w:t>
      </w:r>
    </w:p>
    <w:p w14:paraId="0FE1FC6F">
      <w:pPr>
        <w:rPr>
          <w:rFonts w:hint="eastAsia"/>
          <w:lang w:val="en-US" w:eastAsia="en-US"/>
        </w:rPr>
      </w:pPr>
      <w:r>
        <w:rPr>
          <w:rFonts w:hint="eastAsia"/>
          <w:lang w:val="en-US" w:eastAsia="en-US"/>
        </w:rPr>
        <w:t>（4）三院对比视角。补充分析显示三院CMI二次回归的阈值分别为H1=0.80、H2=1.03、H3=1.27，呈明显递增趋势。该递增模式与三院支付方式的复杂度差异一致：DRG支付的H1（综合医院）阈值最低，D</w:t>
      </w:r>
      <w:r>
        <w:rPr>
          <w:rFonts w:hint="eastAsia"/>
          <w:lang w:val="en-US" w:eastAsia="zh-CN"/>
        </w:rPr>
        <w:t>RG</w:t>
      </w:r>
      <w:r>
        <w:rPr>
          <w:rFonts w:hint="eastAsia"/>
          <w:lang w:val="en-US" w:eastAsia="en-US"/>
        </w:rPr>
        <w:t>支付的H2（综合医院）居中，DIP支付的H3（</w:t>
      </w:r>
      <w:r>
        <w:rPr>
          <w:rFonts w:hint="eastAsia"/>
          <w:lang w:val="en-US" w:eastAsia="zh-CN"/>
        </w:rPr>
        <w:t>专科特色综合医院</w:t>
      </w:r>
      <w:r>
        <w:rPr>
          <w:rFonts w:hint="eastAsia"/>
          <w:lang w:val="en-US" w:eastAsia="en-US"/>
        </w:rPr>
        <w:t>）阈值最高。这暗示DIP支付体系下的</w:t>
      </w:r>
      <w:r>
        <w:rPr>
          <w:rFonts w:hint="eastAsia"/>
          <w:lang w:val="en-US" w:eastAsia="zh-CN"/>
        </w:rPr>
        <w:t>专科特色综合医院</w:t>
      </w:r>
      <w:r>
        <w:rPr>
          <w:rFonts w:hint="eastAsia"/>
          <w:lang w:val="en-US" w:eastAsia="en-US"/>
        </w:rPr>
        <w:t>需要更高的CMI水平才能跨越盈亏平衡的临界点。</w:t>
      </w:r>
    </w:p>
    <w:p w14:paraId="0115438F">
      <w:pPr>
        <w:rPr>
          <w:rFonts w:hint="eastAsia"/>
          <w:lang w:val="en-US" w:eastAsia="en-US"/>
        </w:rPr>
      </w:pPr>
    </w:p>
    <w:p w14:paraId="1A2EBE36">
      <w:pPr>
        <w:pStyle w:val="4"/>
        <w:bidi w:val="0"/>
        <w:rPr>
          <w:lang w:val="en-US" w:eastAsia="en-US"/>
        </w:rPr>
      </w:pPr>
      <w:bookmarkStart w:id="96" w:name="_Toc3656"/>
      <w:r>
        <w:rPr>
          <w:rFonts w:hint="eastAsia"/>
          <w:lang w:val="en-US" w:eastAsia="zh-CN"/>
        </w:rPr>
        <w:t>“</w:t>
      </w:r>
      <w:r>
        <w:rPr>
          <w:rFonts w:hint="eastAsia"/>
          <w:lang w:val="en-US" w:eastAsia="en-US"/>
        </w:rPr>
        <w:t>CMI陷阱</w:t>
      </w:r>
      <w:r>
        <w:rPr>
          <w:rFonts w:hint="eastAsia"/>
          <w:lang w:val="en-US" w:eastAsia="zh-CN"/>
        </w:rPr>
        <w:t>”</w:t>
      </w:r>
      <w:r>
        <w:rPr>
          <w:rFonts w:hint="eastAsia"/>
          <w:lang w:val="en-US" w:eastAsia="en-US"/>
        </w:rPr>
        <w:t>的数理本质与动态突破</w:t>
      </w:r>
      <w:bookmarkEnd w:id="96"/>
    </w:p>
    <w:p w14:paraId="0974316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在DRG/DIP支付体系下，医院面临一个根本性的财务约束：医保支付金额取决于病种分值（与CMI正相关），而实际医疗成本亦受CMI驱动但边际变化模式不同。本节在4.3</w:t>
      </w:r>
      <w:r>
        <w:rPr>
          <w:rFonts w:hint="eastAsia" w:cs="Times New Roman"/>
          <w:b w:val="0"/>
          <w:i w:val="0"/>
          <w:kern w:val="0"/>
          <w:sz w:val="24"/>
          <w:szCs w:val="22"/>
          <w:lang w:val="en-US" w:eastAsia="zh-CN"/>
        </w:rPr>
        <w:t>.3</w:t>
      </w:r>
      <w:r>
        <w:rPr>
          <w:rFonts w:hint="eastAsia" w:ascii="Times New Roman" w:hAnsi="Times New Roman" w:eastAsia="宋体" w:cs="Times New Roman"/>
          <w:b w:val="0"/>
          <w:i w:val="0"/>
          <w:kern w:val="0"/>
          <w:sz w:val="24"/>
          <w:szCs w:val="22"/>
          <w:lang w:eastAsia="en-US"/>
        </w:rPr>
        <w:t>节实证发现的基础上，构建CMI陷阱的理论模型。</w:t>
      </w:r>
    </w:p>
    <w:p w14:paraId="7EE08B1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设医院在期间</w:t>
      </w:r>
      <m:oMath>
        <m:r>
          <m:rPr/>
          <w:rPr>
            <w:rFonts w:hint="default" w:ascii="Cambria Math" w:hAnsi="Cambria Math"/>
            <w:sz w:val="24"/>
          </w:rPr>
          <m:t>t</m:t>
        </m:r>
      </m:oMath>
      <w:r>
        <w:rPr>
          <w:rFonts w:hint="eastAsia" w:ascii="Times New Roman" w:hAnsi="Times New Roman" w:eastAsia="宋体" w:cs="Times New Roman"/>
          <w:b w:val="0"/>
          <w:i w:val="0"/>
          <w:kern w:val="0"/>
          <w:sz w:val="24"/>
          <w:szCs w:val="22"/>
          <w:lang w:eastAsia="en-US"/>
        </w:rPr>
        <w:t>的医保收入函数为</w:t>
      </w:r>
      <m:oMath>
        <m:r>
          <m:rPr>
            <m:nor/>
          </m:rPr>
          <w:rPr>
            <w:rFonts w:hint="default" w:ascii="Times New Roman" w:hAnsi="Times New Roman" w:eastAsia="宋体" w:cs="Times New Roman"/>
            <w:i/>
            <w:sz w:val="24"/>
          </w:rPr>
          <m:t>R</m:t>
        </m:r>
        <m:r>
          <m:rPr>
            <m:nor/>
            <m:sty m:val="p"/>
          </m:rPr>
          <w:rPr>
            <w:rFonts w:hint="default" w:cs="Times New Roman"/>
            <w:b w:val="0"/>
            <w:i w:val="0"/>
            <w:sz w:val="24"/>
            <w:lang w:eastAsia="zh-CN"/>
          </w:rPr>
          <m:t>（</m:t>
        </m:r>
        <m:r>
          <m:rPr>
            <m:nor/>
          </m:rPr>
          <w:rPr>
            <w:rFonts w:hint="default" w:ascii="Times New Roman" w:hAnsi="Times New Roman" w:eastAsia="宋体" w:cs="Times New Roman"/>
            <w:i/>
            <w:sz w:val="24"/>
          </w:rPr>
          <m:t>CMI</m:t>
        </m:r>
        <m:r>
          <m:rPr/>
          <w:rPr>
            <w:rFonts w:hint="eastAsia" w:cs="Times New Roman"/>
            <w:sz w:val="24"/>
            <w:lang w:eastAsia="zh-CN"/>
          </w:rPr>
          <m:t>）</m:t>
        </m:r>
      </m:oMath>
      <w:r>
        <w:rPr>
          <w:rFonts w:hint="eastAsia" w:ascii="Times New Roman" w:hAnsi="Times New Roman" w:eastAsia="宋体" w:cs="Times New Roman"/>
          <w:b w:val="0"/>
          <w:i w:val="0"/>
          <w:kern w:val="0"/>
          <w:sz w:val="24"/>
          <w:szCs w:val="22"/>
          <w:lang w:eastAsia="en-US"/>
        </w:rPr>
        <w:t>，实际医疗成本函数为</w:t>
      </w:r>
      <m:oMath>
        <m:r>
          <m:rPr>
            <m:nor/>
          </m:rPr>
          <w:rPr>
            <w:rFonts w:hint="default" w:ascii="Times New Roman" w:hAnsi="Times New Roman" w:eastAsia="宋体" w:cs="Times New Roman"/>
            <w:i/>
            <w:sz w:val="24"/>
          </w:rPr>
          <m:t>C</m:t>
        </m:r>
        <m:r>
          <m:rPr>
            <m:nor/>
            <m:sty m:val="p"/>
          </m:rPr>
          <w:rPr>
            <w:rFonts w:hint="default" w:cs="Times New Roman"/>
            <w:b w:val="0"/>
            <w:i w:val="0"/>
            <w:sz w:val="24"/>
            <w:lang w:eastAsia="zh-CN"/>
          </w:rPr>
          <m:t>（</m:t>
        </m:r>
        <m:r>
          <m:rPr>
            <m:nor/>
          </m:rPr>
          <w:rPr>
            <w:rFonts w:hint="default" w:ascii="Times New Roman" w:hAnsi="Times New Roman" w:eastAsia="宋体" w:cs="Times New Roman"/>
            <w:i/>
            <w:sz w:val="24"/>
          </w:rPr>
          <m:t>CMI</m:t>
        </m:r>
        <m:r>
          <m:rPr/>
          <w:rPr>
            <w:rFonts w:hint="eastAsia" w:cs="Times New Roman"/>
            <w:sz w:val="24"/>
            <w:lang w:eastAsia="zh-CN"/>
          </w:rPr>
          <m:t>）</m:t>
        </m:r>
      </m:oMath>
      <w:r>
        <w:rPr>
          <w:rFonts w:hint="eastAsia" w:ascii="Times New Roman" w:hAnsi="Times New Roman" w:eastAsia="宋体" w:cs="Times New Roman"/>
          <w:b w:val="0"/>
          <w:i w:val="0"/>
          <w:kern w:val="0"/>
          <w:sz w:val="24"/>
          <w:szCs w:val="22"/>
          <w:lang w:eastAsia="en-US"/>
        </w:rPr>
        <w:t>，则净盈余为：</w:t>
      </w:r>
    </w:p>
    <w:p w14:paraId="2175213D">
      <w:pPr>
        <w:widowControl/>
        <w:spacing w:before="0" w:after="0" w:line="400" w:lineRule="exact"/>
        <w:ind w:firstLine="480" w:firstLineChars="0"/>
        <w:jc w:val="both"/>
        <w:textAlignment w:val="auto"/>
        <w:rPr>
          <w:rFonts w:hint="default" w:cs="Times New Roman"/>
          <w:i w:val="0"/>
          <w:sz w:val="24"/>
          <w:lang w:val="en-US" w:eastAsia="zh-CN"/>
        </w:rPr>
      </w:pPr>
      <m:oMathPara>
        <m:oMath>
          <m:r>
            <m:rPr>
              <m:nor/>
              <m:sty m:val="p"/>
            </m:rPr>
            <w:rPr>
              <w:rFonts w:hint="default" w:ascii="Times New Roman" w:hAnsi="Times New Roman" w:eastAsia="宋体" w:cs="Times New Roman"/>
              <w:b w:val="0"/>
              <w:i w:val="0"/>
              <w:sz w:val="24"/>
            </w:rPr>
            <m:t>Π(</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sty m:val="p"/>
            </m:rPr>
            <w:rPr>
              <w:rFonts w:hint="default" w:cs="Times New Roman"/>
              <w:b w:val="0"/>
              <w:i w:val="0"/>
              <w:sz w:val="24"/>
              <w:lang w:val="en-US" w:eastAsia="zh-CN"/>
            </w:rPr>
            <m:t xml:space="preserve">  </m:t>
          </m:r>
        </m:oMath>
      </m:oMathPara>
    </w:p>
    <w:p w14:paraId="2032AC02">
      <w:pPr>
        <w:widowControl/>
        <w:spacing w:before="0" w:after="0" w:line="400" w:lineRule="exact"/>
        <w:ind w:firstLine="480" w:firstLineChars="0"/>
        <w:jc w:val="both"/>
        <w:textAlignment w:val="auto"/>
        <w:rPr>
          <w:rFonts w:hint="default" w:hAnsi="Cambria Math" w:eastAsia="宋体" w:cs="Times New Roman"/>
          <w:i w:val="0"/>
          <w:sz w:val="24"/>
        </w:rPr>
      </w:pPr>
      <w:r>
        <w:rPr>
          <w:rFonts w:hint="eastAsia" w:ascii="Times New Roman" w:hAnsi="Times New Roman" w:eastAsia="宋体" w:cs="Times New Roman"/>
          <w:b w:val="0"/>
          <w:i w:val="0"/>
          <w:kern w:val="0"/>
          <w:sz w:val="24"/>
          <w:szCs w:val="22"/>
          <w:lang w:eastAsia="en-US"/>
        </w:rPr>
        <w:t>在DRG/DIP支付规则下，收入函数可近似为线性：</w:t>
      </w:r>
      <m:oMath>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a</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oMath>
      <w:r>
        <w:rPr>
          <w:rFonts w:hint="eastAsia" w:ascii="Times New Roman" w:hAnsi="Times New Roman" w:eastAsia="宋体" w:cs="Times New Roman"/>
          <w:b w:val="0"/>
          <w:i w:val="0"/>
          <w:kern w:val="0"/>
          <w:sz w:val="24"/>
          <w:szCs w:val="22"/>
          <w:lang w:eastAsia="en-US"/>
        </w:rPr>
        <w:t>，其中</w:t>
      </w:r>
      <m:oMath>
        <m:r>
          <m:rPr/>
          <w:rPr>
            <w:rFonts w:hint="default" w:ascii="Cambria Math" w:hAnsi="Cambria Math"/>
            <w:sz w:val="24"/>
          </w:rPr>
          <m:t>b</m:t>
        </m:r>
      </m:oMath>
      <w:r>
        <w:rPr>
          <w:rFonts w:hint="eastAsia" w:ascii="Times New Roman" w:hAnsi="Times New Roman" w:eastAsia="宋体" w:cs="Times New Roman"/>
          <w:b w:val="0"/>
          <w:i w:val="0"/>
          <w:kern w:val="0"/>
          <w:sz w:val="24"/>
          <w:szCs w:val="22"/>
          <w:lang w:eastAsia="en-US"/>
        </w:rPr>
        <w:t>为支付分值的CMI敏感系数。成本函数则呈凸性增长：</w:t>
      </w:r>
      <m:oMath>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oMath>
    </w:p>
    <w:p w14:paraId="566A61D4">
      <w:pPr>
        <w:widowControl/>
        <w:spacing w:before="0" w:after="0" w:line="400" w:lineRule="exact"/>
        <w:ind w:left="0" w:leftChars="0" w:firstLine="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w:t>
      </w:r>
      <m:oMath>
        <m:r>
          <m:rPr>
            <m:nor/>
          </m:rPr>
          <w:rPr>
            <w:rFonts w:hint="default" w:ascii="Times New Roman" w:hAnsi="Times New Roman" w:eastAsia="宋体" w:cs="Times New Roman"/>
            <w:i/>
            <w:sz w:val="24"/>
          </w:rPr>
          <m:t>e</m:t>
        </m:r>
      </m:oMath>
      <w:r>
        <w:rPr>
          <w:rFonts w:hint="eastAsia" w:ascii="Times New Roman" w:hAnsi="Times New Roman" w:eastAsia="宋体" w:cs="Times New Roman"/>
          <w:b w:val="0"/>
          <w:i w:val="0"/>
          <w:kern w:val="0"/>
          <w:sz w:val="24"/>
          <w:szCs w:val="22"/>
          <w:lang w:eastAsia="en-US"/>
        </w:rPr>
        <w:t>&gt;0），反映高复杂度病例的边际成本递增特征。</w:t>
      </w:r>
    </w:p>
    <w:p w14:paraId="3210F60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净盈余对CMI求导：</w:t>
      </w:r>
    </w:p>
    <w:p w14:paraId="06783B2D">
      <w:pPr>
        <w:widowControl/>
        <w:spacing w:before="0" w:after="0" w:line="400" w:lineRule="exact"/>
        <w:ind w:firstLine="480" w:firstLineChars="0"/>
        <w:jc w:val="both"/>
        <w:textAlignment w:val="auto"/>
        <w:rPr>
          <w:rFonts w:hint="default" w:hAnsi="Times New Roman" w:eastAsia="宋体" w:cs="Times New Roman"/>
          <w:i w:val="0"/>
          <w:sz w:val="24"/>
        </w:rPr>
      </w:pPr>
      <m:oMathPara>
        <m:oMath>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∂Π</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e</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 </m:t>
          </m:r>
        </m:oMath>
      </m:oMathPara>
    </w:p>
    <w:p w14:paraId="117A6E91">
      <w:pPr>
        <w:widowControl/>
        <w:spacing w:before="0" w:after="0" w:line="400" w:lineRule="exact"/>
        <w:ind w:firstLine="480" w:firstLineChars="0"/>
        <w:jc w:val="both"/>
        <w:textAlignment w:val="auto"/>
        <w:rPr>
          <w:rFonts w:hint="default" w:hAnsi="Times New Roman" w:eastAsia="宋体" w:cs="Times New Roman"/>
          <w:i w:val="0"/>
          <w:sz w:val="24"/>
        </w:rPr>
      </w:pPr>
    </w:p>
    <w:p w14:paraId="4558779E">
      <w:pPr>
        <w:widowControl/>
        <w:spacing w:before="0" w:after="253" w:afterLines="70"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 xml:space="preserve">令 </w:t>
      </w:r>
      <m:oMath>
        <m:f>
          <m:fPr>
            <m:ctrlPr>
              <w:rPr>
                <w:rFonts w:hint="default" w:ascii="Cambria Math" w:hAnsi="Cambria Math" w:eastAsia="宋体"/>
                <w:i/>
                <w:sz w:val="24"/>
              </w:rPr>
            </m:ctrlPr>
          </m:fPr>
          <m:num>
            <m:r>
              <m:rPr>
                <m:sty m:val="p"/>
              </m:rPr>
              <w:rPr>
                <w:rFonts w:hint="default" w:ascii="Cambria Math" w:hAnsi="Cambria Math" w:eastAsia="宋体"/>
                <w:sz w:val="24"/>
              </w:rPr>
              <m:t>∂Π</m:t>
            </m:r>
            <m:ctrlPr>
              <w:rPr>
                <w:rFonts w:ascii="Cambria Math" w:hAnsi="Cambria Math" w:eastAsia="宋体"/>
                <w:sz w:val="24"/>
              </w:rPr>
            </m:ctrlPr>
          </m:num>
          <m:den>
            <m:r>
              <m:rPr>
                <m:sty m:val="p"/>
              </m:rPr>
              <w:rPr>
                <w:rFonts w:hint="default" w:ascii="Cambria Math" w:hAnsi="Cambria Math" w:eastAsia="宋体"/>
                <w:sz w:val="24"/>
              </w:rPr>
              <m:t>∂</m:t>
            </m:r>
            <m:r>
              <m:rPr/>
              <w:rPr>
                <w:rFonts w:hint="default" w:ascii="Cambria Math" w:hAnsi="Cambria Math" w:eastAsia="宋体"/>
                <w:sz w:val="24"/>
              </w:rPr>
              <m:t>CMI</m:t>
            </m:r>
            <m:ctrlPr>
              <w:rPr>
                <w:rFonts w:ascii="Cambria Math" w:hAnsi="Cambria Math" w:eastAsia="宋体"/>
                <w:sz w:val="24"/>
              </w:rPr>
            </m:ctrlPr>
          </m:den>
        </m:f>
        <m:r>
          <m:rPr>
            <m:sty m:val="p"/>
          </m:rPr>
          <w:rPr>
            <w:rFonts w:hint="default" w:ascii="Cambria Math" w:hAnsi="Cambria Math" w:eastAsia="宋体"/>
            <w:sz w:val="24"/>
          </w:rPr>
          <m:t>=0</m:t>
        </m:r>
      </m:oMath>
      <w:r>
        <w:rPr>
          <w:rFonts w:hint="default" w:ascii="Times New Roman" w:hAnsi="Times New Roman" w:eastAsia="宋体" w:cs="Times New Roman"/>
          <w:i w:val="0"/>
          <w:sz w:val="24"/>
        </w:rPr>
        <w:t xml:space="preserve"> </w:t>
      </w:r>
      <w:r>
        <w:rPr>
          <w:rFonts w:hint="eastAsia" w:ascii="Times New Roman" w:hAnsi="Times New Roman" w:eastAsia="宋体" w:cs="Times New Roman"/>
          <w:b w:val="0"/>
          <w:i w:val="0"/>
          <w:kern w:val="0"/>
          <w:sz w:val="24"/>
          <w:szCs w:val="22"/>
          <w:lang w:eastAsia="en-US"/>
        </w:rPr>
        <w:t>，得到CMI陷阱的临界值：</w:t>
      </w:r>
    </w:p>
    <w:p w14:paraId="57BC4C9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m:oMathPara>
        <m:oMath>
          <m:r>
            <m:rPr>
              <m:nor/>
            </m:rPr>
            <w:rPr>
              <w:rFonts w:hint="default" w:ascii="Times New Roman" w:hAnsi="Times New Roman" w:eastAsia="宋体" w:cs="Times New Roman"/>
              <w:i/>
              <w:sz w:val="24"/>
            </w:rPr>
            <m:t>CM</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rPr>
                <w:rPr>
                  <w:rFonts w:hint="default" w:ascii="Times New Roman" w:hAnsi="Times New Roman" w:eastAsia="宋体" w:cs="Times New Roman"/>
                  <w:i/>
                  <w:sz w:val="24"/>
                </w:rPr>
                <m:t>b</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2</m:t>
              </m:r>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oMath>
      </m:oMathPara>
    </w:p>
    <w:p w14:paraId="5DD1FE7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结合4.</w:t>
      </w:r>
      <w:r>
        <w:rPr>
          <w:rFonts w:hint="eastAsia" w:cs="Times New Roman"/>
          <w:b w:val="0"/>
          <w:i w:val="0"/>
          <w:kern w:val="0"/>
          <w:sz w:val="24"/>
          <w:szCs w:val="22"/>
          <w:lang w:val="en-US" w:eastAsia="zh-CN"/>
        </w:rPr>
        <w:t>3.3</w:t>
      </w:r>
      <w:r>
        <w:rPr>
          <w:rFonts w:hint="eastAsia" w:ascii="Times New Roman" w:hAnsi="Times New Roman" w:eastAsia="宋体" w:cs="Times New Roman"/>
          <w:b w:val="0"/>
          <w:i w:val="0"/>
          <w:kern w:val="0"/>
          <w:sz w:val="24"/>
          <w:szCs w:val="22"/>
          <w:lang w:eastAsia="en-US"/>
        </w:rPr>
        <w:t>节的实证结果加以解释。U型回归结果（γ₂ &gt; 0）意味着盈余率CMI曲线的最低点位于CMI*≈1.27。数理上，这对应于在CMI &lt; 1.27的区间内，成本对CMI的边际敏感度超过收入对CMI的边际敏感度（即</w:t>
      </w:r>
      <m:oMath>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&gt;∂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oMath>
      <w:r>
        <w:rPr>
          <w:rFonts w:hint="eastAsia" w:ascii="Times New Roman" w:hAnsi="Times New Roman" w:eastAsia="宋体" w:cs="Times New Roman"/>
          <w:b w:val="0"/>
          <w:i w:val="0"/>
          <w:kern w:val="0"/>
          <w:sz w:val="24"/>
          <w:szCs w:val="22"/>
          <w:lang w:eastAsia="en-US"/>
        </w:rPr>
        <w:t>），每提升一个单位的CMI反而扩大亏损。当CMI跨过阈值（&gt; 1.27）后，DIP分值的补偿效应开始超越成本递增效应，盈余率随CMI提升而改善。</w:t>
      </w:r>
    </w:p>
    <w:p w14:paraId="2E928B7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将H3医院的实证系数代入模型，可以得到更具象的理解：</w:t>
      </w:r>
    </w:p>
    <w:p w14:paraId="6478B2BD">
      <w:pPr>
        <w:pStyle w:val="12"/>
        <w:bidi w:val="0"/>
        <w:rPr>
          <w:rFonts w:hint="eastAsia" w:ascii="Times New Roman" w:hAnsi="Times New Roman" w:eastAsia="宋体" w:cs="Times New Roman"/>
          <w:b w:val="0"/>
          <w:i w:val="0"/>
          <w:kern w:val="0"/>
          <w:sz w:val="24"/>
          <w:szCs w:val="22"/>
          <w:lang w:eastAsia="en-US"/>
        </w:rPr>
      </w:pPr>
      <w:r>
        <w:t>表 4.6  H3医院CMI实证系数</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1269"/>
        <w:gridCol w:w="1090"/>
        <w:gridCol w:w="4925"/>
      </w:tblGrid>
      <w:tr w14:paraId="1CFB0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6EBAB2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参数</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0BB4F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cs="Times New Roman"/>
                <w:b w:val="0"/>
                <w:i w:val="0"/>
                <w:color w:val="000000"/>
                <w:kern w:val="0"/>
                <w:sz w:val="22"/>
                <w:szCs w:val="22"/>
                <w:lang w:val="en-US" w:eastAsia="zh-CN"/>
              </w:rPr>
              <w:t>数</w:t>
            </w:r>
            <w:r>
              <w:rPr>
                <w:rFonts w:hint="eastAsia" w:ascii="Times New Roman" w:hAnsi="Times New Roman" w:eastAsia="宋体" w:cs="Times New Roman"/>
                <w:b w:val="0"/>
                <w:i w:val="0"/>
                <w:color w:val="000000"/>
                <w:kern w:val="0"/>
                <w:sz w:val="22"/>
                <w:szCs w:val="22"/>
                <w:lang w:val="en-US" w:eastAsia="zh-CN"/>
              </w:rPr>
              <w:t>值</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67F57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含义</w:t>
            </w:r>
          </w:p>
        </w:tc>
      </w:tr>
      <w:tr w14:paraId="2082A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DEA2C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γ₁</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3B094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-919.88</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4B795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CMI的一阶效应（负值，初始增CMI恶化盈余）</w:t>
            </w:r>
          </w:p>
        </w:tc>
      </w:tr>
      <w:tr w14:paraId="02D46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9FB98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γ₂</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92327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+361.81</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1676B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CMI的二阶效应（正值，U型曲线）</w:t>
            </w:r>
          </w:p>
        </w:tc>
      </w:tr>
      <w:tr w14:paraId="02FB8C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03377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08870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1.27</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06628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盈余率最低点对应的CMI值</w:t>
            </w:r>
          </w:p>
        </w:tc>
      </w:tr>
      <w:tr w14:paraId="25B6F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2CD811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H3均值CMI</w:t>
            </w:r>
          </w:p>
        </w:tc>
        <w:tc>
          <w:tcPr>
            <w:tcW w:w="10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D6FE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1.31</w:t>
            </w:r>
          </w:p>
        </w:tc>
        <w:tc>
          <w:tcPr>
            <w:tcW w:w="49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1E7F2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略高于阈值，处于恢复区</w:t>
            </w:r>
          </w:p>
        </w:tc>
      </w:tr>
    </w:tbl>
    <w:p w14:paraId="1F168DA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6536F10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本研究的实证证据表明CMI陷阱具有阶段性特征且可通过管理干预突破。核心证据来自两个层面：</w:t>
      </w:r>
    </w:p>
    <w:p w14:paraId="17C2429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证据一：ITS回归的β₃显著性。H3医院β₃=+0.69*（p=0.032）表明干预后盈余率以每月0.69个百分点的速率改善。若CMI陷阱是不可突破的结构性宿命，则管理干预不应产生显著的趋势改变。β₃的显著正值证明，A集团2024年推行的精细化管理措施（如中医特色病种编码优化、临床路径标准化、DIP分值争议复核机制等）有效改变了CMI-盈余率的映射关系。</w:t>
      </w:r>
    </w:p>
    <w:p w14:paraId="06912CC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证据二：CMI阈值效应的时间依赖性。4.3</w:t>
      </w:r>
      <w:r>
        <w:rPr>
          <w:rFonts w:hint="eastAsia" w:cs="Times New Roman"/>
          <w:b w:val="0"/>
          <w:i w:val="0"/>
          <w:kern w:val="0"/>
          <w:sz w:val="24"/>
          <w:szCs w:val="22"/>
          <w:lang w:val="en-US" w:eastAsia="zh-CN"/>
        </w:rPr>
        <w:t>.3</w:t>
      </w:r>
      <w:r>
        <w:rPr>
          <w:rFonts w:hint="eastAsia" w:ascii="Times New Roman" w:hAnsi="Times New Roman" w:eastAsia="宋体" w:cs="Times New Roman"/>
          <w:b w:val="0"/>
          <w:i w:val="0"/>
          <w:kern w:val="0"/>
          <w:sz w:val="24"/>
          <w:szCs w:val="22"/>
          <w:lang w:eastAsia="en-US"/>
        </w:rPr>
        <w:t>节的分析显示，加入时间控制变量后CMI二次项系数不再显著（p=0.192），说明CMI陷阱的强度随时间推移而减弱。换言之，2024年初的双重干预——外部医保支付收紧迫使医院</w:t>
      </w:r>
      <w:r>
        <w:rPr>
          <w:rFonts w:hint="eastAsia" w:cs="Times New Roman"/>
          <w:b w:val="0"/>
          <w:i w:val="0"/>
          <w:kern w:val="0"/>
          <w:sz w:val="24"/>
          <w:szCs w:val="22"/>
          <w:lang w:eastAsia="zh-CN"/>
        </w:rPr>
        <w:t>重视</w:t>
      </w:r>
      <w:r>
        <w:rPr>
          <w:rFonts w:hint="eastAsia" w:ascii="Times New Roman" w:hAnsi="Times New Roman" w:eastAsia="宋体" w:cs="Times New Roman"/>
          <w:b w:val="0"/>
          <w:i w:val="0"/>
          <w:kern w:val="0"/>
          <w:sz w:val="24"/>
          <w:szCs w:val="22"/>
          <w:lang w:eastAsia="en-US"/>
        </w:rPr>
        <w:t>成本管控</w:t>
      </w:r>
      <w:r>
        <w:rPr>
          <w:rFonts w:hint="eastAsia" w:cs="Times New Roman"/>
          <w:b w:val="0"/>
          <w:i w:val="0"/>
          <w:kern w:val="0"/>
          <w:sz w:val="24"/>
          <w:szCs w:val="22"/>
          <w:lang w:eastAsia="zh-CN"/>
        </w:rPr>
        <w:t>，为</w:t>
      </w:r>
      <w:r>
        <w:rPr>
          <w:rFonts w:hint="eastAsia" w:ascii="Times New Roman" w:hAnsi="Times New Roman" w:eastAsia="宋体" w:cs="Times New Roman"/>
          <w:b w:val="0"/>
          <w:i w:val="0"/>
          <w:kern w:val="0"/>
          <w:sz w:val="24"/>
          <w:szCs w:val="22"/>
          <w:lang w:eastAsia="en-US"/>
        </w:rPr>
        <w:t>内部管理转型提供了具体的应对策略——共同削弱了CMI陷阱的约束力。</w:t>
      </w:r>
    </w:p>
    <w:p w14:paraId="5DD757C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证据三：滚动窗口的结构断裂。</w:t>
      </w:r>
      <w:r>
        <w:rPr>
          <w:rFonts w:hint="eastAsia" w:ascii="Times New Roman" w:hAnsi="Times New Roman" w:eastAsia="宋体" w:cs="Times New Roman"/>
          <w:b w:val="0"/>
          <w:i w:val="0"/>
          <w:kern w:val="0"/>
          <w:sz w:val="24"/>
          <w:szCs w:val="22"/>
          <w:highlight w:val="none"/>
          <w:lang w:eastAsia="en-US"/>
        </w:rPr>
        <w:t>4.</w:t>
      </w:r>
      <w:r>
        <w:rPr>
          <w:rFonts w:hint="eastAsia" w:cs="Times New Roman"/>
          <w:b w:val="0"/>
          <w:i w:val="0"/>
          <w:kern w:val="0"/>
          <w:sz w:val="24"/>
          <w:szCs w:val="22"/>
          <w:highlight w:val="none"/>
          <w:lang w:val="en-US" w:eastAsia="zh-CN"/>
        </w:rPr>
        <w:t>7</w:t>
      </w:r>
      <w:r>
        <w:rPr>
          <w:rFonts w:hint="eastAsia" w:ascii="Times New Roman" w:hAnsi="Times New Roman" w:eastAsia="宋体" w:cs="Times New Roman"/>
          <w:b w:val="0"/>
          <w:i w:val="0"/>
          <w:kern w:val="0"/>
          <w:sz w:val="24"/>
          <w:szCs w:val="22"/>
          <w:lang w:eastAsia="en-US"/>
        </w:rPr>
        <w:t>节滚动窗口分析显示，H3医院在2024年中期之前斜率持续为负（窗口W18~W26），而2025年起显著转正（窗口W29~W34斜率均超+1.9*）。这一从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陷入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突破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的时序模式，为CMI陷阱的阶段性提供了直观的动态证据。</w:t>
      </w:r>
    </w:p>
    <w:p w14:paraId="2F88EDE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综上所述，CMI陷阱并非医保支付体系下的永久性约束，而是医院在支付改革初期因管理能力滞后于支付规则变化而陷入的阶段性困境。</w:t>
      </w:r>
    </w:p>
    <w:p w14:paraId="21A24C3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其突破路径可概括为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三步走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1A4663BC">
      <w:pPr>
        <w:widowControl/>
        <w:numPr>
          <w:ilvl w:val="0"/>
          <w:numId w:val="9"/>
        </w:numPr>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精准识别阈值区间（本研究中约为CMI 1.20~1.30）；</w:t>
      </w:r>
    </w:p>
    <w:p w14:paraId="16FBF7F9">
      <w:pPr>
        <w:widowControl/>
        <w:numPr>
          <w:ilvl w:val="0"/>
          <w:numId w:val="9"/>
        </w:numPr>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优化病种结构使CMI越过阈值（如发展高附加值中医适宜技术）；</w:t>
      </w:r>
    </w:p>
    <w:p w14:paraId="100F57C2">
      <w:pPr>
        <w:widowControl/>
        <w:numPr>
          <w:ilvl w:val="0"/>
          <w:numId w:val="9"/>
        </w:numPr>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建立动态监控机制（如月度CMI-盈余率联动监测），持续巩固突破成果。</w:t>
      </w:r>
    </w:p>
    <w:p w14:paraId="272B5DEA">
      <w:pPr>
        <w:rPr>
          <w:rFonts w:hint="eastAsia"/>
          <w:lang w:val="en-US" w:eastAsia="en-US"/>
        </w:rPr>
      </w:pPr>
    </w:p>
    <w:p w14:paraId="037777B2">
      <w:pPr>
        <w:pStyle w:val="3"/>
        <w:bidi w:val="0"/>
        <w:rPr>
          <w:lang w:val="en-US" w:eastAsia="en-US"/>
        </w:rPr>
      </w:pPr>
      <w:bookmarkStart w:id="97" w:name="_Toc703"/>
      <w:r>
        <w:rPr>
          <w:rFonts w:hint="eastAsia"/>
          <w:lang w:val="en-US" w:eastAsia="en-US"/>
        </w:rPr>
        <w:t>H1与H3对比分析：双重干预视角下的路径分化</w:t>
      </w:r>
      <w:bookmarkEnd w:id="97"/>
    </w:p>
    <w:p w14:paraId="65C8E6D2">
      <w:pPr>
        <w:rPr>
          <w:rFonts w:hint="eastAsia" w:eastAsia="宋体"/>
          <w:lang w:val="en-US" w:eastAsia="zh-CN"/>
        </w:rPr>
        <w:sectPr>
          <w:headerReference r:id="rId14" w:type="default"/>
          <w:footerReference r:id="rId16" w:type="default"/>
          <w:headerReference r:id="rId15" w:type="even"/>
          <w:footerReference r:id="rId17" w:type="even"/>
          <w:type w:val="oddPage"/>
          <w:pgSz w:w="11906" w:h="16838"/>
          <w:pgMar w:top="1701" w:right="1474" w:bottom="1417" w:left="1474" w:header="1134" w:footer="992" w:gutter="0"/>
          <w:pgNumType w:fmt="decimal" w:start="1"/>
          <w:cols w:space="720" w:num="1"/>
          <w:docGrid w:linePitch="360" w:charSpace="0"/>
        </w:sectPr>
      </w:pPr>
    </w:p>
    <w:p w14:paraId="7833F708">
      <w:pPr>
        <w:spacing w:line="240" w:lineRule="auto"/>
        <w:ind w:firstLine="0" w:firstLineChars="0"/>
        <w:jc w:val="center"/>
        <w:rPr>
          <w:rFonts w:hint="eastAsia" w:eastAsia="宋体"/>
          <w:lang w:val="en-US" w:eastAsia="zh-CN"/>
        </w:rPr>
      </w:pPr>
      <w:r>
        <w:rPr>
          <w:rFonts w:hint="eastAsia" w:eastAsia="宋体"/>
          <w:lang w:val="en-US" w:eastAsia="zh-CN"/>
        </w:rPr>
        <w:drawing>
          <wp:inline distT="0" distB="0" distL="114300" distR="114300">
            <wp:extent cx="2952750" cy="2205355"/>
            <wp:effectExtent l="0" t="0" r="0" b="4445"/>
            <wp:docPr id="8" name="图片 8" descr="fig4_4_beta2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ig4_4_beta2_comparison"/>
                    <pic:cNvPicPr>
                      <a:picLocks noChangeAspect="1"/>
                    </pic:cNvPicPr>
                  </pic:nvPicPr>
                  <pic:blipFill>
                    <a:blip r:embed="rId25"/>
                    <a:stretch>
                      <a:fillRect/>
                    </a:stretch>
                  </pic:blipFill>
                  <pic:spPr>
                    <a:xfrm>
                      <a:off x="0" y="0"/>
                      <a:ext cx="2952750" cy="2205355"/>
                    </a:xfrm>
                    <a:prstGeom prst="rect">
                      <a:avLst/>
                    </a:prstGeom>
                  </pic:spPr>
                </pic:pic>
              </a:graphicData>
            </a:graphic>
          </wp:inline>
        </w:drawing>
      </w:r>
      <w:r>
        <w:rPr>
          <w:rFonts w:hint="eastAsia" w:eastAsia="宋体"/>
          <w:lang w:val="en-US" w:eastAsia="zh-CN"/>
        </w:rPr>
        <w:drawing>
          <wp:inline distT="0" distB="0" distL="114300" distR="114300">
            <wp:extent cx="2969895" cy="2216785"/>
            <wp:effectExtent l="0" t="0" r="1905" b="12065"/>
            <wp:docPr id="6" name="图片 6" descr="fig4_5_beta3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4_5_beta3_comparison"/>
                    <pic:cNvPicPr>
                      <a:picLocks noChangeAspect="1"/>
                    </pic:cNvPicPr>
                  </pic:nvPicPr>
                  <pic:blipFill>
                    <a:blip r:embed="rId26"/>
                    <a:stretch>
                      <a:fillRect/>
                    </a:stretch>
                  </pic:blipFill>
                  <pic:spPr>
                    <a:xfrm>
                      <a:off x="0" y="0"/>
                      <a:ext cx="2969895" cy="2216785"/>
                    </a:xfrm>
                    <a:prstGeom prst="rect">
                      <a:avLst/>
                    </a:prstGeom>
                  </pic:spPr>
                </pic:pic>
              </a:graphicData>
            </a:graphic>
          </wp:inline>
        </w:drawing>
      </w:r>
    </w:p>
    <w:p w14:paraId="53854E34">
      <w:pPr>
        <w:pStyle w:val="12"/>
        <w:bidi w:val="0"/>
        <w:rPr>
          <w:rFonts w:hint="eastAsia"/>
          <w:lang w:val="en-US" w:eastAsia="en-US"/>
        </w:rPr>
        <w:sectPr>
          <w:type w:val="continuous"/>
          <w:pgSz w:w="11906" w:h="16838"/>
          <w:pgMar w:top="1701" w:right="1474" w:bottom="1417" w:left="1474" w:header="1134" w:footer="992" w:gutter="0"/>
          <w:pgNumType w:fmt="decimal"/>
          <w:cols w:equalWidth="0" w:num="2">
            <w:col w:w="4266" w:space="425"/>
            <w:col w:w="4266"/>
          </w:cols>
          <w:docGrid w:linePitch="360" w:charSpace="0"/>
        </w:sectPr>
      </w:pPr>
    </w:p>
    <w:p w14:paraId="4810C7E6">
      <w:pPr>
        <w:pStyle w:val="12"/>
        <w:bidi w:val="0"/>
        <w:rPr>
          <w:rFonts w:hint="eastAsia"/>
          <w:lang w:val="en-US" w:eastAsia="en-US"/>
        </w:rPr>
      </w:pPr>
      <w:r>
        <w:t>表 4.7 H1与H3医院ITS核心参数对比</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014"/>
        <w:gridCol w:w="1843"/>
        <w:gridCol w:w="1843"/>
        <w:gridCol w:w="2454"/>
      </w:tblGrid>
      <w:tr w14:paraId="5FB833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B620CE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维度</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19A46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H1（积极响应型）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04F16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H3（滞后响应型）</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B21AD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对比解读</w:t>
            </w:r>
          </w:p>
        </w:tc>
      </w:tr>
      <w:tr w14:paraId="40894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9E757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支付方式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64C97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DRG</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154060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DIP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3CA142">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决定β₂差异的外部因素</w:t>
            </w:r>
          </w:p>
        </w:tc>
      </w:tr>
      <w:tr w14:paraId="36939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6D381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FF253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44263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06560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H3技术难度更高</w:t>
            </w:r>
          </w:p>
        </w:tc>
      </w:tr>
      <w:tr w14:paraId="435E02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9EDDB9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β₁（干预前趋势）</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8023D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+0.56*/月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4493D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+0.32 ns/月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288C6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H1干预前已在改善</w:t>
            </w:r>
          </w:p>
        </w:tc>
      </w:tr>
      <w:tr w14:paraId="3FC43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714CB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β₂（即时效应）</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F76AC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-11.50%***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A6754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-8.29%*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773F1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H1外部冲击更大</w:t>
            </w:r>
          </w:p>
        </w:tc>
      </w:tr>
      <w:tr w14:paraId="242D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98936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β₃（斜率变化）</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21C0A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+0.21 ns/月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65488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+0.69%*/月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C2AAA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H3改善更</w:t>
            </w:r>
            <w:r>
              <w:rPr>
                <w:rFonts w:hint="eastAsia" w:cs="Times New Roman"/>
                <w:b w:val="0"/>
                <w:i w:val="0"/>
                <w:color w:val="000000"/>
                <w:kern w:val="0"/>
                <w:sz w:val="22"/>
                <w:szCs w:val="22"/>
                <w:lang w:val="en-US" w:eastAsia="zh-CN"/>
              </w:rPr>
              <w:t>“</w:t>
            </w:r>
            <w:r>
              <w:rPr>
                <w:rFonts w:hint="eastAsia" w:ascii="Times New Roman" w:hAnsi="Times New Roman" w:eastAsia="宋体" w:cs="Times New Roman"/>
                <w:b w:val="0"/>
                <w:i w:val="0"/>
                <w:color w:val="000000"/>
                <w:kern w:val="0"/>
                <w:sz w:val="22"/>
                <w:szCs w:val="22"/>
                <w:lang w:val="en-US" w:eastAsia="zh-CN"/>
              </w:rPr>
              <w:t>显著</w:t>
            </w:r>
            <w:r>
              <w:rPr>
                <w:rFonts w:hint="eastAsia" w:cs="Times New Roman"/>
                <w:b w:val="0"/>
                <w:i w:val="0"/>
                <w:color w:val="000000"/>
                <w:kern w:val="0"/>
                <w:sz w:val="22"/>
                <w:szCs w:val="22"/>
                <w:lang w:val="en-US" w:eastAsia="zh-CN"/>
              </w:rPr>
              <w:t>”</w:t>
            </w:r>
          </w:p>
        </w:tc>
      </w:tr>
      <w:tr w14:paraId="79BF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FAACCC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管理响应时间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2ECA0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2024年1月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35CE5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2024年7月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23B150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H1快6个月</w:t>
            </w:r>
          </w:p>
        </w:tc>
      </w:tr>
      <w:tr w14:paraId="1A121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60364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措施见效时间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DAA7B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2024年4月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66D8C6">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2024年10月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E016B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H1快6个月</w:t>
            </w:r>
          </w:p>
        </w:tc>
      </w:tr>
      <w:tr w14:paraId="5BBAF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794288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2024年全年损失</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B08DC58">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约5,000万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724A3D">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约8,000万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F17BB8">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H3多损3,000万</w:t>
            </w:r>
          </w:p>
        </w:tc>
      </w:tr>
      <w:tr w14:paraId="4DD2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80E4A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R²</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AB414A">
            <w:pPr>
              <w:widowControl/>
              <w:spacing w:after="0" w:line="240" w:lineRule="auto"/>
              <w:ind w:firstLine="0" w:firstLineChars="0"/>
              <w:jc w:val="left"/>
              <w:textAlignment w:val="auto"/>
              <w:rPr>
                <w:rFonts w:hint="default" w:ascii="Times New Roman" w:hAnsi="Times New Roman" w:eastAsia="宋体" w:cs="Times New Roman"/>
                <w:b w:val="0"/>
                <w:i w:val="0"/>
                <w:color w:val="000000"/>
                <w:kern w:val="0"/>
                <w:sz w:val="22"/>
                <w:szCs w:val="22"/>
                <w:lang w:val="en-US" w:eastAsia="en-US"/>
              </w:rPr>
            </w:pPr>
            <w:r>
              <w:rPr>
                <w:rFonts w:hint="eastAsia" w:ascii="Times New Roman" w:hAnsi="Times New Roman" w:eastAsia="宋体" w:cs="Times New Roman"/>
                <w:b w:val="0"/>
                <w:i w:val="0"/>
                <w:color w:val="000000"/>
                <w:kern w:val="0"/>
                <w:sz w:val="22"/>
                <w:szCs w:val="22"/>
                <w:lang w:val="en-US" w:eastAsia="zh-CN"/>
              </w:rPr>
              <w:t>0.461</w:t>
            </w:r>
            <w:r>
              <w:rPr>
                <w:rFonts w:hint="eastAsia" w:cs="Times New Roman"/>
                <w:b w:val="0"/>
                <w:i w:val="0"/>
                <w:color w:val="000000"/>
                <w:kern w:val="0"/>
                <w:sz w:val="22"/>
                <w:szCs w:val="22"/>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6D20F52">
            <w:pPr>
              <w:widowControl/>
              <w:spacing w:after="0" w:line="240" w:lineRule="auto"/>
              <w:ind w:firstLine="0" w:firstLineChars="0"/>
              <w:jc w:val="left"/>
              <w:textAlignment w:val="auto"/>
              <w:rPr>
                <w:rFonts w:hint="default" w:ascii="Times New Roman" w:hAnsi="Times New Roman" w:eastAsia="宋体" w:cs="Times New Roman"/>
                <w:b w:val="0"/>
                <w:i w:val="0"/>
                <w:color w:val="000000"/>
                <w:kern w:val="0"/>
                <w:sz w:val="22"/>
                <w:szCs w:val="22"/>
                <w:lang w:val="en-US" w:eastAsia="en-US"/>
              </w:rPr>
            </w:pPr>
            <w:r>
              <w:rPr>
                <w:rFonts w:hint="eastAsia" w:ascii="Times New Roman" w:hAnsi="Times New Roman" w:eastAsia="宋体" w:cs="Times New Roman"/>
                <w:b w:val="0"/>
                <w:i w:val="0"/>
                <w:color w:val="000000"/>
                <w:kern w:val="0"/>
                <w:sz w:val="22"/>
                <w:szCs w:val="22"/>
                <w:lang w:val="en-US" w:eastAsia="zh-CN"/>
              </w:rPr>
              <w:t>0.461</w:t>
            </w:r>
            <w:r>
              <w:rPr>
                <w:rFonts w:hint="eastAsia" w:cs="Times New Roman"/>
                <w:b w:val="0"/>
                <w:i w:val="0"/>
                <w:color w:val="000000"/>
                <w:kern w:val="0"/>
                <w:sz w:val="22"/>
                <w:szCs w:val="22"/>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21472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highlight w:val="none"/>
                <w:lang w:val="en-US" w:eastAsia="zh-CN"/>
              </w:rPr>
              <w:t>拟合度相当</w:t>
            </w:r>
          </w:p>
        </w:tc>
      </w:tr>
    </w:tbl>
    <w:p w14:paraId="2EC17AD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表 4.7揭示了双重干预视角下四个关键洞察。</w:t>
      </w:r>
    </w:p>
    <w:p w14:paraId="2204808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洞察一：β₂反映外部冲击，与管理能力无关。 H1管理能力最强但β₂最为负向（-11.50%），H3管理能力较弱但β₂相对温和（-8.29%）。这一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悖论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说明即时冲击主要由支付方式（DRG比DIP严格）、医院级别（三级比二级标准高）和区域政策差异决定，而非医院管理水平。假设H1得到充分验证——外部冲击确实因制度环境而差异化。</w:t>
      </w:r>
    </w:p>
    <w:p w14:paraId="466B8A2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洞察二：β₃反映改善空间，不直接等同于管理能力。 H3的β₃（+0.69%）显著为正且大于H1（+0.21%，不显著），但这并不意味着H3的管理能力优于H1。H3的β₃之所以更大，是因为：其一，滞后6个月启动导致2024年上半年持续恶化，扩大了改善空间；其二，起始盈余率极低（-25%），向上的弹性空间更大。相比之下，H1因快速止血成功，干预后斜率迅速回归正常水平，β₃统计上不显著。假设H3得到验证——响应速度确实导致了β₃的分化。</w:t>
      </w:r>
    </w:p>
    <w:p w14:paraId="000D5FB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洞察三：评价管理效果应看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全年损失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而非β₃系数。 H1虽然β₃不显著，但2024年全年损失约5,000万元；H3虽然β₃显著为正，但因滞后多损失约3,000万元，全年损失约8,000万元。这一对比揭示了一个方法论层面的重要发现：在双重干预叠加情境下，传统以β₃显著性判断干预有效性的标准需要修正。如同急救中的止血——止血成功的患者不会大量流血（β₃≈0），而止血失败的患者会先大量失血再慢慢恢复（β₃&gt;0）。评价管理效果的真正指标是累积损失，而非统计显著性。</w:t>
      </w:r>
    </w:p>
    <w:p w14:paraId="29C686A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洞察四：管理转型的时滞效应呈现3—6个月的规律。 H1于2024年1月启动，2024年4月开始见效（时滞3个月）；H3于2024年7月启动，2024年10月开始见效（时滞3个月）。两家医院的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启动—见效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时滞高度一致，验证了假设H2——管理措施的财务效果确实存在3—6个月的时滞。这为医疗集团制定改革时间表提供了实证依据：第1—3个月为措施落地期，第4—6个月为初步见效期，第7—12个月为效果显现期</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7</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w:t>
      </w:r>
    </w:p>
    <w:p w14:paraId="445F0563">
      <w:pPr>
        <w:pStyle w:val="3"/>
        <w:bidi w:val="0"/>
        <w:rPr>
          <w:lang w:val="en-US" w:eastAsia="en-US"/>
        </w:rPr>
      </w:pPr>
      <w:bookmarkStart w:id="98" w:name="_Toc631"/>
      <w:r>
        <w:rPr>
          <w:rFonts w:hint="eastAsia"/>
          <w:lang w:val="en-US" w:eastAsia="en-US"/>
        </w:rPr>
        <w:t>H2医院辅助分析</w:t>
      </w:r>
      <w:bookmarkEnd w:id="98"/>
    </w:p>
    <w:p w14:paraId="117623E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H2医院作为辅助分析对象，其ITS回归结果见表 4.7。</w:t>
      </w:r>
    </w:p>
    <w:p w14:paraId="040610A3">
      <w:pPr>
        <w:pStyle w:val="12"/>
        <w:bidi w:val="0"/>
        <w:rPr>
          <w:rFonts w:hint="eastAsia"/>
          <w:lang w:val="en-US" w:eastAsia="en-US"/>
        </w:rPr>
      </w:pPr>
      <w:r>
        <w:t>表 4.8 H2医院ITS回归结果</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34"/>
        <w:gridCol w:w="914"/>
        <w:gridCol w:w="694"/>
        <w:gridCol w:w="493"/>
        <w:gridCol w:w="529"/>
        <w:gridCol w:w="694"/>
      </w:tblGrid>
      <w:tr w14:paraId="532EB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B3FABA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参数</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578DD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系数估计</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38AB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标准误</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E0858E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t值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7402EC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p值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CDBC0F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显著性</w:t>
            </w:r>
          </w:p>
        </w:tc>
      </w:tr>
      <w:tr w14:paraId="7211A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9B5F2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β₀（基线水平）</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5595E">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-0.14</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39E82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A6A09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264A4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0.978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AE4E5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ns</w:t>
            </w:r>
          </w:p>
        </w:tc>
      </w:tr>
      <w:tr w14:paraId="76F13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CC0A2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β₁（干预前斜率）</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7BD7A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-0.19</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C0C9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805A3E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D0ED98">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0BE0E1">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ns</w:t>
            </w:r>
          </w:p>
        </w:tc>
      </w:tr>
      <w:tr w14:paraId="02961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A68806">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β₂（即时效应）</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81F2D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-18.36</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2C0B97">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5.89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45DA0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-3.12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17D06A">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0.003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E2D4DA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r>
      <w:tr w14:paraId="06DC8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D48DB0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β₃（斜率变化效应）</w:t>
            </w:r>
          </w:p>
        </w:tc>
        <w:tc>
          <w:tcPr>
            <w:tcW w:w="9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6C89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+1.03</w:t>
            </w:r>
          </w:p>
        </w:tc>
        <w:tc>
          <w:tcPr>
            <w:tcW w:w="69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E5C08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0.44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F5163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2.34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C83B6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199BAB4">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r>
    </w:tbl>
    <w:p w14:paraId="32F39E08">
      <w:pPr>
        <w:pStyle w:val="19"/>
        <w:bidi w:val="0"/>
        <w:rPr>
          <w:rFonts w:hint="eastAsia"/>
          <w:lang w:val="en-US" w:eastAsia="en-US"/>
        </w:rPr>
      </w:pPr>
      <w:r>
        <w:rPr>
          <w:rFonts w:hint="eastAsia"/>
          <w:lang w:val="en-US" w:eastAsia="en-US"/>
        </w:rPr>
        <w:t>模型拟合度：R²=0.322，调整R²=0.275</w:t>
      </w:r>
    </w:p>
    <w:p w14:paraId="0242368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H2医院呈现三个特征。第一，即时冲击最为严重（β₂=-18.36%**，三家最高）。H2是</w:t>
      </w:r>
      <w:r>
        <w:rPr>
          <w:rFonts w:hint="eastAsia" w:cs="Times New Roman"/>
          <w:b w:val="0"/>
          <w:i w:val="0"/>
          <w:kern w:val="0"/>
          <w:sz w:val="24"/>
          <w:szCs w:val="22"/>
          <w:lang w:eastAsia="zh-CN"/>
        </w:rPr>
        <w:t>北部</w:t>
      </w:r>
      <w:r>
        <w:rPr>
          <w:rFonts w:hint="eastAsia" w:ascii="Times New Roman" w:hAnsi="Times New Roman" w:eastAsia="宋体" w:cs="Times New Roman"/>
          <w:b w:val="0"/>
          <w:i w:val="0"/>
          <w:kern w:val="0"/>
          <w:sz w:val="24"/>
          <w:szCs w:val="22"/>
          <w:lang w:eastAsia="en-US"/>
        </w:rPr>
        <w:t>地区三级综合医院，采用DRG支付方式，所在省份2024年清算审核从严力度最大，加之其体量在三家医院中最大（年收入约</w:t>
      </w:r>
      <w:r>
        <w:rPr>
          <w:rFonts w:hint="eastAsia" w:cs="Times New Roman"/>
          <w:b w:val="0"/>
          <w:i w:val="0"/>
          <w:kern w:val="0"/>
          <w:sz w:val="24"/>
          <w:szCs w:val="22"/>
          <w:lang w:val="en-US" w:eastAsia="zh-CN"/>
        </w:rPr>
        <w:t>6</w:t>
      </w:r>
      <w:r>
        <w:rPr>
          <w:rFonts w:hint="eastAsia" w:ascii="Times New Roman" w:hAnsi="Times New Roman" w:eastAsia="宋体" w:cs="Times New Roman"/>
          <w:b w:val="0"/>
          <w:i w:val="0"/>
          <w:kern w:val="0"/>
          <w:sz w:val="24"/>
          <w:szCs w:val="22"/>
          <w:lang w:eastAsia="en-US"/>
        </w:rPr>
        <w:t>亿元），绝对损失规模最高。第二，斜率改善显著（β₃=+1.03%*/月），反映了H2虽遭受最大冲击，但凭借与H1类似的快速响应（2024年1月同步启动），在中后期实现了强劲反弹。第三，模型拟合度较低（R²=0.322），可能与H2的业务体量大、科室构成复杂（涵盖骨科、心外科等高变异科室）导致数据波动性更强有关。</w:t>
      </w:r>
    </w:p>
    <w:p w14:paraId="03B6F6A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H2的结果从两个角度辅助验证了本研究的核心发现。一方面，H2与H1同属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积极响应型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（同时启动），但β₃显著而H1不显著，原因在于H2遭受的即时冲击更大（β₂=-18.36% vs -11.50%），改善空间更充分。另一方面，H2的时滞效应同样验证了3—6个月规律：2024年1月启动，2024年5—6月见效。</w:t>
      </w:r>
    </w:p>
    <w:p w14:paraId="51C35C9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由于H2与H1的管理响应模式高度趋同（均为积极响应型），且H2的数据波动性较大，后续分析将H2作为辅助验证，重点聚焦H1与H3的对比。</w:t>
      </w:r>
    </w:p>
    <w:p w14:paraId="1E088E7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57487B10">
      <w:pPr>
        <w:pStyle w:val="3"/>
        <w:bidi w:val="0"/>
        <w:rPr>
          <w:lang w:val="en-US" w:eastAsia="en-US"/>
        </w:rPr>
      </w:pPr>
      <w:bookmarkStart w:id="99" w:name="_Toc22310"/>
      <w:bookmarkStart w:id="100" w:name="_Toc17517"/>
      <w:r>
        <w:rPr>
          <w:rFonts w:hint="eastAsia"/>
          <w:lang w:val="en-US" w:eastAsia="en-US"/>
        </w:rPr>
        <w:t>灰色关联度分析：供应链协同的</w:t>
      </w:r>
      <w:r>
        <w:rPr>
          <w:rFonts w:hint="eastAsia"/>
          <w:lang w:val="en-US" w:eastAsia="zh-CN"/>
        </w:rPr>
        <w:t>“</w:t>
      </w:r>
      <w:r>
        <w:rPr>
          <w:rFonts w:hint="eastAsia"/>
          <w:lang w:val="en-US" w:eastAsia="en-US"/>
        </w:rPr>
        <w:t>压舱石</w:t>
      </w:r>
      <w:r>
        <w:rPr>
          <w:rFonts w:hint="eastAsia"/>
          <w:lang w:val="en-US" w:eastAsia="zh-CN"/>
        </w:rPr>
        <w:t>”</w:t>
      </w:r>
      <w:r>
        <w:rPr>
          <w:rFonts w:hint="eastAsia"/>
          <w:lang w:val="en-US" w:eastAsia="en-US"/>
        </w:rPr>
        <w:t>效应</w:t>
      </w:r>
      <w:bookmarkEnd w:id="99"/>
      <w:bookmarkEnd w:id="100"/>
    </w:p>
    <w:p w14:paraId="15EABE0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为进一步识别影响医保结算盈余率的关键运营因素，弥补ITS分析侧重时间维度而忽视截面因素的局限，本研究引入灰色关联度分析（Grey Relational Analysis, GRA）方法。GRA适用于小样本、多因素且信息不完全的系统分析</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19</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，与本研究46个月的时间序列数据特征高度契合。</w:t>
      </w:r>
    </w:p>
    <w:p w14:paraId="32175A2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设参考序列（母序列）为医保结算盈余率</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oMath>
      <w:r>
        <w:rPr>
          <w:rFonts w:hint="eastAsia" w:ascii="Times New Roman" w:hAnsi="Times New Roman" w:eastAsia="宋体" w:cs="Times New Roman"/>
          <w:b w:val="0"/>
          <w:i w:val="0"/>
          <w:kern w:val="0"/>
          <w:sz w:val="24"/>
          <w:szCs w:val="22"/>
          <w:lang w:eastAsia="en-US"/>
        </w:rPr>
        <w:t>，比较序列（子序列）为</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=1,2,...,46</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=1,2,...,46</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=1,2,...,46）</m:t>
        </m:r>
      </m:oMath>
      <w:r>
        <w:rPr>
          <w:rFonts w:hint="eastAsia" w:ascii="Times New Roman" w:hAnsi="Times New Roman" w:eastAsia="宋体" w:cs="Times New Roman"/>
          <w:b w:val="0"/>
          <w:i w:val="0"/>
          <w:kern w:val="0"/>
          <w:sz w:val="24"/>
          <w:szCs w:val="22"/>
          <w:lang w:eastAsia="en-US"/>
        </w:rPr>
        <w:t>，首先进行均值化无量纲处理：</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acc>
          <m:accPr>
            <m:chr m:val="̄"/>
            <m:ctrlPr>
              <w:rPr>
                <w:rFonts w:hint="default" w:ascii="Cambria Math" w:hAnsi="Cambria Math" w:eastAsia="宋体" w:cs="Times New Roman"/>
                <w:sz w:val="24"/>
              </w:rPr>
            </m:ctrlPr>
          </m:acc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acc>
      </m:oMath>
      <w:r>
        <w:rPr>
          <w:rFonts w:hint="eastAsia" w:ascii="Times New Roman" w:hAnsi="Times New Roman" w:eastAsia="宋体" w:cs="Times New Roman"/>
          <w:b w:val="0"/>
          <w:i w:val="0"/>
          <w:kern w:val="0"/>
          <w:sz w:val="24"/>
          <w:szCs w:val="22"/>
          <w:lang w:eastAsia="en-US"/>
        </w:rPr>
        <w:t xml:space="preserve">。然后计算灰色关联系数： </w:t>
      </w:r>
    </w:p>
    <w:p w14:paraId="0F567D0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599D947B">
      <w:pPr>
        <w:widowControl/>
        <w:spacing w:before="0" w:after="240" w:afterLines="66"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m:oMathPara>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ξ</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min</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0</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x</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ρ</m:t>
              </m:r>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Δ</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max</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den>
          </m:f>
          <m:r>
            <m:rPr>
              <m:nor/>
              <m:sty m:val="p"/>
            </m:rPr>
            <w:rPr>
              <w:rFonts w:hint="default" w:ascii="Times New Roman" w:hAnsi="Times New Roman" w:eastAsia="宋体" w:cs="Times New Roman"/>
              <w:b w:val="0"/>
              <w:i w:val="0"/>
              <w:sz w:val="24"/>
            </w:rPr>
            <m:t> </m:t>
          </m:r>
        </m:oMath>
      </m:oMathPara>
    </w:p>
    <w:p w14:paraId="5D5C3B78">
      <w:pPr>
        <w:widowControl/>
        <w:spacing w:beforeAutospacing="0" w:after="161" w:afterLines="44"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w:r>
        <w:rPr>
          <w:rFonts w:hint="eastAsia" w:ascii="Times New Roman" w:hAnsi="Times New Roman" w:eastAsia="宋体" w:cs="Times New Roman"/>
          <w:b w:val="0"/>
          <w:i w:val="0"/>
          <w:kern w:val="0"/>
          <w:sz w:val="24"/>
          <w:szCs w:val="22"/>
          <w:lang w:val="en-US" w:eastAsia="zh-CN"/>
        </w:rPr>
        <w:t>​</w:t>
      </w:r>
    </w:p>
    <w:p w14:paraId="4874EFB8">
      <w:pPr>
        <w:widowControl/>
        <w:spacing w:beforeAutospacing="0" w:after="161" w:afterLines="44" w:afterAutospacing="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其中</w:t>
      </w:r>
      <m:oMath>
        <m:r>
          <m:rPr>
            <m:nor/>
          </m:rPr>
          <w:rPr>
            <w:rFonts w:hint="default" w:ascii="Times New Roman" w:hAnsi="Times New Roman" w:eastAsia="宋体" w:cs="Times New Roman"/>
            <w:i/>
            <w:sz w:val="24"/>
          </w:rPr>
          <m:t>ρ</m:t>
        </m:r>
      </m:oMath>
      <w:r>
        <w:rPr>
          <w:rFonts w:hint="eastAsia" w:ascii="Times New Roman" w:hAnsi="Times New Roman" w:eastAsia="宋体" w:cs="Times New Roman"/>
          <w:b w:val="0"/>
          <w:i w:val="0"/>
          <w:kern w:val="0"/>
          <w:sz w:val="24"/>
          <w:szCs w:val="22"/>
          <w:lang w:eastAsia="en-US"/>
        </w:rPr>
        <w:t>=0.5为分辨系数。关联度</w:t>
      </w:r>
      <w:r>
        <w:rPr>
          <w:rFonts w:hint="eastAsia" w:cs="Times New Roman"/>
          <w:b w:val="0"/>
          <w:i w:val="0"/>
          <w:kern w:val="0"/>
          <w:sz w:val="24"/>
          <w:szCs w:val="22"/>
          <w:lang w:val="en-US" w:eastAsia="zh-CN"/>
        </w:rPr>
        <w:t xml:space="preserve">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γ</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den>
        </m:f>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k</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ξ</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r>
          <m:rPr>
            <m:nor/>
            <m:sty m:val="p"/>
          </m:rPr>
          <w:rPr>
            <w:rFonts w:hint="default" w:ascii="Cambria Math" w:hAnsi="Cambria Math" w:cs="Times New Roman"/>
            <w:b w:val="0"/>
            <w:i w:val="0"/>
            <w:sz w:val="24"/>
            <w:lang w:eastAsia="zh-CN"/>
          </w:rPr>
          <m:t>（</m:t>
        </m:r>
        <m:r>
          <m:rPr>
            <m:nor/>
          </m:rPr>
          <w:rPr>
            <w:rFonts w:hint="default" w:ascii="Times New Roman" w:hAnsi="Times New Roman" w:eastAsia="宋体" w:cs="Times New Roman"/>
            <w:i/>
            <w:sz w:val="24"/>
          </w:rPr>
          <m:t>k</m:t>
        </m:r>
        <m:r>
          <m:rPr/>
          <w:rPr>
            <w:rFonts w:hint="eastAsia" w:cs="Times New Roman"/>
            <w:sz w:val="24"/>
            <w:lang w:eastAsia="zh-CN"/>
          </w:rPr>
          <m:t>）</m:t>
        </m:r>
      </m:oMath>
      <w:r>
        <w:rPr>
          <w:rFonts w:hint="eastAsia" w:cs="Times New Roman"/>
          <w:i w:val="0"/>
          <w:sz w:val="24"/>
          <w:lang w:eastAsia="zh-CN"/>
        </w:rPr>
        <w:t>。</w:t>
      </w:r>
    </w:p>
    <w:p w14:paraId="1518A281">
      <w:pPr>
        <w:widowControl/>
        <w:spacing w:beforeAutospacing="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基于锁定版数据对三家医院分别计算灰色关联度，结果如表 4.9所示。</w:t>
      </w:r>
    </w:p>
    <w:p w14:paraId="2892BDD7">
      <w:pPr>
        <w:pStyle w:val="12"/>
        <w:bidi w:val="0"/>
        <w:rPr>
          <w:rFonts w:hint="eastAsia"/>
          <w:lang w:val="en-US" w:eastAsia="en-US"/>
        </w:rPr>
      </w:pPr>
      <w:r>
        <w:t>表 4.9 三家医院盈余率影响因素灰色关联度排序</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474"/>
        <w:gridCol w:w="1794"/>
        <w:gridCol w:w="529"/>
        <w:gridCol w:w="1794"/>
        <w:gridCol w:w="529"/>
        <w:gridCol w:w="2063"/>
        <w:gridCol w:w="529"/>
      </w:tblGrid>
      <w:tr w14:paraId="49ECC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22A8EA9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排序</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98A20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H1（中部综合）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EBC82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0FD9C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H2（</w:t>
            </w:r>
            <w:r>
              <w:rPr>
                <w:rFonts w:hint="eastAsia" w:cs="Times New Roman"/>
                <w:b w:val="0"/>
                <w:i w:val="0"/>
                <w:color w:val="000000"/>
                <w:kern w:val="0"/>
                <w:sz w:val="22"/>
                <w:szCs w:val="22"/>
                <w:lang w:val="en-US" w:eastAsia="zh-CN"/>
              </w:rPr>
              <w:t>北部</w:t>
            </w:r>
            <w:r>
              <w:rPr>
                <w:rFonts w:hint="eastAsia" w:ascii="Times New Roman" w:hAnsi="Times New Roman" w:eastAsia="宋体" w:cs="Times New Roman"/>
                <w:b w:val="0"/>
                <w:i w:val="0"/>
                <w:color w:val="000000"/>
                <w:kern w:val="0"/>
                <w:sz w:val="22"/>
                <w:szCs w:val="22"/>
                <w:lang w:val="en-US" w:eastAsia="zh-CN"/>
              </w:rPr>
              <w:t>综合）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8643B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9EDD45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H3（东部</w:t>
            </w:r>
            <w:r>
              <w:rPr>
                <w:rFonts w:hint="eastAsia" w:cs="Times New Roman"/>
                <w:b w:val="0"/>
                <w:i w:val="0"/>
                <w:color w:val="000000"/>
                <w:kern w:val="0"/>
                <w:sz w:val="22"/>
                <w:szCs w:val="22"/>
                <w:lang w:val="en-US" w:eastAsia="zh-CN"/>
              </w:rPr>
              <w:t>专科特色</w:t>
            </w: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F5904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γ值</w:t>
            </w:r>
          </w:p>
        </w:tc>
      </w:tr>
      <w:tr w14:paraId="31C2C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A7E92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AAE69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盈余额（绝对值）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5E82EB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0.807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E84FA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拨付金额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5982961">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0.754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FA6E8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盈余额（绝对值）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2791EE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0.866</w:t>
            </w:r>
          </w:p>
        </w:tc>
      </w:tr>
      <w:tr w14:paraId="62C8B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4D8F8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EC90D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拨付金额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1933F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0.670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D1AF24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住院收入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0E6B8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0.751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953D3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总收入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4FD612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0.736</w:t>
            </w:r>
          </w:p>
        </w:tc>
      </w:tr>
      <w:tr w14:paraId="4197E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9251F7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52EF9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门诊人次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466608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0.669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4991A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总收入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7A67E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0AE31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门诊人次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BE93E2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0.729</w:t>
            </w:r>
          </w:p>
        </w:tc>
      </w:tr>
      <w:tr w14:paraId="4EDDF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3BA1FA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000A8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1ECF0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0.658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090B8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出院人次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F43C6E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0.746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915FC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出院人次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22AE26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0.726</w:t>
            </w:r>
          </w:p>
        </w:tc>
      </w:tr>
      <w:tr w14:paraId="2D8C2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F9730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CC3B4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总收入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181CA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0.656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EC542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申报金额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2E796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AFF663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C3E25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0.724</w:t>
            </w:r>
          </w:p>
        </w:tc>
      </w:tr>
      <w:tr w14:paraId="4C326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BB95F3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F41A6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申报金额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74DBE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0.651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72C813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门诊人次</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26FBD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26776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申报金额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0CC46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0.721</w:t>
            </w:r>
          </w:p>
        </w:tc>
      </w:tr>
      <w:tr w14:paraId="513A4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913B6C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877454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住院收入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7980EC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0.646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FCCF29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CMI值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D0EF9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6B03B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住院收入</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80FEC7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0.703</w:t>
            </w:r>
          </w:p>
        </w:tc>
      </w:tr>
      <w:tr w14:paraId="05D66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5BE5E7">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CE83F2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65898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8D4E58">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盈余额（绝对值）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38BDC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0.731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6FC47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拨付金额</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CE947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0.692</w:t>
            </w:r>
          </w:p>
        </w:tc>
      </w:tr>
    </w:tbl>
    <w:p w14:paraId="50868DE3">
      <w:pPr>
        <w:pStyle w:val="19"/>
        <w:bidi w:val="0"/>
        <w:rPr>
          <w:rFonts w:hint="eastAsia"/>
          <w:lang w:val="en-US" w:eastAsia="en-US"/>
        </w:rPr>
      </w:pPr>
      <w:r>
        <w:rPr>
          <w:rFonts w:hint="eastAsia"/>
          <w:lang w:val="en-US" w:eastAsia="en-US"/>
        </w:rPr>
        <w:t>注：关联度γ≥0.7为强关联，0.5≤γ&lt;0.7为中等关联，γ&lt;0.5为弱关联。分辨系数ρ=0.5。</w:t>
      </w:r>
    </w:p>
    <w:p w14:paraId="5393CBE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GRA结果解读的三层发现：</w:t>
      </w:r>
    </w:p>
    <w:p w14:paraId="6020FF5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第一，盈余额波动的自我强化效应。H1和H3均以</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盈余额绝对值</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为第一关联因子（γ=0.807, 0.866），表明盈余率波动具有显著的惯性特征——盈余额的月度波幅直接主导盈余率的变化方向。这一发现从统计角度佐证了第五章提出的</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月度动态监控机制</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的必要性：若不及时干预月度盈余的异常波动，亏损将呈自我放大趋势。</w:t>
      </w:r>
    </w:p>
    <w:p w14:paraId="28BF6F6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收入规模因素的一致性强关联。三院中拨付金额、总收入、住院收入等规模指标的关联度均在0.65~0.75区间，说明收入规模是影响盈余率的基础性因素。值得注意的是，H2医院的收入类指标关联度相对最为均衡（0.739~0.754），这与H2作为</w:t>
      </w:r>
      <w:r>
        <w:rPr>
          <w:rFonts w:hint="eastAsia" w:ascii="Times New Roman" w:hAnsi="Times New Roman" w:eastAsia="宋体" w:cs="Times New Roman"/>
          <w:b w:val="0"/>
          <w:i w:val="0"/>
          <w:kern w:val="0"/>
          <w:sz w:val="24"/>
          <w:szCs w:val="22"/>
          <w:lang w:eastAsia="zh-CN"/>
        </w:rPr>
        <w:t>北部</w:t>
      </w:r>
      <w:r>
        <w:rPr>
          <w:rFonts w:hint="eastAsia" w:ascii="Times New Roman" w:hAnsi="Times New Roman" w:eastAsia="宋体" w:cs="Times New Roman"/>
          <w:b w:val="0"/>
          <w:i w:val="0"/>
          <w:kern w:val="0"/>
          <w:sz w:val="24"/>
          <w:szCs w:val="22"/>
          <w:lang w:eastAsia="en-US"/>
        </w:rPr>
        <w:t>地区综合医院、DIP支付模式下各科室收入结构较为分散的特征吻合。</w:t>
      </w:r>
    </w:p>
    <w:p w14:paraId="7EAE4C9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第三，CMI关联度的重新评估。三院CMI关联度分别为0.658（H1）、0.734（H2）和0.724（H3），均处于中等偏强区间。实证数据表明CMI与盈余率存在中等以上关联，结合4.3节的非线性分析，CMI的影响机制并非微弱而是非线性——其效应不体现在简单的线性灰色关联系数中，而体现在U型曲线的阈值效应中。GRA与CMI二次回归的联合发现为第五章提出的</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CMI精准优化策略</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提供了双重实证支撑。</w:t>
      </w:r>
    </w:p>
    <w:p w14:paraId="476E70D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p>
    <w:p w14:paraId="3B58844D">
      <w:pPr>
        <w:pStyle w:val="3"/>
        <w:bidi w:val="0"/>
        <w:rPr>
          <w:lang w:val="en-US" w:eastAsia="en-US"/>
        </w:rPr>
      </w:pPr>
      <w:bookmarkStart w:id="101" w:name="_Toc29153"/>
      <w:bookmarkStart w:id="102" w:name="_Toc29694"/>
      <w:r>
        <w:rPr>
          <w:rFonts w:hint="eastAsia"/>
          <w:lang w:val="en-US" w:eastAsia="en-US"/>
        </w:rPr>
        <w:t>时滞效应的验证：滚动窗口分析</w:t>
      </w:r>
      <w:bookmarkEnd w:id="101"/>
    </w:p>
    <w:p w14:paraId="71A17DE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为检验ITS回归结果的时间稳健性并捕捉干预效应的动态展开过程，本研究采用滚动窗口法（Rolling Window Analysis）对三家医院的盈余率序列进行辅助分析。具体方法为：设定2024年窗口宽度 个月、步长个月，对每个窗口内的盈余率序列拟合线性趋势，获取斜率及其显著性值，共生成35个滚动窗口（W01~W35）。 表 4.10报告了三家医院的滚动窗口分析核心结果。</w:t>
      </w:r>
    </w:p>
    <w:p w14:paraId="55C59CDA">
      <w:pPr>
        <w:pStyle w:val="12"/>
        <w:bidi w:val="0"/>
        <w:rPr>
          <w:rFonts w:hint="eastAsia"/>
          <w:lang w:val="en-US" w:eastAsia="en-US"/>
        </w:rPr>
      </w:pPr>
      <w:r>
        <w:t>表 4.10 滚动窗口趋势斜率汇总（窗口=12月，步长=1月）</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694"/>
        <w:gridCol w:w="1009"/>
        <w:gridCol w:w="798"/>
        <w:gridCol w:w="1238"/>
        <w:gridCol w:w="798"/>
        <w:gridCol w:w="1238"/>
        <w:gridCol w:w="798"/>
        <w:gridCol w:w="1238"/>
      </w:tblGrid>
      <w:tr w14:paraId="21C1E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110DBD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阶段</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AA4400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窗口范围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A11E9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H1斜率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504174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H1显著窗口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46B51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H2斜率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8E59F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H2显著窗口</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0D5161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9E7B0B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H3显著窗口</w:t>
            </w:r>
          </w:p>
        </w:tc>
      </w:tr>
      <w:tr w14:paraId="2225A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ADBF1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干预前</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12185B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W01~W12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F1D079">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+0.60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45EEAC5">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81CD7C">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07213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2/12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14693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F893FA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5/12</w:t>
            </w:r>
          </w:p>
        </w:tc>
      </w:tr>
      <w:tr w14:paraId="36AA2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CA5DE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过渡期</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FCFFDCA">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W13~W23</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689E83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-0.54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8919ECB">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EB4CB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-1.50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6FA59D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10/11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1540BD">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-0.18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57AA6D2">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6/11</w:t>
            </w:r>
          </w:p>
        </w:tc>
      </w:tr>
      <w:tr w14:paraId="06DBF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59A59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干预后</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D8E381F">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W24~W35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8B160AE">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+1.00</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05F3C03">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5/12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CDEAEB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C3C7856">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6/12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141094">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+1.35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809A8F0">
            <w:pPr>
              <w:widowControl/>
              <w:spacing w:after="0" w:line="240" w:lineRule="auto"/>
              <w:ind w:firstLine="0" w:firstLineChars="0"/>
              <w:jc w:val="center"/>
              <w:textAlignment w:val="auto"/>
              <w:rPr>
                <w:rFonts w:hint="eastAsia" w:ascii="Times New Roman" w:hAnsi="Times New Roman" w:eastAsia="宋体" w:cs="Times New Roman"/>
                <w:b w:val="0"/>
                <w:i w:val="0"/>
                <w:color w:val="000000"/>
                <w:kern w:val="0"/>
                <w:sz w:val="22"/>
                <w:szCs w:val="22"/>
                <w:lang w:val="en-US" w:eastAsia="zh-CN"/>
              </w:rPr>
            </w:pPr>
            <w:r>
              <w:rPr>
                <w:rFonts w:hint="eastAsia" w:ascii="Times New Roman" w:hAnsi="Times New Roman" w:eastAsia="宋体" w:cs="Times New Roman"/>
                <w:b w:val="0"/>
                <w:i w:val="0"/>
                <w:color w:val="000000"/>
                <w:kern w:val="0"/>
                <w:sz w:val="22"/>
                <w:szCs w:val="22"/>
                <w:lang w:val="en-US" w:eastAsia="zh-CN"/>
              </w:rPr>
              <w:t>8/12</w:t>
            </w:r>
          </w:p>
        </w:tc>
      </w:tr>
    </w:tbl>
    <w:p w14:paraId="078DD061">
      <w:pPr>
        <w:pStyle w:val="19"/>
        <w:bidi w:val="0"/>
        <w:rPr>
          <w:rFonts w:hint="eastAsia"/>
          <w:lang w:val="en-US" w:eastAsia="en-US"/>
        </w:rPr>
      </w:pPr>
      <w:r>
        <w:rPr>
          <w:rFonts w:hint="eastAsia"/>
          <w:lang w:val="en-US" w:eastAsia="en-US"/>
        </w:rPr>
        <w:t>注：斜率为百分点/月，显著窗口为p&lt;0.05的窗口数占该阶段总窗口数。干预点2024-01对应观测序列第24期。</w:t>
      </w:r>
    </w:p>
    <w:p w14:paraId="400BD1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0B8E030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滚动窗口分析揭示了ITS框架无法捕捉的三个动态特征：</w:t>
      </w:r>
    </w:p>
    <w:p w14:paraId="01091DF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第一，干预冲击的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V型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路径。三家医院均呈现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干预前温和正趋势→过渡期负趋势→干预后正趋势回升</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V型模式，但V型的深度和恢复速度存在显著差异。H2的过渡期平均斜率达-1.50百分点/月（10/11个窗口显著），衰退幅度最大；H3的过渡期平均斜率仅-0.18百分点/月，冲击最为温和。这一模式与ITS回归中H2的|β₂|=18.36（最大即时冲击）和H3的|β₂|=8.29（最小即时冲击）高度吻合，形成交叉验证。</w:t>
      </w:r>
    </w:p>
    <w:p w14:paraId="61BB2A3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恢复启动的时间差异。从斜率首次显著转正的窗口观察：H1在W26（2024-03~2025-02）即已显现（斜率+1.95**），H2在W30（2024-07~2025-06）才达到显著正斜率（+2.78*），H3在W29（2024-06~2025-05）显著转正（+2.23*）。换算为干预后的响应延迟：H1约2个月、H3约5个月、H2约6个月。这一时间序列为管理层提供了重要的预期管理参考——DRG支付下的综合医院（H1）政策响应最快，DIP支付下的综合医院（H2）因冲击最深而恢复最迟。</w:t>
      </w:r>
    </w:p>
    <w:p w14:paraId="06A0DCB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第三，H3的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先抑后扬</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特征的窗口级验证。H3医院在W18~W26（约2023-07至2025-02）经历了连续9个窗口的负斜率期，其中6个达到统计显著（p&lt;0.05）。随后自W29起连续6个窗口显著正斜率（+1.95~+2.62百分点/月）。这一从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持续恶化</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快速改善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的清晰转折，为ITS回归中</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β₂=-8.29*（即时下降）+β₃=+0.69*（持续改善）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的参数化描述提供了直观的动态佐证，并进一步证实4.4节关于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CMI陷阱阶段性可突破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的论断——H3在经历约18个月的阵痛期后，管理优化措施开始产生系统性效果。</w:t>
      </w:r>
    </w:p>
    <w:p w14:paraId="215FC15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滚动窗口分析的总体发现与ITS全样本回归结论一致，表明本研究的核心发现——双重干预导致即时冲击（β₂显著为负）但管理转型驱动趋势改善（β₃正值）——在不同时间窗口下均具有稳健性。</w:t>
      </w:r>
    </w:p>
    <w:p w14:paraId="527E76DA">
      <w:pPr>
        <w:rPr>
          <w:lang w:val="en-US" w:eastAsia="en-US"/>
        </w:rPr>
      </w:pPr>
    </w:p>
    <w:p w14:paraId="5AB24C22">
      <w:pPr>
        <w:pStyle w:val="3"/>
        <w:bidi w:val="0"/>
        <w:rPr>
          <w:lang w:val="en-US" w:eastAsia="en-US"/>
        </w:rPr>
      </w:pPr>
      <w:bookmarkStart w:id="103" w:name="_Toc11122"/>
      <w:r>
        <w:rPr>
          <w:rFonts w:hint="eastAsia"/>
          <w:lang w:val="en-US" w:eastAsia="en-US"/>
        </w:rPr>
        <w:t>本章小结</w:t>
      </w:r>
      <w:bookmarkEnd w:id="102"/>
      <w:bookmarkEnd w:id="103"/>
    </w:p>
    <w:p w14:paraId="3A43B378">
      <w:pPr>
        <w:spacing w:line="240" w:lineRule="auto"/>
        <w:ind w:firstLine="0" w:firstLineChars="0"/>
        <w:jc w:val="center"/>
        <w:rPr>
          <w:rFonts w:hint="eastAsia" w:eastAsia="宋体"/>
          <w:lang w:val="en-US" w:eastAsia="zh-CN"/>
        </w:rPr>
      </w:pPr>
      <w:r>
        <w:rPr>
          <w:rFonts w:hint="eastAsia" w:eastAsia="宋体"/>
          <w:lang w:val="en-US" w:eastAsia="zh-CN"/>
        </w:rPr>
        <w:drawing>
          <wp:inline distT="0" distB="0" distL="114300" distR="114300">
            <wp:extent cx="5680075" cy="3293745"/>
            <wp:effectExtent l="0" t="0" r="15875" b="1905"/>
            <wp:docPr id="10" name="图片 10" descr="fig4_6_dual_intervention_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ig4_6_dual_intervention_patterns"/>
                    <pic:cNvPicPr>
                      <a:picLocks noChangeAspect="1"/>
                    </pic:cNvPicPr>
                  </pic:nvPicPr>
                  <pic:blipFill>
                    <a:blip r:embed="rId27"/>
                    <a:stretch>
                      <a:fillRect/>
                    </a:stretch>
                  </pic:blipFill>
                  <pic:spPr>
                    <a:xfrm>
                      <a:off x="0" y="0"/>
                      <a:ext cx="5680075" cy="3293745"/>
                    </a:xfrm>
                    <a:prstGeom prst="rect">
                      <a:avLst/>
                    </a:prstGeom>
                  </pic:spPr>
                </pic:pic>
              </a:graphicData>
            </a:graphic>
          </wp:inline>
        </w:drawing>
      </w:r>
    </w:p>
    <w:p w14:paraId="2711E54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本章基于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双重转折点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理论框架，运用间断时间序列分析、CMI—盈余率回归分析、灰色关联度分析和滚动窗口分析四种方法，对</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三家代表性医院的医疗收入质量进行了系统实证研究。主要发现如下。</w:t>
      </w:r>
    </w:p>
    <w:p w14:paraId="3CAE46B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发现一：外部冲击的差异化特征。 2024年1月双重干预启动后，三家医院均遭受显著的即时负向冲击，但冲击程度呈现差异化：H2最为严重（β₂=-18.36%），H1次之（β₂=-11.50%），H3相对较轻（β₂=-8.29%）。差异主要源于支付方式（DRG比DIP严格）、医院级别（三级比二级标准高）、区域政策（各省审核从严力度不同）和</w:t>
      </w:r>
      <w:r>
        <w:rPr>
          <w:rFonts w:hint="eastAsia" w:cs="Times New Roman"/>
          <w:b w:val="0"/>
          <w:i w:val="0"/>
          <w:kern w:val="0"/>
          <w:sz w:val="24"/>
          <w:szCs w:val="22"/>
          <w:lang w:val="en-US" w:eastAsia="zh-CN"/>
        </w:rPr>
        <w:t>该专科</w:t>
      </w:r>
      <w:r>
        <w:rPr>
          <w:rFonts w:hint="eastAsia" w:ascii="Times New Roman" w:hAnsi="Times New Roman" w:eastAsia="宋体" w:cs="Times New Roman"/>
          <w:b w:val="0"/>
          <w:i w:val="0"/>
          <w:kern w:val="0"/>
          <w:sz w:val="24"/>
          <w:szCs w:val="22"/>
          <w:lang w:eastAsia="en-US"/>
        </w:rPr>
        <w:t>政策倾斜四个外部因素。这一发现验证了假设H1，也揭示了β₂与医院管理能力之间缺乏直接关联——管理最优的H1反而遭受了最深的冲击。</w:t>
      </w:r>
    </w:p>
    <w:p w14:paraId="0B148EF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发现二：内部变革的阶段性时滞效应。 管理转型的财务效果呈现3—6个月的阶段性时滞规律。积极响应型医院（H1）2024年1月立即启动、4月开始见效，β₃接近零（+0.21，不显著），反映冲击被快速吸收，全年损失约5,000万元。滞后响应型医院（H3）2024年7月才启动、10月开始见效，β₃显著为正（+0.69%/月*），反映</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先恶化后改善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的阶段性轨迹，但因滞后6个月而多承受约3,000万元额外损失。这一发现验证了假设H2和H3，也揭示了β₃系数的正确解读方式：β₃不等于管理能力，而是反映改善空间和响应速度的交互效应。</w:t>
      </w:r>
    </w:p>
    <w:p w14:paraId="50ACC0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发现三：</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的阶段性存在与动态可突破性。 H3医院的CMI—盈余率回归分析确认了U型关系的存在（CMI阈值约为</w:t>
      </w:r>
      <w:r>
        <w:rPr>
          <w:rFonts w:hint="eastAsia" w:cs="Times New Roman"/>
          <w:b w:val="0"/>
          <w:i w:val="0"/>
          <w:kern w:val="0"/>
          <w:sz w:val="24"/>
          <w:szCs w:val="22"/>
          <w:lang w:val="en-US" w:eastAsia="zh-CN"/>
        </w:rPr>
        <w:t>1.27</w:t>
      </w:r>
      <w:r>
        <w:rPr>
          <w:rFonts w:hint="eastAsia" w:ascii="Times New Roman" w:hAnsi="Times New Roman" w:eastAsia="宋体" w:cs="Times New Roman"/>
          <w:b w:val="0"/>
          <w:i w:val="0"/>
          <w:kern w:val="0"/>
          <w:sz w:val="24"/>
          <w:szCs w:val="22"/>
          <w:lang w:eastAsia="en-US"/>
        </w:rPr>
        <w:t>），为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假设提供了直接的统计证据。但H3在2024年下半年至2025年的改善轨迹（盈余率从-25%至-12%，CMI维持1.31）证明，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具有阶段性特征——通过针对性成本控制（耗材集采、路径标准化、编码精准化），高CMI医院可以在不降低技术难度的前提下实现盈利改善。假设H4得到支持。</w:t>
      </w:r>
    </w:p>
    <w:p w14:paraId="707A8AC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发现四：供应链</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压舱石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效应与利益再平衡的必要性。 灰色关联度分析显示，供应链</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收缴额与集团净利润的</w:t>
      </w:r>
      <w:r>
        <w:rPr>
          <w:rFonts w:hint="eastAsia" w:cs="Times New Roman"/>
          <w:b w:val="0"/>
          <w:i w:val="0"/>
          <w:kern w:val="0"/>
          <w:sz w:val="24"/>
          <w:szCs w:val="22"/>
          <w:lang w:eastAsia="zh-CN"/>
        </w:rPr>
        <w:t>中等偏强关联度（γ=0.692）</w:t>
      </w:r>
      <w:r>
        <w:rPr>
          <w:rFonts w:hint="eastAsia" w:ascii="Times New Roman" w:hAnsi="Times New Roman" w:eastAsia="宋体" w:cs="Times New Roman"/>
          <w:b w:val="0"/>
          <w:i w:val="0"/>
          <w:kern w:val="0"/>
          <w:sz w:val="24"/>
          <w:szCs w:val="22"/>
          <w:lang w:eastAsia="en-US"/>
        </w:rPr>
        <w:t>，在医疗板块承压时期发挥了关键的利润对冲作用。但在双重干预叠加的新环境下，传统的利润上收模式可能加剧院区层面的资金紧张，需要通过利益再平衡机制（第五章详述）实现可持续的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总部—院区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协同。</w:t>
      </w:r>
    </w:p>
    <w:p w14:paraId="48B9B9C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发现五：β₃系数解读的方法论贡献。 本研究澄清了双重干预叠加情境下ITS分析的解读规则：β₂主要反映外部冲击（1—3个月内），β₃同时包含外部政策的滞后效应和内部管理变革的效果。在评价管理干预有效性时，不应简单以β₃的统计显著性为唯一标准——快速止血型干预（如H1）的β₃可能不显著（因冲击被迅速吸收），滞后改善型干预（如H3）的β₃可能显著（因改善空间被前期恶化所放大）。更合理的评价指标是累积财务损失和管理指标的实质改善。</w:t>
      </w:r>
    </w:p>
    <w:p w14:paraId="750F802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上述五项发现为第五章的优化策略设计提供了坚实的实证基础。特别是，管理转型时间表（1—3月落地、4—6月见效、7—12月显现）、CMI陷阱的动态突破路径（成本控制而非降低难度）和供应链利益再平衡的必要性，将直接指导优化策略的具体设计。</w:t>
      </w:r>
    </w:p>
    <w:p w14:paraId="0834E88A">
      <w:pPr>
        <w:adjustRightInd w:val="0"/>
        <w:snapToGrid w:val="0"/>
        <w:spacing w:line="400" w:lineRule="exact"/>
        <w:ind w:firstLine="480"/>
        <w:rPr>
          <w:color w:val="FF0000"/>
        </w:rPr>
      </w:pPr>
    </w:p>
    <w:p w14:paraId="2EF1F7BF">
      <w:pPr>
        <w:ind w:firstLine="480"/>
      </w:pPr>
    </w:p>
    <w:p w14:paraId="5B9B7FFA">
      <w:pPr>
        <w:pStyle w:val="2"/>
        <w:adjustRightInd w:val="0"/>
        <w:snapToGrid w:val="0"/>
        <w:spacing w:before="480" w:after="360" w:line="240" w:lineRule="auto"/>
        <w:rPr>
          <w:b w:val="0"/>
          <w:color w:val="FF0000"/>
          <w:sz w:val="32"/>
          <w:szCs w:val="32"/>
        </w:rPr>
      </w:pPr>
      <w:bookmarkStart w:id="104" w:name="_Toc9511"/>
      <w:r>
        <w:rPr>
          <w:rFonts w:hint="eastAsia" w:hAnsi="黑体"/>
          <w:b w:val="0"/>
          <w:color w:val="auto"/>
          <w:sz w:val="32"/>
          <w:szCs w:val="32"/>
          <w:lang w:eastAsia="zh-CN"/>
        </w:rPr>
        <w:t>A医疗集团</w:t>
      </w:r>
      <w:r>
        <w:rPr>
          <w:rFonts w:hint="eastAsia" w:hAnsi="黑体"/>
          <w:b w:val="0"/>
          <w:color w:val="auto"/>
          <w:sz w:val="32"/>
          <w:szCs w:val="32"/>
        </w:rPr>
        <w:t>医疗收入质量优化策略设计</w:t>
      </w:r>
      <w:bookmarkEnd w:id="104"/>
    </w:p>
    <w:p w14:paraId="4B571D19">
      <w:pPr>
        <w:pStyle w:val="3"/>
        <w:bidi w:val="0"/>
        <w:rPr>
          <w:lang w:val="en-US" w:eastAsia="en-US"/>
        </w:rPr>
      </w:pPr>
      <w:bookmarkStart w:id="105" w:name="_Toc16446"/>
      <w:bookmarkStart w:id="106" w:name="_Toc345588867"/>
      <w:r>
        <w:rPr>
          <w:rFonts w:hint="eastAsia"/>
          <w:lang w:val="en-US" w:eastAsia="en-US"/>
        </w:rPr>
        <w:t>策略设计的总体框架</w:t>
      </w:r>
      <w:bookmarkEnd w:id="105"/>
    </w:p>
    <w:p w14:paraId="0DA6C32B">
      <w:pPr>
        <w:pStyle w:val="4"/>
        <w:bidi w:val="0"/>
        <w:rPr>
          <w:lang w:val="en-US" w:eastAsia="en-US"/>
        </w:rPr>
      </w:pPr>
      <w:bookmarkStart w:id="107" w:name="_Toc1456"/>
      <w:bookmarkStart w:id="108" w:name="_Toc9217"/>
      <w:r>
        <w:rPr>
          <w:rFonts w:hint="eastAsia"/>
          <w:lang w:val="en-US" w:eastAsia="en-US"/>
        </w:rPr>
        <w:t>问题导向：基于实证发现的三大核心痛点</w:t>
      </w:r>
      <w:bookmarkEnd w:id="107"/>
      <w:bookmarkEnd w:id="108"/>
    </w:p>
    <w:p w14:paraId="0F07834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基于第三章的现状诊断和第四章的实证分析，如表 5.1所示，A医疗集团医疗收入质量面临的核心痛点可归纳为以下三项，每项均对应第四章的具体实证发现。</w:t>
      </w:r>
    </w:p>
    <w:p w14:paraId="02B30BC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痛点一：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——技术升级与财务亏损的悖论。第四章CMI-盈余率二次回归分析显示，H3医院的CMI与盈余率呈U型关系（γ₂=+361.81），CMI阈值约为1.27，即当CMI处于1.20~1.30区间时，盈余率降至最低点。这一发现修正了传统认知中</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CMI越高越亏</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的线性假设——问题不在于CMI</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高</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本身，而在于CMI</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刚好处于阈值附近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时，成本边际增长（</w:t>
      </w:r>
      <w:r>
        <w:rPr>
          <w:rFonts w:hint="eastAsia" w:cs="Times New Roman"/>
          <w:b w:val="0"/>
          <w:i w:val="0"/>
          <w:kern w:val="0"/>
          <w:sz w:val="24"/>
          <w:szCs w:val="22"/>
          <w:lang w:eastAsia="zh-CN"/>
        </w:rPr>
        <w:t>15%—25%</w:t>
      </w:r>
      <w:r>
        <w:rPr>
          <w:rFonts w:hint="eastAsia" w:ascii="Times New Roman" w:hAnsi="Times New Roman" w:eastAsia="宋体" w:cs="Times New Roman"/>
          <w:b w:val="0"/>
          <w:i w:val="0"/>
          <w:kern w:val="0"/>
          <w:sz w:val="24"/>
          <w:szCs w:val="22"/>
          <w:lang w:eastAsia="en-US"/>
        </w:rPr>
        <w:t>）超过DRG/DIP溢价（</w:t>
      </w:r>
      <w:r>
        <w:rPr>
          <w:rFonts w:hint="eastAsia" w:cs="Times New Roman"/>
          <w:b w:val="0"/>
          <w:i w:val="0"/>
          <w:kern w:val="0"/>
          <w:sz w:val="24"/>
          <w:szCs w:val="22"/>
          <w:lang w:eastAsia="zh-CN"/>
        </w:rPr>
        <w:t>8%—10%</w:t>
      </w:r>
      <w:r>
        <w:rPr>
          <w:rFonts w:hint="eastAsia" w:ascii="Times New Roman" w:hAnsi="Times New Roman" w:eastAsia="宋体" w:cs="Times New Roman"/>
          <w:b w:val="0"/>
          <w:i w:val="0"/>
          <w:kern w:val="0"/>
          <w:sz w:val="24"/>
          <w:szCs w:val="22"/>
          <w:lang w:eastAsia="en-US"/>
        </w:rPr>
        <w:t>），形成</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中等复杂度陷阱</w:t>
      </w:r>
      <w:r>
        <w:rPr>
          <w:rFonts w:hint="eastAsia" w:cs="Times New Roman"/>
          <w:b w:val="0"/>
          <w:i w:val="0"/>
          <w:kern w:val="0"/>
          <w:sz w:val="24"/>
          <w:szCs w:val="22"/>
          <w:lang w:eastAsia="zh-CN"/>
        </w:rPr>
        <w:t>”</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4</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。H3医院均值CMI=1.31，略高于阈值1.27，正处于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刚刚跨过陷阱底部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的恢复区，这解释了其β₃=+0.69*（p=0.032）的显著正向改善趋势。</w:t>
      </w:r>
    </w:p>
    <w:p w14:paraId="67BA25B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highlight w:val="yellow"/>
          <w:lang w:eastAsia="en-US"/>
        </w:rPr>
      </w:pPr>
      <w:r>
        <w:rPr>
          <w:rFonts w:hint="eastAsia" w:ascii="Times New Roman" w:hAnsi="Times New Roman" w:eastAsia="宋体" w:cs="Times New Roman"/>
          <w:b w:val="0"/>
          <w:i w:val="0"/>
          <w:kern w:val="0"/>
          <w:sz w:val="24"/>
          <w:szCs w:val="22"/>
          <w:lang w:eastAsia="en-US"/>
        </w:rPr>
        <w:t>痛点二：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供应链双刃剑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——集团盈利与院区抽血的矛盾。 第三章和第四章的灰色关联度分析表明，盈余额绝对值与盈余率的关联度在三院中均位居前列（H1: γ=0.807, H3: γ=0.866），揭示了盈余的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自我强化效应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——盈余越多的月份后续表现越好，亏损越大的月份则陷入恶性循环</w:t>
      </w:r>
      <w:r>
        <w:rPr>
          <w:rStyle w:val="51"/>
          <w:rFonts w:hint="eastAsia"/>
        </w:rPr>
        <w:t>[1</w:t>
      </w:r>
      <w:r>
        <w:rPr>
          <w:rStyle w:val="51"/>
          <w:rFonts w:hint="eastAsia"/>
          <w:lang w:val="en-US" w:eastAsia="zh-CN"/>
        </w:rPr>
        <w:t>2</w:t>
      </w:r>
      <w:r>
        <w:rPr>
          <w:rStyle w:val="51"/>
          <w:rFonts w:hint="eastAsia"/>
          <w:highlight w:val="none"/>
        </w:rPr>
        <w:t>]</w:t>
      </w:r>
      <w:r>
        <w:rPr>
          <w:rFonts w:hint="eastAsia" w:ascii="Times New Roman" w:hAnsi="Times New Roman" w:eastAsia="宋体" w:cs="Times New Roman"/>
          <w:b w:val="0"/>
          <w:i w:val="0"/>
          <w:kern w:val="0"/>
          <w:sz w:val="24"/>
          <w:szCs w:val="22"/>
          <w:highlight w:val="none"/>
          <w:lang w:eastAsia="en-US"/>
        </w:rPr>
        <w:t>。第四章GRA结果未发现</w:t>
      </w:r>
      <w:r>
        <w:rPr>
          <w:rFonts w:hint="eastAsia" w:cs="Times New Roman"/>
          <w:b w:val="0"/>
          <w:i w:val="0"/>
          <w:kern w:val="0"/>
          <w:sz w:val="24"/>
          <w:szCs w:val="22"/>
          <w:highlight w:val="none"/>
          <w:lang w:eastAsia="zh-CN"/>
        </w:rPr>
        <w:t>“</w:t>
      </w:r>
      <w:r>
        <w:rPr>
          <w:rFonts w:hint="eastAsia" w:ascii="Times New Roman" w:hAnsi="Times New Roman" w:eastAsia="宋体" w:cs="Times New Roman"/>
          <w:b w:val="0"/>
          <w:i w:val="0"/>
          <w:kern w:val="0"/>
          <w:sz w:val="24"/>
          <w:szCs w:val="22"/>
          <w:highlight w:val="none"/>
          <w:lang w:eastAsia="en-US"/>
        </w:rPr>
        <w:t>供应链</w:t>
      </w:r>
      <w:r>
        <w:rPr>
          <w:rFonts w:hint="eastAsia" w:cs="Times New Roman"/>
          <w:b w:val="0"/>
          <w:i w:val="0"/>
          <w:kern w:val="0"/>
          <w:sz w:val="24"/>
          <w:szCs w:val="22"/>
          <w:highlight w:val="none"/>
          <w:lang w:eastAsia="zh-CN"/>
        </w:rPr>
        <w:t>集中管理协同收益</w:t>
      </w:r>
      <w:r>
        <w:rPr>
          <w:rFonts w:hint="eastAsia" w:ascii="Times New Roman" w:hAnsi="Times New Roman" w:eastAsia="宋体" w:cs="Times New Roman"/>
          <w:b w:val="0"/>
          <w:i w:val="0"/>
          <w:kern w:val="0"/>
          <w:sz w:val="24"/>
          <w:szCs w:val="22"/>
          <w:highlight w:val="none"/>
          <w:lang w:eastAsia="en-US"/>
        </w:rPr>
        <w:t>收缴额</w:t>
      </w:r>
      <w:r>
        <w:rPr>
          <w:rFonts w:hint="eastAsia" w:cs="Times New Roman"/>
          <w:b w:val="0"/>
          <w:i w:val="0"/>
          <w:kern w:val="0"/>
          <w:sz w:val="24"/>
          <w:szCs w:val="22"/>
          <w:highlight w:val="none"/>
          <w:lang w:eastAsia="zh-CN"/>
        </w:rPr>
        <w:t>”</w:t>
      </w:r>
      <w:r>
        <w:rPr>
          <w:rFonts w:hint="eastAsia" w:ascii="Times New Roman" w:hAnsi="Times New Roman" w:eastAsia="宋体" w:cs="Times New Roman"/>
          <w:b w:val="0"/>
          <w:i w:val="0"/>
          <w:kern w:val="0"/>
          <w:sz w:val="24"/>
          <w:szCs w:val="22"/>
          <w:highlight w:val="none"/>
          <w:lang w:eastAsia="en-US"/>
        </w:rPr>
        <w:t>这一独立指标与盈余率的直接关联，但第三章的定性分析已充分揭示：供应链</w:t>
      </w:r>
      <w:r>
        <w:rPr>
          <w:rFonts w:hint="eastAsia" w:cs="Times New Roman"/>
          <w:b w:val="0"/>
          <w:i w:val="0"/>
          <w:kern w:val="0"/>
          <w:sz w:val="24"/>
          <w:szCs w:val="22"/>
          <w:highlight w:val="none"/>
          <w:lang w:eastAsia="zh-CN"/>
        </w:rPr>
        <w:t>集中管理协同收益</w:t>
      </w:r>
      <w:r>
        <w:rPr>
          <w:rFonts w:hint="eastAsia" w:ascii="Times New Roman" w:hAnsi="Times New Roman" w:eastAsia="宋体" w:cs="Times New Roman"/>
          <w:b w:val="0"/>
          <w:i w:val="0"/>
          <w:kern w:val="0"/>
          <w:sz w:val="24"/>
          <w:szCs w:val="22"/>
          <w:highlight w:val="none"/>
          <w:lang w:eastAsia="en-US"/>
        </w:rPr>
        <w:t>和超长账期（DPO 300</w:t>
      </w:r>
      <w:r>
        <w:rPr>
          <w:rFonts w:hint="eastAsia" w:cs="Times New Roman"/>
          <w:b w:val="0"/>
          <w:i w:val="0"/>
          <w:kern w:val="0"/>
          <w:sz w:val="24"/>
          <w:szCs w:val="22"/>
          <w:highlight w:val="none"/>
          <w:lang w:eastAsia="zh-CN"/>
        </w:rPr>
        <w:t>—</w:t>
      </w:r>
      <w:r>
        <w:rPr>
          <w:rFonts w:hint="eastAsia" w:ascii="Times New Roman" w:hAnsi="Times New Roman" w:eastAsia="宋体" w:cs="Times New Roman"/>
          <w:b w:val="0"/>
          <w:i w:val="0"/>
          <w:kern w:val="0"/>
          <w:sz w:val="24"/>
          <w:szCs w:val="22"/>
          <w:highlight w:val="none"/>
          <w:lang w:eastAsia="en-US"/>
        </w:rPr>
        <w:t>390天）在集团层面贡献利润，在院区层面造成现金流压力和利益侵蚀。</w:t>
      </w:r>
    </w:p>
    <w:p w14:paraId="7037D4A6">
      <w:pPr>
        <w:widowControl/>
        <w:spacing w:before="0" w:after="0" w:line="400" w:lineRule="exact"/>
        <w:ind w:firstLine="480" w:firstLineChars="0"/>
        <w:jc w:val="both"/>
        <w:textAlignment w:val="auto"/>
        <w:rPr>
          <w:rFonts w:hint="eastAsia"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en-US"/>
        </w:rPr>
        <w:t>痛点三：</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临床动力不足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——医生控费意愿与收入诉求的冲突。 在现有绩效体系下，医生的控费努力无法转化为个人收入增长，导致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不愿控、不敢控</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的困境</w:t>
      </w:r>
      <w:r>
        <w:rPr>
          <w:rStyle w:val="51"/>
          <w:rFonts w:hint="eastAsia"/>
          <w:lang w:eastAsia="zh-CN"/>
        </w:rPr>
        <w:t>[</w:t>
      </w:r>
      <w:r>
        <w:rPr>
          <w:rStyle w:val="51"/>
          <w:rFonts w:hint="eastAsia"/>
          <w:lang w:val="en-US" w:eastAsia="zh-CN"/>
        </w:rPr>
        <w:t>3</w:t>
      </w:r>
      <w:r>
        <w:rPr>
          <w:rStyle w:val="51"/>
          <w:rFonts w:hint="eastAsia"/>
          <w:lang w:eastAsia="zh-CN"/>
        </w:rPr>
        <w:t>]</w:t>
      </w:r>
      <w:r>
        <w:rPr>
          <w:rFonts w:hint="eastAsia" w:ascii="Times New Roman" w:hAnsi="Times New Roman" w:eastAsia="宋体" w:cs="Times New Roman"/>
          <w:b w:val="0"/>
          <w:i w:val="0"/>
          <w:kern w:val="0"/>
          <w:sz w:val="24"/>
          <w:szCs w:val="22"/>
          <w:lang w:eastAsia="en-US"/>
        </w:rPr>
        <w:t>。第四章ITS分析揭示的管理时滞效应（H1≈2个月、H3≈5个月、H2≈6个月）在很大程度上反映了临床行为改变的迟滞——即使管理制度已到位，医生实际诊疗行为的转变仍需3-6个月。滚动窗口分析进一步证实，H2过渡期（W13~W23）有10/11个窗口呈显著负斜率，表明缺乏激励机制支撑时，政策冲击的负面效应持续放大</w:t>
      </w:r>
      <w:r>
        <w:rPr>
          <w:rFonts w:hint="eastAsia" w:cs="Times New Roman"/>
          <w:b w:val="0"/>
          <w:i w:val="0"/>
          <w:kern w:val="0"/>
          <w:sz w:val="24"/>
          <w:szCs w:val="22"/>
          <w:lang w:eastAsia="zh-CN"/>
        </w:rPr>
        <w:t>。</w:t>
      </w:r>
    </w:p>
    <w:p w14:paraId="27D44F55">
      <w:pPr>
        <w:widowControl/>
        <w:spacing w:before="0" w:after="0" w:line="400" w:lineRule="exact"/>
        <w:ind w:firstLine="480" w:firstLineChars="0"/>
        <w:jc w:val="both"/>
        <w:textAlignment w:val="auto"/>
        <w:rPr>
          <w:rFonts w:hint="eastAsia" w:cs="Times New Roman"/>
          <w:b w:val="0"/>
          <w:i w:val="0"/>
          <w:kern w:val="0"/>
          <w:sz w:val="24"/>
          <w:szCs w:val="22"/>
          <w:lang w:eastAsia="en-US"/>
        </w:rPr>
      </w:pPr>
    </w:p>
    <w:p w14:paraId="67356884">
      <w:pPr>
        <w:pStyle w:val="4"/>
        <w:bidi w:val="0"/>
        <w:rPr>
          <w:lang w:val="en-US" w:eastAsia="en-US"/>
        </w:rPr>
      </w:pPr>
      <w:bookmarkStart w:id="109" w:name="_Toc12429"/>
      <w:r>
        <w:rPr>
          <w:rFonts w:hint="eastAsia"/>
          <w:lang w:val="en-US" w:eastAsia="en-US"/>
        </w:rPr>
        <w:t>策略框架：四层优化体系与三级响应时间表</w:t>
      </w:r>
      <w:bookmarkEnd w:id="109"/>
    </w:p>
    <w:p w14:paraId="6C62C7D2">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hint="eastAsia" w:ascii="Times New Roman" w:hAnsi="Times New Roman" w:eastAsia="宋体" w:cs="Times New Roman"/>
          <w:b/>
          <w:bCs/>
          <w:i w:val="0"/>
          <w:kern w:val="0"/>
          <w:sz w:val="24"/>
          <w:szCs w:val="22"/>
          <w:lang w:eastAsia="en-US"/>
        </w:rPr>
        <w:t>四层优化体系</w:t>
      </w:r>
    </w:p>
    <w:p w14:paraId="2DD00AF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针对上述痛点，本研究设计了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四层优化体系</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442BDD4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战略层：</w:t>
      </w:r>
      <w:r>
        <w:rPr>
          <w:rFonts w:hint="eastAsia" w:ascii="Times New Roman" w:hAnsi="Times New Roman" w:eastAsia="宋体" w:cs="Times New Roman"/>
          <w:b w:val="0"/>
          <w:i w:val="0"/>
          <w:kern w:val="0"/>
          <w:sz w:val="24"/>
          <w:szCs w:val="22"/>
          <w:lang w:eastAsia="en-US"/>
        </w:rPr>
        <w:t>确立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的学科发展原则，重构资源配置逻辑——回应痛点一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4B41D8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运营层：</w:t>
      </w:r>
      <w:r>
        <w:rPr>
          <w:rFonts w:hint="eastAsia" w:ascii="Times New Roman" w:hAnsi="Times New Roman" w:eastAsia="宋体" w:cs="Times New Roman"/>
          <w:b w:val="0"/>
          <w:i w:val="0"/>
          <w:kern w:val="0"/>
          <w:sz w:val="24"/>
          <w:szCs w:val="22"/>
          <w:lang w:eastAsia="en-US"/>
        </w:rPr>
        <w:t>建立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供应链账期管理模式，平衡效率与风险——回应痛点二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供应链双刃剑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5E42392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激励层</w:t>
      </w:r>
      <w:r>
        <w:rPr>
          <w:rFonts w:hint="eastAsia" w:ascii="Times New Roman" w:hAnsi="Times New Roman" w:eastAsia="宋体" w:cs="Times New Roman"/>
          <w:b w:val="0"/>
          <w:i w:val="0"/>
          <w:kern w:val="0"/>
          <w:sz w:val="24"/>
          <w:szCs w:val="22"/>
          <w:lang w:eastAsia="en-US"/>
        </w:rPr>
        <w:t>：设计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机制，实现集团与院区的利益共享——同时回应痛点二和痛点三。</w:t>
      </w:r>
    </w:p>
    <w:p w14:paraId="74E3639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保障层：</w:t>
      </w:r>
      <w:r>
        <w:rPr>
          <w:rFonts w:hint="eastAsia" w:ascii="Times New Roman" w:hAnsi="Times New Roman" w:eastAsia="宋体" w:cs="Times New Roman"/>
          <w:b w:val="0"/>
          <w:i w:val="0"/>
          <w:kern w:val="0"/>
          <w:sz w:val="24"/>
          <w:szCs w:val="22"/>
          <w:lang w:eastAsia="en-US"/>
        </w:rPr>
        <w:t>构建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RBRVS+DRG盈余留用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复合绩效体系，激发临床控费动力——回应痛点三</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临床动力不足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1DE295F6">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hint="eastAsia" w:ascii="Times New Roman" w:hAnsi="Times New Roman" w:eastAsia="宋体" w:cs="Times New Roman"/>
          <w:b/>
          <w:bCs/>
          <w:i w:val="0"/>
          <w:kern w:val="0"/>
          <w:sz w:val="24"/>
          <w:szCs w:val="22"/>
          <w:lang w:eastAsia="en-US"/>
        </w:rPr>
        <w:t>三级响应时间表</w:t>
      </w:r>
    </w:p>
    <w:p w14:paraId="6185653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第四章的滚动窗口分析揭示了管理干预的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3-6-12</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时滞规律：措施落地需1-3个月、初步见效需4-6个月、效果充分显现需7-12个月。据此，本研究建议建立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三级响应机制</w:t>
      </w:r>
      <w:r>
        <w:rPr>
          <w:rFonts w:hint="eastAsia" w:cs="Times New Roman"/>
          <w:b w:val="0"/>
          <w:i w:val="0"/>
          <w:kern w:val="0"/>
          <w:sz w:val="24"/>
          <w:szCs w:val="22"/>
          <w:lang w:eastAsia="zh-CN"/>
        </w:rPr>
        <w:t>”</w:t>
      </w:r>
      <w:r>
        <w:rPr>
          <w:rStyle w:val="51"/>
          <w:rFonts w:hint="eastAsia"/>
          <w:lang w:eastAsia="en-US"/>
        </w:rPr>
        <w:t>[</w:t>
      </w:r>
      <w:r>
        <w:rPr>
          <w:rStyle w:val="51"/>
          <w:rFonts w:hint="eastAsia"/>
          <w:lang w:val="en-US" w:eastAsia="zh-CN"/>
        </w:rPr>
        <w:t>6</w:t>
      </w:r>
      <w:r>
        <w:rPr>
          <w:rStyle w:val="51"/>
          <w:rFonts w:hint="eastAsia"/>
          <w:lang w:eastAsia="en-US"/>
        </w:rPr>
        <w:t>]</w:t>
      </w:r>
      <w:r>
        <w:rPr>
          <w:rFonts w:hint="eastAsia" w:ascii="Times New Roman" w:hAnsi="Times New Roman" w:eastAsia="宋体" w:cs="Times New Roman"/>
          <w:b w:val="0"/>
          <w:i w:val="0"/>
          <w:kern w:val="0"/>
          <w:sz w:val="24"/>
          <w:szCs w:val="22"/>
          <w:lang w:eastAsia="en-US"/>
        </w:rPr>
        <w:t>：</w:t>
      </w:r>
    </w:p>
    <w:p w14:paraId="525C7E64">
      <w:pPr>
        <w:pStyle w:val="12"/>
        <w:bidi w:val="0"/>
        <w:rPr>
          <w:lang w:eastAsia="en-US"/>
        </w:rPr>
      </w:pPr>
      <w:r>
        <w:rPr>
          <w:rFonts w:ascii="宋体" w:hAnsi="宋体"/>
          <w:sz w:val="24"/>
        </w:rPr>
        <w:t>图 5.1: 三级响应时间表与管理干预时滞规律（“3-6-12”模式）</w:t>
      </w:r>
    </w:p>
    <w:p w14:paraId="7919A00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bCs/>
          <w:i w:val="0"/>
          <w:kern w:val="0"/>
          <w:sz w:val="24"/>
          <w:szCs w:val="22"/>
          <w:lang w:eastAsia="zh-CN"/>
        </w:rPr>
        <w:t>一级响应（危机应对，0-3个月）</w:t>
      </w:r>
      <w:r>
        <w:rPr>
          <w:rFonts w:hint="eastAsia" w:ascii="Times New Roman" w:hAnsi="Times New Roman" w:eastAsia="宋体" w:cs="Times New Roman"/>
          <w:b w:val="0"/>
          <w:i w:val="0"/>
          <w:kern w:val="0"/>
          <w:sz w:val="24"/>
          <w:szCs w:val="22"/>
          <w:lang w:eastAsia="zh-CN"/>
        </w:rPr>
        <w:t>：目标为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快速止血</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。重点推进集采执行强化、单病种费用红线设定、DRG编码复核等可快速见效的成本控制措施。参照标杆：H1医院2024年1月立即启动、4月初步见效的经验。</w:t>
      </w:r>
    </w:p>
    <w:p w14:paraId="13AA575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bCs/>
          <w:i w:val="0"/>
          <w:kern w:val="0"/>
          <w:sz w:val="24"/>
          <w:szCs w:val="22"/>
          <w:lang w:eastAsia="zh-CN"/>
        </w:rPr>
        <w:t>二级响应（系统优化，3-12个月）：</w:t>
      </w:r>
      <w:r>
        <w:rPr>
          <w:rFonts w:hint="eastAsia" w:ascii="Times New Roman" w:hAnsi="Times New Roman" w:eastAsia="宋体" w:cs="Times New Roman"/>
          <w:b w:val="0"/>
          <w:i w:val="0"/>
          <w:kern w:val="0"/>
          <w:sz w:val="24"/>
          <w:szCs w:val="22"/>
          <w:lang w:eastAsia="zh-CN"/>
        </w:rPr>
        <w:t>目标为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结构调整</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。重点推进学科画像与CAPEX重构、临床路径标准化（覆盖率提升至75%）、绩效体系改革（盈余留用机制上线）。参照依据：滚动窗口显示H1在W26（约第2个月）首次转正、H3在W29（约第5个月）转正。</w:t>
      </w:r>
    </w:p>
    <w:p w14:paraId="7B8532A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bCs/>
          <w:i w:val="0"/>
          <w:kern w:val="0"/>
          <w:sz w:val="24"/>
          <w:szCs w:val="22"/>
          <w:lang w:eastAsia="zh-CN"/>
        </w:rPr>
        <w:t>三级响应（长期建设，12个月以上）：</w:t>
      </w:r>
      <w:r>
        <w:rPr>
          <w:rFonts w:hint="eastAsia" w:ascii="Times New Roman" w:hAnsi="Times New Roman" w:eastAsia="宋体" w:cs="Times New Roman"/>
          <w:b w:val="0"/>
          <w:i w:val="0"/>
          <w:kern w:val="0"/>
          <w:sz w:val="24"/>
          <w:szCs w:val="22"/>
          <w:lang w:eastAsia="zh-CN"/>
        </w:rPr>
        <w:t>目标为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能力建设</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zh-CN"/>
        </w:rPr>
        <w:t>。重点推进信息化平台升级、人才梯队建设、动态CMI监控系统。参照依据：H2在W30（约第6个月）才转正，且干预后均值斜率+1.29百分点/月，表明长期投入的累积效应显著。</w:t>
      </w:r>
    </w:p>
    <w:p w14:paraId="1790EA30">
      <w:pPr>
        <w:pStyle w:val="19"/>
        <w:bidi w:val="0"/>
        <w:rPr>
          <w:rFonts w:hint="eastAsia"/>
          <w:lang w:val="en-US" w:eastAsia="zh-CN"/>
        </w:rPr>
      </w:pPr>
      <w:r>
        <w:rPr>
          <w:rFonts w:hint="eastAsia"/>
          <w:lang w:val="en-US" w:eastAsia="zh-CN"/>
        </w:rPr>
        <w:t>注：本章所述优化策略均为基于实证研究的建议方案，多数措施（如集采强化、临床路径标准化）已在H1医院试点实施并取得成效（详见5.5节）。</w:t>
      </w:r>
    </w:p>
    <w:p w14:paraId="44C8FD29">
      <w:pPr>
        <w:pStyle w:val="3"/>
        <w:bidi w:val="0"/>
        <w:rPr>
          <w:lang w:val="en-US" w:eastAsia="en-US"/>
        </w:rPr>
      </w:pPr>
      <w:bookmarkStart w:id="110" w:name="_Toc28679"/>
      <w:bookmarkStart w:id="111" w:name="_Toc7834"/>
      <w:r>
        <w:rPr>
          <w:rFonts w:hint="eastAsia"/>
          <w:lang w:val="en-US" w:eastAsia="en-US"/>
        </w:rPr>
        <w:t>战略层：基于</w:t>
      </w:r>
      <w:r>
        <w:rPr>
          <w:rFonts w:hint="eastAsia"/>
          <w:lang w:val="en-US" w:eastAsia="zh-CN"/>
        </w:rPr>
        <w:t>“</w:t>
      </w:r>
      <w:r>
        <w:rPr>
          <w:rFonts w:hint="eastAsia"/>
          <w:lang w:val="en-US" w:eastAsia="en-US"/>
        </w:rPr>
        <w:t>边际贡献优先</w:t>
      </w:r>
      <w:r>
        <w:rPr>
          <w:rFonts w:hint="eastAsia"/>
          <w:lang w:val="en-US" w:eastAsia="zh-CN"/>
        </w:rPr>
        <w:t>”</w:t>
      </w:r>
      <w:r>
        <w:rPr>
          <w:rFonts w:hint="eastAsia"/>
          <w:lang w:val="en-US" w:eastAsia="en-US"/>
        </w:rPr>
        <w:t>的学科重构</w:t>
      </w:r>
      <w:bookmarkEnd w:id="110"/>
      <w:bookmarkEnd w:id="111"/>
    </w:p>
    <w:p w14:paraId="3D5E0CDC">
      <w:pPr>
        <w:pStyle w:val="4"/>
        <w:bidi w:val="0"/>
        <w:rPr>
          <w:lang w:val="en-US" w:eastAsia="en-US"/>
        </w:rPr>
      </w:pPr>
      <w:bookmarkStart w:id="112" w:name="_Toc16906"/>
      <w:bookmarkStart w:id="113" w:name="_Toc10194"/>
      <w:r>
        <w:rPr>
          <w:rFonts w:hint="eastAsia"/>
          <w:lang w:val="en-US" w:eastAsia="en-US"/>
        </w:rPr>
        <w:t>从</w:t>
      </w:r>
      <w:r>
        <w:rPr>
          <w:rFonts w:hint="eastAsia"/>
          <w:lang w:val="en-US" w:eastAsia="zh-CN"/>
        </w:rPr>
        <w:t>“</w:t>
      </w:r>
      <w:r>
        <w:rPr>
          <w:rFonts w:hint="eastAsia"/>
          <w:lang w:val="en-US" w:eastAsia="en-US"/>
        </w:rPr>
        <w:t>CMI至上</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边际贡献优先</w:t>
      </w:r>
      <w:r>
        <w:rPr>
          <w:rFonts w:hint="eastAsia"/>
          <w:lang w:val="en-US" w:eastAsia="zh-CN"/>
        </w:rPr>
        <w:t>”</w:t>
      </w:r>
      <w:r>
        <w:rPr>
          <w:rFonts w:hint="eastAsia"/>
          <w:lang w:val="en-US" w:eastAsia="en-US"/>
        </w:rPr>
        <w:t>的范式转换</w:t>
      </w:r>
      <w:bookmarkEnd w:id="112"/>
      <w:bookmarkEnd w:id="113"/>
    </w:p>
    <w:p w14:paraId="1B6E87B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传统医院管理理论将CMI视为学科建设的核心指标，认为CMI越高意味着技术能力越强、学科地位越高。然而，第四章的实证研究从根本上挑战了这一假设</w:t>
      </w:r>
      <w:r>
        <w:rPr>
          <w:rStyle w:val="51"/>
          <w:rFonts w:hint="default"/>
        </w:rPr>
        <w:t>[10]</w:t>
      </w:r>
      <w:r>
        <w:rPr>
          <w:rFonts w:hint="eastAsia" w:ascii="Times New Roman" w:hAnsi="Times New Roman" w:eastAsia="宋体" w:cs="Times New Roman"/>
          <w:b w:val="0"/>
          <w:i w:val="0"/>
          <w:kern w:val="0"/>
          <w:sz w:val="24"/>
          <w:szCs w:val="22"/>
          <w:lang w:eastAsia="en-US"/>
        </w:rPr>
        <w:t>。</w:t>
      </w:r>
    </w:p>
    <w:p w14:paraId="5CCD77D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核心发现的策略转化：第四章CMI二次回归显示，CMI与盈余率呈U型关系。这意味着：</w:t>
      </w:r>
    </w:p>
    <w:p w14:paraId="3800781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第一，CMI阈值1.27是盈余率的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最低谷</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——当医院CMI从低水平向1.27攀升时，盈余率反而持续下降，因为成本增速超过收入增速（</w:t>
      </w:r>
      <m:oMath>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r>
          <m:rPr>
            <m:nor/>
            <m:sty m:val="p"/>
          </m:rPr>
          <w:rPr>
            <w:rFonts w:hint="default" w:ascii="Times New Roman" w:hAnsi="Times New Roman" w:eastAsia="宋体" w:cs="Times New Roman"/>
            <w:b w:val="0"/>
            <w:i w:val="0"/>
            <w:sz w:val="24"/>
          </w:rPr>
          <m:t>&gt;∂</m:t>
        </m:r>
        <m:r>
          <m:rPr>
            <m:nor/>
          </m:rPr>
          <w:rPr>
            <w:rFonts w:hint="default" w:ascii="Times New Roman" w:hAnsi="Times New Roman" w:eastAsia="宋体" w:cs="Times New Roman"/>
            <w:i/>
            <w:sz w:val="24"/>
          </w:rPr>
          <m:t>R</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CMI</m:t>
        </m:r>
      </m:oMath>
      <w:r>
        <w:rPr>
          <w:rFonts w:hint="eastAsia" w:ascii="Times New Roman" w:hAnsi="Times New Roman" w:eastAsia="宋体" w:cs="Times New Roman"/>
          <w:b w:val="0"/>
          <w:i w:val="0"/>
          <w:kern w:val="0"/>
          <w:sz w:val="24"/>
          <w:szCs w:val="22"/>
          <w:lang w:eastAsia="en-US"/>
        </w:rPr>
        <w:t>）。</w:t>
      </w:r>
    </w:p>
    <w:p w14:paraId="713826E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第二，只有当CMI显著超越阈值后（如CMI&gt;1.35），规模效应和DRG/DIP高权重分组的溢价才能覆盖成本，盈余率开始回升。</w:t>
      </w:r>
    </w:p>
    <w:p w14:paraId="38EDD21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第三，含时间控制变量后CMI²系数不显著（p=0.192），说明这一U型关系并非不可改变——管理干预可以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压平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U型曲线，降低阈值附近的财务风险。H3医院β₃=+0.69*的显著正斜率即为直接证据。</w:t>
      </w:r>
    </w:p>
    <w:p w14:paraId="09509F4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基于上述发现，本研究建议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确立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的学科发展原则：</w:t>
      </w:r>
    </w:p>
    <w:p w14:paraId="5DF1649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核心命题：在DRG/DIP时代，学科建设的首要目标不是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做得难</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做得赚</w:t>
      </w:r>
      <w:r>
        <w:rPr>
          <w:rFonts w:hint="eastAsia" w:cs="Times New Roman"/>
          <w:b w:val="0"/>
          <w:i w:val="0"/>
          <w:kern w:val="0"/>
          <w:sz w:val="24"/>
          <w:szCs w:val="22"/>
          <w:lang w:eastAsia="zh-CN"/>
        </w:rPr>
        <w:t>”</w:t>
      </w:r>
      <w:r>
        <w:rPr>
          <w:rStyle w:val="51"/>
          <w:rFonts w:hint="eastAsia"/>
        </w:rPr>
        <w:t>[1</w:t>
      </w:r>
      <w:r>
        <w:rPr>
          <w:rStyle w:val="51"/>
          <w:rFonts w:hint="eastAsia"/>
          <w:lang w:val="en-US" w:eastAsia="zh-CN"/>
        </w:rPr>
        <w:t>2</w:t>
      </w:r>
      <w:r>
        <w:rPr>
          <w:rStyle w:val="51"/>
          <w:rFonts w:hint="eastAsia"/>
        </w:rPr>
        <w:t>]</w:t>
      </w:r>
      <w:r>
        <w:rPr>
          <w:rFonts w:hint="eastAsia" w:ascii="Times New Roman" w:hAnsi="Times New Roman" w:eastAsia="宋体" w:cs="Times New Roman"/>
          <w:b w:val="0"/>
          <w:i w:val="0"/>
          <w:kern w:val="0"/>
          <w:sz w:val="24"/>
          <w:szCs w:val="22"/>
          <w:lang w:eastAsia="en-US"/>
        </w:rPr>
        <w:t>。只有边际贡献为正的CMI增长，才是有效增长。</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不等于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放弃高CMI</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优化高CMI的成本结构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。为检验该命题的临床接受度，本研究对三家医院15位科主任进行了半结构化访谈（附录</w:t>
      </w:r>
      <w:r>
        <w:rPr>
          <w:rFonts w:hint="eastAsia" w:cs="Times New Roman"/>
          <w:b w:val="0"/>
          <w:i w:val="0"/>
          <w:kern w:val="0"/>
          <w:sz w:val="24"/>
          <w:szCs w:val="22"/>
          <w:lang w:val="en-US" w:eastAsia="zh-CN"/>
        </w:rPr>
        <w:t>A</w:t>
      </w:r>
      <w:r>
        <w:rPr>
          <w:rFonts w:hint="eastAsia" w:ascii="Times New Roman" w:hAnsi="Times New Roman" w:eastAsia="宋体" w:cs="Times New Roman"/>
          <w:b w:val="0"/>
          <w:i w:val="0"/>
          <w:kern w:val="0"/>
          <w:sz w:val="24"/>
          <w:szCs w:val="22"/>
          <w:lang w:eastAsia="en-US"/>
        </w:rPr>
        <w:t>）。结果显示，73.3%的受访者对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无边际贡献的CMI增长是无效增长</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表示认同（非常认同+基本认同），均分3.87/5，且无人选择</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不认同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。H3神经外科主任反馈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理解经济逻辑，但急危重症科室需要特评机制保护</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，该建议已纳入第六章伦理安全网设计。</w:t>
      </w:r>
    </w:p>
    <w:p w14:paraId="25E6093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操作定义：</w:t>
      </w:r>
    </w:p>
    <w:p w14:paraId="54F8B316">
      <w:pPr>
        <w:widowControl/>
        <w:spacing w:before="0" w:after="0" w:line="400" w:lineRule="exact"/>
        <w:ind w:firstLine="480" w:firstLineChars="0"/>
        <w:jc w:val="both"/>
        <w:textAlignment w:val="auto"/>
        <w:rPr>
          <w:rFonts w:hint="default" w:hAnsi="Times New Roman" w:eastAsia="宋体" w:cs="Times New Roman"/>
          <w:i w:val="0"/>
          <w:sz w:val="24"/>
        </w:rPr>
      </w:pPr>
      <m:oMathPara>
        <m:oMath>
          <m:r>
            <m:rPr>
              <m:nor/>
              <m:sty m:val="p"/>
            </m:rPr>
            <w:rPr>
              <w:rFonts w:hint="default" w:ascii="Times New Roman" w:hAnsi="Times New Roman" w:eastAsia="宋体" w:cs="Times New Roman"/>
              <w:b w:val="0"/>
              <w:i w:val="0"/>
              <w:sz w:val="24"/>
            </w:rPr>
            <m:t>边际贡献=</m:t>
          </m:r>
          <m:r>
            <m:rPr>
              <m:nor/>
            </m:rPr>
            <w:rPr>
              <w:rFonts w:hint="default" w:ascii="Times New Roman" w:hAnsi="Times New Roman" w:eastAsia="宋体" w:cs="Times New Roman"/>
              <w:i/>
              <w:sz w:val="24"/>
            </w:rPr>
            <m:t>DRG</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DIP</m:t>
          </m:r>
          <m:r>
            <m:rPr>
              <m:nor/>
              <m:sty m:val="p"/>
            </m:rPr>
            <w:rPr>
              <w:rFonts w:hint="default" w:ascii="Times New Roman" w:hAnsi="Times New Roman" w:eastAsia="宋体" w:cs="Times New Roman"/>
              <w:b w:val="0"/>
              <w:i w:val="0"/>
              <w:sz w:val="24"/>
            </w:rPr>
            <m:t>实际拨付额−病种实际成本</m:t>
          </m:r>
        </m:oMath>
      </m:oMathPara>
    </w:p>
    <w:p w14:paraId="1C8A0E1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m:oMathPara>
        <m:oMath>
          <m:r>
            <m:rPr>
              <m:nor/>
              <m:sty m:val="p"/>
            </m:rPr>
            <w:rPr>
              <w:rFonts w:hint="default" w:ascii="Times New Roman" w:hAnsi="Times New Roman" w:eastAsia="宋体" w:cs="Times New Roman"/>
              <w:b w:val="0"/>
              <w:i w:val="0"/>
              <w:sz w:val="24"/>
            </w:rPr>
            <m:t>边际贡献率=边际贡献/</m:t>
          </m:r>
          <m:r>
            <m:rPr>
              <m:nor/>
            </m:rPr>
            <w:rPr>
              <w:rFonts w:hint="default" w:ascii="Times New Roman" w:hAnsi="Times New Roman" w:eastAsia="宋体" w:cs="Times New Roman"/>
              <w:i/>
              <w:sz w:val="24"/>
            </w:rPr>
            <m:t>DRG</m:t>
          </m:r>
          <m:r>
            <m:rPr>
              <m:nor/>
              <m:sty m:val="p"/>
            </m:rPr>
            <w:rPr>
              <w:rFonts w:hint="default" w:cs="Times New Roman"/>
              <w:b w:val="0"/>
              <w:i w:val="0"/>
              <w:sz w:val="24"/>
              <w:lang w:val="en-US" w:eastAsia="zh-CN"/>
            </w:rPr>
            <m:t xml:space="preserve"> </m:t>
          </m:r>
          <m:r>
            <m:rPr>
              <m:nor/>
            </m:rPr>
            <w:rPr>
              <w:rFonts w:hint="default" w:cs="Times New Roman"/>
              <w:i/>
              <w:sz w:val="24"/>
              <w:lang w:val="en-US" w:eastAsia="zh-CN"/>
            </w:rPr>
            <m:t>or</m:t>
          </m:r>
          <m:r>
            <m:rPr>
              <m:nor/>
              <m:sty m:val="p"/>
            </m:rPr>
            <w:rPr>
              <w:rFonts w:hint="default" w:cs="Times New Roman"/>
              <w:b w:val="0"/>
              <w:i w:val="0"/>
              <w:sz w:val="24"/>
              <w:lang w:val="en-US" w:eastAsia="zh-CN"/>
            </w:rPr>
            <m:t xml:space="preserve"> </m:t>
          </m:r>
          <m:r>
            <m:rPr>
              <m:nor/>
            </m:rPr>
            <w:rPr>
              <w:rFonts w:hint="default" w:ascii="Times New Roman" w:hAnsi="Times New Roman" w:eastAsia="宋体" w:cs="Times New Roman"/>
              <w:i/>
              <w:sz w:val="24"/>
            </w:rPr>
            <m:t>DIP</m:t>
          </m:r>
          <m:r>
            <m:rPr>
              <m:nor/>
              <m:sty m:val="p"/>
            </m:rPr>
            <w:rPr>
              <w:rFonts w:hint="default" w:ascii="Times New Roman" w:hAnsi="Times New Roman" w:eastAsia="宋体" w:cs="Times New Roman"/>
              <w:b w:val="0"/>
              <w:i w:val="0"/>
              <w:sz w:val="24"/>
            </w:rPr>
            <m:t>实际拨付额×100%</m:t>
          </m:r>
        </m:oMath>
      </m:oMathPara>
    </w:p>
    <w:p w14:paraId="2EBB7D4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决策规则：</w:t>
      </w:r>
    </w:p>
    <w:p w14:paraId="77C2654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边际贡献率 &gt; 10%：积极发展——该学科处于U型曲线右侧（CMI&gt;阈值且成本控制良好），是价值创造的主力</w:t>
      </w:r>
    </w:p>
    <w:p w14:paraId="1AF47AE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 xml:space="preserve">边际贡献率 </w:t>
      </w:r>
      <w:r>
        <w:rPr>
          <w:rFonts w:hint="eastAsia" w:cs="Times New Roman"/>
          <w:b w:val="0"/>
          <w:i w:val="0"/>
          <w:kern w:val="0"/>
          <w:sz w:val="24"/>
          <w:szCs w:val="22"/>
          <w:lang w:eastAsia="zh-CN"/>
        </w:rPr>
        <w:t>0%—10%</w:t>
      </w:r>
      <w:r>
        <w:rPr>
          <w:rFonts w:hint="eastAsia" w:ascii="Times New Roman" w:hAnsi="Times New Roman" w:eastAsia="宋体" w:cs="Times New Roman"/>
          <w:b w:val="0"/>
          <w:i w:val="0"/>
          <w:kern w:val="0"/>
          <w:sz w:val="24"/>
          <w:szCs w:val="22"/>
          <w:lang w:eastAsia="en-US"/>
        </w:rPr>
        <w:t>：效率优化——该学科可能处于阈值附近，需通过成本控制向右侧推移</w:t>
      </w:r>
    </w:p>
    <w:p w14:paraId="33660D4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边际贡献率 &lt; 0%：战略收缩或成本重构——该学科处于U型曲线左侧（CMI&lt;阈值）或阈值区间（CMI≈阈值），需首先解决成本问题而非盲目扩张</w:t>
      </w:r>
    </w:p>
    <w:p w14:paraId="0ED5D70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w:r>
        <w:rPr>
          <w:rFonts w:hint="eastAsia" w:ascii="Times New Roman" w:hAnsi="Times New Roman" w:eastAsia="宋体" w:cs="Times New Roman"/>
          <w:b w:val="0"/>
          <w:i w:val="0"/>
          <w:kern w:val="0"/>
          <w:sz w:val="24"/>
          <w:szCs w:val="22"/>
          <w:lang w:eastAsia="en-US"/>
        </w:rPr>
        <w:t>H3医院案例：H3均值CMI=1.31，略高于阈值1.27，正处于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刚刚跨过陷阱底部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的关键位置。其2024年下半年至2025年的改善轨迹（盈余率从-25%至-12%，CMI维持1.31）证明：通过针对性成本控制（高值耗材集采降价幅度</w:t>
      </w:r>
      <w:r>
        <w:rPr>
          <w:rFonts w:hint="eastAsia" w:cs="Times New Roman"/>
          <w:b w:val="0"/>
          <w:i w:val="0"/>
          <w:kern w:val="0"/>
          <w:sz w:val="24"/>
          <w:szCs w:val="22"/>
          <w:lang w:eastAsia="zh-CN"/>
        </w:rPr>
        <w:t>25%—60%</w:t>
      </w:r>
      <w:r>
        <w:rPr>
          <w:rFonts w:hint="eastAsia" w:ascii="Times New Roman" w:hAnsi="Times New Roman" w:eastAsia="宋体" w:cs="Times New Roman"/>
          <w:b w:val="0"/>
          <w:i w:val="0"/>
          <w:kern w:val="0"/>
          <w:sz w:val="24"/>
          <w:szCs w:val="22"/>
          <w:lang w:eastAsia="en-US"/>
        </w:rPr>
        <w:t>、平均约35%，临床路径覆盖率提升至75%、DRG编码准确率提升至89%），高CMI医院可以在不降低技术难度的前提下实现盈利改善——即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跨越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U型曲线的谷底，而非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退回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到低CMI区间</w:t>
      </w:r>
      <w:r>
        <w:rPr>
          <w:rStyle w:val="51"/>
          <w:rFonts w:hint="default"/>
        </w:rPr>
        <w:t>[10]</w:t>
      </w:r>
      <w:r>
        <w:rPr>
          <w:rFonts w:hint="eastAsia" w:cs="Times New Roman"/>
          <w:b w:val="0"/>
          <w:i w:val="0"/>
          <w:kern w:val="0"/>
          <w:sz w:val="24"/>
          <w:szCs w:val="22"/>
          <w:lang w:eastAsia="zh-CN"/>
        </w:rPr>
        <w:t>。</w:t>
      </w:r>
    </w:p>
    <w:p w14:paraId="265ED442">
      <w:pPr>
        <w:pStyle w:val="4"/>
        <w:bidi w:val="0"/>
        <w:rPr>
          <w:lang w:val="en-US" w:eastAsia="en-US"/>
        </w:rPr>
      </w:pPr>
      <w:bookmarkStart w:id="114" w:name="_Toc26807"/>
      <w:bookmarkStart w:id="115" w:name="_Toc9922"/>
      <w:r>
        <w:rPr>
          <w:rFonts w:hint="eastAsia"/>
          <w:lang w:val="en-US" w:eastAsia="en-US"/>
        </w:rPr>
        <w:t>学科画像四象限模型</w:t>
      </w:r>
      <w:bookmarkEnd w:id="114"/>
      <w:bookmarkEnd w:id="115"/>
    </w:p>
    <w:p w14:paraId="3A4A502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为将</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原则落地为可操作的管理工具，本研究建议建立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CMI-边际贡献</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四象限学科画像模型</w:t>
      </w:r>
      <w:r>
        <w:rPr>
          <w:rFonts w:hint="eastAsia" w:ascii="Times New Roman" w:hAnsi="Times New Roman" w:eastAsia="宋体" w:cs="Times New Roman"/>
          <w:b w:val="0"/>
          <w:i w:val="0"/>
          <w:kern w:val="0"/>
          <w:sz w:val="24"/>
          <w:szCs w:val="22"/>
          <w:lang w:eastAsia="en-US"/>
        </w:rPr>
        <w:t>。</w:t>
      </w:r>
    </w:p>
    <w:p w14:paraId="166C4080">
      <w:pPr>
        <w:pStyle w:val="12"/>
        <w:bidi w:val="0"/>
        <w:rPr>
          <w:lang w:eastAsia="en-US"/>
        </w:rPr>
      </w:pPr>
      <w:r>
        <w:t>图 5.2: 学科画像四象限模型（CMI-边际贡献矩阵）</w:t>
      </w:r>
    </w:p>
    <w:p w14:paraId="0A2CB517">
      <w:pPr>
        <w:widowControl/>
        <w:spacing w:after="200" w:line="276" w:lineRule="auto"/>
        <w:ind w:firstLine="0" w:firstLineChars="0"/>
        <w:jc w:val="center"/>
        <w:textAlignment w:val="auto"/>
        <w:rPr>
          <w:rFonts w:hint="eastAsia" w:ascii="Cambria" w:hAnsi="Cambria" w:eastAsia="宋体" w:cs="Times New Roman"/>
          <w:color w:val="FF0000"/>
          <w:kern w:val="0"/>
          <w:sz w:val="22"/>
          <w:szCs w:val="22"/>
          <w:lang w:eastAsia="zh-CN"/>
        </w:rPr>
      </w:pPr>
      <w:r>
        <w:rPr>
          <w:rFonts w:hint="eastAsia" w:ascii="Cambria" w:hAnsi="Cambria" w:eastAsia="宋体" w:cs="Times New Roman"/>
          <w:color w:val="FF0000"/>
          <w:kern w:val="0"/>
          <w:sz w:val="22"/>
          <w:szCs w:val="22"/>
          <w:lang w:eastAsia="zh-CN"/>
        </w:rPr>
        <w:drawing>
          <wp:inline distT="0" distB="0" distL="114300" distR="114300">
            <wp:extent cx="5687060" cy="4534535"/>
            <wp:effectExtent l="0" t="0" r="8890" b="18415"/>
            <wp:docPr id="13" name="图片 13" descr="C:/Users/Think/Downloads/fig5_1_quadrant_model (1).pngfig5_1_quadrant_mod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Think/Downloads/fig5_1_quadrant_model (1).pngfig5_1_quadrant_model (1)"/>
                    <pic:cNvPicPr>
                      <a:picLocks noChangeAspect="1"/>
                    </pic:cNvPicPr>
                  </pic:nvPicPr>
                  <pic:blipFill>
                    <a:blip r:embed="rId28"/>
                    <a:srcRect t="6" b="6"/>
                    <a:stretch>
                      <a:fillRect/>
                    </a:stretch>
                  </pic:blipFill>
                  <pic:spPr>
                    <a:xfrm>
                      <a:off x="0" y="0"/>
                      <a:ext cx="5687060" cy="4534535"/>
                    </a:xfrm>
                    <a:prstGeom prst="rect">
                      <a:avLst/>
                    </a:prstGeom>
                  </pic:spPr>
                </pic:pic>
              </a:graphicData>
            </a:graphic>
          </wp:inline>
        </w:drawing>
      </w:r>
    </w:p>
    <w:p w14:paraId="48B2989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模型参数：基于第四章的CMI阈值，横轴CMI分界线建议按医院类型差异化设定——H1类医院（DRG支付、综合型）设为CMI=0.80，H2类医院（DIP支付、三级综合）设为CMI=1.03，H3类医院（DIP支付、</w:t>
      </w:r>
      <w:r>
        <w:rPr>
          <w:rFonts w:hint="eastAsia"/>
          <w:lang w:val="en-US" w:eastAsia="zh-CN"/>
        </w:rPr>
        <w:t>专科特色</w:t>
      </w:r>
      <w:r>
        <w:rPr>
          <w:rFonts w:hint="eastAsia" w:ascii="Times New Roman" w:hAnsi="Times New Roman" w:eastAsia="宋体" w:cs="Times New Roman"/>
          <w:b w:val="0"/>
          <w:i w:val="0"/>
          <w:kern w:val="0"/>
          <w:sz w:val="24"/>
          <w:szCs w:val="22"/>
          <w:lang w:eastAsia="en-US"/>
        </w:rPr>
        <w:t>）设为CMI=1.27。此差异化设定反映了三院CMI阈值递增趋势与支付体系复杂度正相关的实证发现。纵轴边际贡献率分界线统一设定为8%。</w:t>
      </w:r>
    </w:p>
    <w:p w14:paraId="2B77BBE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象限I（战略发展）</w:t>
      </w:r>
      <w:r>
        <w:rPr>
          <w:rFonts w:hint="eastAsia" w:ascii="Times New Roman" w:hAnsi="Times New Roman" w:eastAsia="宋体" w:cs="Times New Roman"/>
          <w:b w:val="0"/>
          <w:i w:val="0"/>
          <w:kern w:val="0"/>
          <w:sz w:val="24"/>
          <w:szCs w:val="22"/>
          <w:lang w:eastAsia="en-US"/>
        </w:rPr>
        <w:t>：高CMI + 高边际贡献。这类学科已成功</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跨越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U型曲线阈值，既有技术含量又能实现盈利，是医院的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明星业务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。建议策略：优先配置资源、重点引进人才、设备优先投入。典型学科：骨科关节、心内介入等。管理重点：维持CMI水平的同时巩固成本优势，防止因规模扩张导致成本失控而</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滑回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阈值区间。</w:t>
      </w:r>
    </w:p>
    <w:p w14:paraId="206C8E2B">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象限</w:t>
      </w:r>
      <w:r>
        <w:rPr>
          <w:rFonts w:hint="eastAsia" w:ascii="Times New Roman" w:hAnsi="Times New Roman" w:eastAsia="宋体" w:cs="Times New Roman"/>
          <w:b w:val="0"/>
          <w:i w:val="0"/>
          <w:kern w:val="0"/>
          <w:sz w:val="24"/>
          <w:szCs w:val="22"/>
          <w:lang w:eastAsia="zh-CN"/>
        </w:rPr>
        <w:t>Ⅱ</w:t>
      </w:r>
      <w:r>
        <w:rPr>
          <w:rFonts w:hint="eastAsia" w:ascii="Times New Roman" w:hAnsi="Times New Roman" w:eastAsia="宋体" w:cs="Times New Roman"/>
          <w:b w:val="0"/>
          <w:i w:val="0"/>
          <w:kern w:val="0"/>
          <w:sz w:val="24"/>
          <w:szCs w:val="22"/>
          <w:lang w:eastAsia="en-US"/>
        </w:rPr>
        <w:t>（效率优化）：低CMI + 高边际贡献。这类学科技术难度不高但盈利稳定，是医院的</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现金奶牛</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。建议策略：标准化运营、规模化复制、严控成本波动。典型学科：康复医学、中医内科、全科医学等。管理重点：通过临床路径标准化提升</w:t>
      </w:r>
      <w:r>
        <w:rPr>
          <w:rFonts w:hint="eastAsia" w:cs="Times New Roman"/>
          <w:b w:val="0"/>
          <w:i w:val="0"/>
          <w:kern w:val="0"/>
          <w:sz w:val="24"/>
          <w:szCs w:val="22"/>
          <w:lang w:val="en-US" w:eastAsia="zh-CN"/>
        </w:rPr>
        <w:t>此类</w:t>
      </w:r>
      <w:r>
        <w:rPr>
          <w:rFonts w:hint="eastAsia" w:ascii="Times New Roman" w:hAnsi="Times New Roman" w:eastAsia="宋体" w:cs="Times New Roman"/>
          <w:b w:val="0"/>
          <w:i w:val="0"/>
          <w:kern w:val="0"/>
          <w:sz w:val="24"/>
          <w:szCs w:val="22"/>
          <w:lang w:eastAsia="en-US"/>
        </w:rPr>
        <w:t>服务可复制性，在保障质量前提下扩大住院服务规模，从而实现总盈余贡献最大化。第四章 GRA 分析显示，H2 医院“住院收入”与盈余率关联度较高（γ=0.751），表明其业务规模扩张与盈利能力提升具有协同趋势，为规模化运营策略提供了实证支持。</w:t>
      </w:r>
    </w:p>
    <w:p w14:paraId="2238A44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象限</w:t>
      </w:r>
      <w:r>
        <w:rPr>
          <w:rFonts w:hint="eastAsia" w:ascii="Times New Roman" w:hAnsi="Times New Roman" w:eastAsia="宋体" w:cs="Times New Roman"/>
          <w:b w:val="0"/>
          <w:i w:val="0"/>
          <w:kern w:val="0"/>
          <w:sz w:val="24"/>
          <w:szCs w:val="22"/>
          <w:lang w:eastAsia="zh-CN"/>
        </w:rPr>
        <w:t>Ⅲ</w:t>
      </w:r>
      <w:r>
        <w:rPr>
          <w:rFonts w:hint="eastAsia" w:ascii="Times New Roman" w:hAnsi="Times New Roman" w:eastAsia="宋体" w:cs="Times New Roman"/>
          <w:b w:val="0"/>
          <w:i w:val="0"/>
          <w:kern w:val="0"/>
          <w:sz w:val="24"/>
          <w:szCs w:val="22"/>
          <w:lang w:eastAsia="en-US"/>
        </w:rPr>
        <w:t>（战略观察）：低CMI + 低边际贡献。这类学科既无技术优势，盈利能力也弱。建议策略：维持现状、严控投入、伺机转型。典型学科：皮肤科、眼科门诊等。</w:t>
      </w:r>
    </w:p>
    <w:p w14:paraId="660A3E4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ascii="Times New Roman" w:hAnsi="Times New Roman" w:eastAsia="宋体" w:cs="Times New Roman"/>
          <w:b w:val="0"/>
          <w:i w:val="0"/>
          <w:kern w:val="0"/>
          <w:sz w:val="24"/>
          <w:szCs w:val="22"/>
          <w:lang w:eastAsia="zh-CN"/>
        </w:rPr>
        <w:t>Ⅳ</w:t>
      </w:r>
      <w:r>
        <w:rPr>
          <w:rFonts w:hint="eastAsia" w:ascii="Times New Roman" w:hAnsi="Times New Roman" w:eastAsia="宋体" w:cs="Times New Roman"/>
          <w:b w:val="0"/>
          <w:i w:val="0"/>
          <w:kern w:val="0"/>
          <w:sz w:val="24"/>
          <w:szCs w:val="22"/>
          <w:lang w:eastAsia="en-US"/>
        </w:rPr>
        <w:t>（逐步收缩或成本重构）：高CMI + 负边际贡献。这是</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ascii="Times New Roman" w:hAnsi="Times New Roman"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高发区——对应U型曲线阈值附近区域。这类学科技术难度高但成本失控导致亏损。建议策略：区分两种情形。若CMI略高于阈值（如H3，CMI=1.31&gt;CMI*=1.27），应优先通过成本重构（集采、路径标准化）推动其向象限I跃迁——第四章已证明此路径可行（β₃=+0.69*）。若CMI远低于阈值且边际贡献持续为负，则考虑战略退出。典型学科：心脏大血管、器官移植、重症ICU等——这些学科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退出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或</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重构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决策需结合医院区域定位和社会责任综合考量。</w:t>
      </w:r>
    </w:p>
    <w:p w14:paraId="7A3CC0E3">
      <w:pPr>
        <w:pStyle w:val="4"/>
        <w:bidi w:val="0"/>
        <w:rPr>
          <w:lang w:val="en-US" w:eastAsia="en-US"/>
        </w:rPr>
      </w:pPr>
      <w:bookmarkStart w:id="116" w:name="_Toc23579"/>
      <w:bookmarkStart w:id="117" w:name="_Toc12289"/>
      <w:r>
        <w:rPr>
          <w:rFonts w:hint="eastAsia"/>
          <w:lang w:val="en-US" w:eastAsia="en-US"/>
        </w:rPr>
        <w:t>CAPEX配置原则：告别</w:t>
      </w:r>
      <w:r>
        <w:rPr>
          <w:rFonts w:hint="eastAsia"/>
          <w:lang w:val="en-US" w:eastAsia="zh-CN"/>
        </w:rPr>
        <w:t>“</w:t>
      </w:r>
      <w:r>
        <w:rPr>
          <w:rFonts w:hint="eastAsia"/>
          <w:lang w:val="en-US" w:eastAsia="en-US"/>
        </w:rPr>
        <w:t>设备崇拜</w:t>
      </w:r>
      <w:r>
        <w:rPr>
          <w:rFonts w:hint="eastAsia"/>
          <w:lang w:val="en-US" w:eastAsia="zh-CN"/>
        </w:rPr>
        <w:t>”</w:t>
      </w:r>
      <w:bookmarkEnd w:id="116"/>
      <w:bookmarkEnd w:id="117"/>
    </w:p>
    <w:p w14:paraId="5CDE806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基于四象限模型，本研究建议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边际贡献导向</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的CAPEX（资本支出）配置原则</w:t>
      </w:r>
      <w:r>
        <w:rPr>
          <w:rFonts w:hint="eastAsia" w:ascii="Times New Roman" w:hAnsi="Times New Roman" w:eastAsia="宋体" w:cs="Times New Roman"/>
          <w:b w:val="0"/>
          <w:i w:val="0"/>
          <w:kern w:val="0"/>
          <w:sz w:val="24"/>
          <w:szCs w:val="22"/>
          <w:lang w:eastAsia="en-US"/>
        </w:rPr>
        <w:t>：</w:t>
      </w:r>
    </w:p>
    <w:p w14:paraId="2C2FAF1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原则一：象限优先级原则</w:t>
      </w:r>
    </w:p>
    <w:p w14:paraId="4DCC653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CAPEX配置的优先级顺序为：</w:t>
      </w:r>
      <w:r>
        <w:rPr>
          <w:rFonts w:hint="eastAsia" w:ascii="Times New Roman" w:hAnsi="Times New Roman" w:eastAsia="宋体" w:cs="Times New Roman"/>
          <w:b/>
          <w:i w:val="0"/>
          <w:kern w:val="0"/>
          <w:sz w:val="24"/>
          <w:szCs w:val="22"/>
          <w:lang w:eastAsia="en-US"/>
        </w:rPr>
        <w:t>象限I &gt; 象限</w:t>
      </w:r>
      <w:r>
        <w:rPr>
          <w:rFonts w:hint="eastAsia" w:cs="Times New Roman"/>
          <w:b/>
          <w:i w:val="0"/>
          <w:kern w:val="0"/>
          <w:sz w:val="24"/>
          <w:szCs w:val="22"/>
          <w:lang w:eastAsia="zh-CN"/>
        </w:rPr>
        <w:t>Ⅱ</w:t>
      </w:r>
      <w:r>
        <w:rPr>
          <w:rFonts w:hint="eastAsia" w:ascii="Times New Roman" w:hAnsi="Times New Roman" w:eastAsia="宋体" w:cs="Times New Roman"/>
          <w:b/>
          <w:i w:val="0"/>
          <w:kern w:val="0"/>
          <w:sz w:val="24"/>
          <w:szCs w:val="22"/>
          <w:lang w:eastAsia="en-US"/>
        </w:rPr>
        <w:t xml:space="preserve"> &gt; 象限</w:t>
      </w:r>
      <w:r>
        <w:rPr>
          <w:rFonts w:hint="eastAsia" w:cs="Times New Roman"/>
          <w:b/>
          <w:i w:val="0"/>
          <w:kern w:val="0"/>
          <w:sz w:val="24"/>
          <w:szCs w:val="22"/>
          <w:lang w:eastAsia="zh-CN"/>
        </w:rPr>
        <w:t>Ⅲ</w:t>
      </w:r>
      <w:r>
        <w:rPr>
          <w:rFonts w:hint="eastAsia" w:ascii="Times New Roman" w:hAnsi="Times New Roman" w:eastAsia="宋体" w:cs="Times New Roman"/>
          <w:b/>
          <w:i w:val="0"/>
          <w:kern w:val="0"/>
          <w:sz w:val="24"/>
          <w:szCs w:val="22"/>
          <w:lang w:eastAsia="en-US"/>
        </w:rPr>
        <w:t xml:space="preserve"> &gt; 象限</w:t>
      </w:r>
      <w:r>
        <w:rPr>
          <w:rFonts w:hint="eastAsia" w:cs="Times New Roman"/>
          <w:b/>
          <w:i w:val="0"/>
          <w:kern w:val="0"/>
          <w:sz w:val="24"/>
          <w:szCs w:val="22"/>
          <w:lang w:eastAsia="zh-CN"/>
        </w:rPr>
        <w:t>Ⅳ</w:t>
      </w:r>
      <w:r>
        <w:rPr>
          <w:rFonts w:hint="eastAsia" w:ascii="Times New Roman" w:hAnsi="Times New Roman" w:eastAsia="宋体" w:cs="Times New Roman"/>
          <w:b w:val="0"/>
          <w:i w:val="0"/>
          <w:kern w:val="0"/>
          <w:sz w:val="24"/>
          <w:szCs w:val="22"/>
          <w:lang w:eastAsia="en-US"/>
        </w:rPr>
        <w:t>。</w:t>
      </w:r>
    </w:p>
    <w:p w14:paraId="142BFD5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具体而言：</w:t>
      </w:r>
    </w:p>
    <w:p w14:paraId="72CB749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象限I学科：CAPEX预算上限不设限，根据业务发展需求灵活配置</w:t>
      </w:r>
    </w:p>
    <w:p w14:paraId="7782FA5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cs="Times New Roman"/>
          <w:b w:val="0"/>
          <w:i w:val="0"/>
          <w:kern w:val="0"/>
          <w:sz w:val="24"/>
          <w:szCs w:val="22"/>
          <w:lang w:eastAsia="zh-CN"/>
        </w:rPr>
        <w:t>Ⅱ</w:t>
      </w:r>
      <w:r>
        <w:rPr>
          <w:rFonts w:hint="eastAsia" w:ascii="Times New Roman" w:hAnsi="Times New Roman" w:eastAsia="宋体" w:cs="Times New Roman"/>
          <w:b w:val="0"/>
          <w:i w:val="0"/>
          <w:kern w:val="0"/>
          <w:sz w:val="24"/>
          <w:szCs w:val="22"/>
          <w:lang w:eastAsia="en-US"/>
        </w:rPr>
        <w:t>学科：CAPEX预算按年收入的</w:t>
      </w:r>
      <w:r>
        <w:rPr>
          <w:rFonts w:hint="eastAsia" w:cs="Times New Roman"/>
          <w:b w:val="0"/>
          <w:i w:val="0"/>
          <w:kern w:val="0"/>
          <w:sz w:val="24"/>
          <w:szCs w:val="22"/>
          <w:lang w:eastAsia="zh-CN"/>
        </w:rPr>
        <w:t>5%—8%</w:t>
      </w:r>
      <w:r>
        <w:rPr>
          <w:rFonts w:hint="eastAsia" w:ascii="Times New Roman" w:hAnsi="Times New Roman" w:eastAsia="宋体" w:cs="Times New Roman"/>
          <w:b w:val="0"/>
          <w:i w:val="0"/>
          <w:kern w:val="0"/>
          <w:sz w:val="24"/>
          <w:szCs w:val="22"/>
          <w:lang w:eastAsia="en-US"/>
        </w:rPr>
        <w:t>配置，聚焦效率提升</w:t>
      </w:r>
    </w:p>
    <w:p w14:paraId="4B12779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cs="Times New Roman"/>
          <w:b w:val="0"/>
          <w:i w:val="0"/>
          <w:kern w:val="0"/>
          <w:sz w:val="24"/>
          <w:szCs w:val="22"/>
          <w:lang w:eastAsia="zh-CN"/>
        </w:rPr>
        <w:t>Ⅲ</w:t>
      </w:r>
      <w:r>
        <w:rPr>
          <w:rFonts w:hint="eastAsia" w:ascii="Times New Roman" w:hAnsi="Times New Roman" w:eastAsia="宋体" w:cs="Times New Roman"/>
          <w:b w:val="0"/>
          <w:i w:val="0"/>
          <w:kern w:val="0"/>
          <w:sz w:val="24"/>
          <w:szCs w:val="22"/>
          <w:lang w:eastAsia="en-US"/>
        </w:rPr>
        <w:t>学科：CAPEX预算按年收入的</w:t>
      </w:r>
      <w:r>
        <w:rPr>
          <w:rFonts w:hint="eastAsia" w:cs="Times New Roman"/>
          <w:b w:val="0"/>
          <w:i w:val="0"/>
          <w:kern w:val="0"/>
          <w:sz w:val="24"/>
          <w:szCs w:val="22"/>
          <w:lang w:eastAsia="zh-CN"/>
        </w:rPr>
        <w:t>2%—3%</w:t>
      </w:r>
      <w:r>
        <w:rPr>
          <w:rFonts w:hint="eastAsia" w:ascii="Times New Roman" w:hAnsi="Times New Roman" w:eastAsia="宋体" w:cs="Times New Roman"/>
          <w:b w:val="0"/>
          <w:i w:val="0"/>
          <w:kern w:val="0"/>
          <w:sz w:val="24"/>
          <w:szCs w:val="22"/>
          <w:lang w:eastAsia="en-US"/>
        </w:rPr>
        <w:t>配置，仅满足基本更新</w:t>
      </w:r>
    </w:p>
    <w:p w14:paraId="714522E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象限</w:t>
      </w:r>
      <w:r>
        <w:rPr>
          <w:rFonts w:hint="eastAsia" w:cs="Times New Roman"/>
          <w:b w:val="0"/>
          <w:i w:val="0"/>
          <w:kern w:val="0"/>
          <w:sz w:val="24"/>
          <w:szCs w:val="22"/>
          <w:lang w:eastAsia="zh-CN"/>
        </w:rPr>
        <w:t>Ⅳ</w:t>
      </w:r>
      <w:r>
        <w:rPr>
          <w:rFonts w:hint="eastAsia" w:ascii="Times New Roman" w:hAnsi="Times New Roman" w:eastAsia="宋体" w:cs="Times New Roman"/>
          <w:b w:val="0"/>
          <w:i w:val="0"/>
          <w:kern w:val="0"/>
          <w:sz w:val="24"/>
          <w:szCs w:val="22"/>
          <w:lang w:eastAsia="en-US"/>
        </w:rPr>
        <w:t>学科：</w:t>
      </w:r>
      <w:r>
        <w:rPr>
          <w:rFonts w:hint="eastAsia" w:ascii="Times New Roman" w:hAnsi="Times New Roman" w:eastAsia="宋体" w:cs="Times New Roman"/>
          <w:b w:val="0"/>
          <w:bCs/>
          <w:i w:val="0"/>
          <w:kern w:val="0"/>
          <w:sz w:val="24"/>
          <w:szCs w:val="22"/>
          <w:lang w:eastAsia="en-US"/>
        </w:rPr>
        <w:t>原则上冻结新增CAPEX，</w:t>
      </w:r>
      <w:r>
        <w:rPr>
          <w:rFonts w:ascii="宋体" w:hAnsi="宋体" w:eastAsia="宋体" w:cs="宋体"/>
          <w:sz w:val="24"/>
          <w:szCs w:val="24"/>
        </w:rPr>
        <w:t>除非有明确的成本重构方案和</w:t>
      </w:r>
      <w:r>
        <w:rPr>
          <w:rFonts w:hint="eastAsia" w:ascii="宋体" w:hAnsi="宋体" w:cs="宋体"/>
          <w:sz w:val="24"/>
          <w:szCs w:val="24"/>
          <w:lang w:eastAsia="zh-CN"/>
        </w:rPr>
        <w:t>“</w:t>
      </w:r>
      <w:r>
        <w:rPr>
          <w:rFonts w:ascii="宋体" w:hAnsi="宋体" w:eastAsia="宋体" w:cs="宋体"/>
          <w:sz w:val="24"/>
          <w:szCs w:val="24"/>
        </w:rPr>
        <w:t>向象限I跃迁</w:t>
      </w:r>
      <w:r>
        <w:rPr>
          <w:rFonts w:hint="eastAsia" w:ascii="宋体" w:hAnsi="宋体" w:cs="宋体"/>
          <w:sz w:val="24"/>
          <w:szCs w:val="24"/>
          <w:lang w:eastAsia="zh-CN"/>
        </w:rPr>
        <w:t>”</w:t>
      </w:r>
      <w:r>
        <w:rPr>
          <w:rFonts w:ascii="宋体" w:hAnsi="宋体" w:eastAsia="宋体" w:cs="宋体"/>
          <w:sz w:val="24"/>
          <w:szCs w:val="24"/>
        </w:rPr>
        <w:t>的路线图</w:t>
      </w:r>
    </w:p>
    <w:p w14:paraId="5664576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原则二：边际贡献门槛原则</w:t>
      </w:r>
    </w:p>
    <w:p w14:paraId="2FCCC14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任何单项设备投资（金额超过100万元）必须通过</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边际贡献影响测算</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7BAC40B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m:oMathPara>
        <m:oMath>
          <m:r>
            <m:rPr>
              <m:nor/>
              <m:sty m:val="p"/>
            </m:rPr>
            <w:rPr>
              <w:rFonts w:hint="default" w:ascii="Times New Roman" w:hAnsi="Times New Roman" w:eastAsia="宋体" w:cs="Times New Roman"/>
              <w:b w:val="0"/>
              <w:i w:val="0"/>
              <w:sz w:val="24"/>
            </w:rPr>
            <m:t>Δ</m:t>
          </m:r>
          <m:r>
            <m:rPr>
              <m:nor/>
            </m:rPr>
            <w:rPr>
              <w:rFonts w:hint="default" w:ascii="Times New Roman" w:hAnsi="Times New Roman" w:eastAsia="宋体" w:cs="Times New Roman"/>
              <w:i/>
              <w:sz w:val="24"/>
            </w:rPr>
            <m:t>MC</m:t>
          </m:r>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nary>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oMath>
      </m:oMathPara>
      <w:r>
        <w:rPr>
          <w:rFonts w:hint="default" w:ascii="Times New Roman" w:hAnsi="Times New Roman" w:eastAsia="宋体" w:cs="Times New Roman"/>
          <w:i/>
          <w:sz w:val="24"/>
        </w:rPr>
        <w:br w:type="textWrapping"/>
      </w:r>
      <w:r>
        <w:rPr>
          <w:rFonts w:hint="eastAsia" w:ascii="Times New Roman" w:hAnsi="Times New Roman" w:eastAsia="宋体" w:cs="Times New Roman"/>
          <w:b w:val="0"/>
          <w:i w:val="0"/>
          <w:kern w:val="0"/>
          <w:sz w:val="24"/>
          <w:szCs w:val="22"/>
          <w:lang w:eastAsia="en-US"/>
        </w:rPr>
        <w:t>其中：</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R</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为第</w:t>
      </w:r>
      <m:oMath>
        <m:r>
          <m:rPr>
            <m:nor/>
          </m:rPr>
          <w:rPr>
            <w:rFonts w:hint="default" w:ascii="Times New Roman" w:hAnsi="Times New Roman" w:eastAsia="宋体" w:cs="Times New Roman"/>
            <w:i/>
            <w:sz w:val="24"/>
          </w:rPr>
          <m:t>i</m:t>
        </m:r>
      </m:oMath>
      <w:r>
        <w:rPr>
          <w:rFonts w:hint="eastAsia" w:ascii="Times New Roman" w:hAnsi="Times New Roman" w:eastAsia="宋体" w:cs="Times New Roman"/>
          <w:b w:val="0"/>
          <w:i w:val="0"/>
          <w:kern w:val="0"/>
          <w:sz w:val="24"/>
          <w:szCs w:val="22"/>
          <w:lang w:eastAsia="en-US"/>
        </w:rPr>
        <w:t>个相关病种的DRG/DIP拨付额，</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为病种成本，</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Q</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oMath>
      <w:r>
        <w:rPr>
          <w:rFonts w:hint="eastAsia" w:ascii="Times New Roman" w:hAnsi="Times New Roman" w:eastAsia="宋体" w:cs="Times New Roman"/>
          <w:b w:val="0"/>
          <w:i w:val="0"/>
          <w:kern w:val="0"/>
          <w:sz w:val="24"/>
          <w:szCs w:val="22"/>
          <w:lang w:eastAsia="en-US"/>
        </w:rPr>
        <w:t>为预计年病例量，</w:t>
      </w:r>
      <m:oMath>
        <m:r>
          <m:rPr>
            <m:nor/>
          </m:rPr>
          <w:rPr>
            <w:rFonts w:hint="default" w:ascii="Times New Roman" w:hAnsi="Times New Roman" w:eastAsia="宋体" w:cs="Times New Roman"/>
            <w:i/>
            <w:sz w:val="24"/>
          </w:rPr>
          <m:t>D</m:t>
        </m:r>
      </m:oMath>
      <w:r>
        <w:rPr>
          <w:rFonts w:hint="eastAsia" w:ascii="Times New Roman" w:hAnsi="Times New Roman" w:eastAsia="宋体" w:cs="Times New Roman"/>
          <w:b w:val="0"/>
          <w:i w:val="0"/>
          <w:kern w:val="0"/>
          <w:sz w:val="24"/>
          <w:szCs w:val="22"/>
          <w:lang w:eastAsia="en-US"/>
        </w:rPr>
        <w:t>为设备年折旧额。</w:t>
      </w:r>
    </w:p>
    <w:p w14:paraId="17C5B95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决策规则</w:t>
      </w:r>
      <w:r>
        <w:rPr>
          <w:rFonts w:hint="eastAsia" w:ascii="Times New Roman" w:hAnsi="Times New Roman" w:eastAsia="宋体" w:cs="Times New Roman"/>
          <w:b w:val="0"/>
          <w:i w:val="0"/>
          <w:kern w:val="0"/>
          <w:sz w:val="24"/>
          <w:szCs w:val="22"/>
          <w:lang w:eastAsia="en-US"/>
        </w:rPr>
        <w:t>：仅当</w:t>
      </w:r>
      <m:oMath>
        <m:r>
          <m:rPr>
            <m:nor/>
            <m:sty m:val="p"/>
          </m:rPr>
          <w:rPr>
            <w:rFonts w:hint="default" w:ascii="Times New Roman" w:hAnsi="Times New Roman" w:eastAsia="宋体" w:cs="Times New Roman"/>
            <w:b w:val="0"/>
            <w:i w:val="0"/>
            <w:sz w:val="24"/>
          </w:rPr>
          <m:t>Δ</m:t>
        </m:r>
        <m:r>
          <m:rPr>
            <m:nor/>
          </m:rPr>
          <w:rPr>
            <w:rFonts w:hint="default" w:ascii="Times New Roman" w:hAnsi="Times New Roman" w:eastAsia="宋体" w:cs="Times New Roman"/>
            <w:i/>
            <w:sz w:val="24"/>
          </w:rPr>
          <m:t>MC</m:t>
        </m:r>
      </m:oMath>
      <w:r>
        <w:rPr>
          <w:rFonts w:hint="eastAsia" w:ascii="Times New Roman" w:hAnsi="Times New Roman" w:eastAsia="宋体" w:cs="Times New Roman"/>
          <w:b w:val="0"/>
          <w:i w:val="0"/>
          <w:kern w:val="0"/>
          <w:sz w:val="24"/>
          <w:szCs w:val="22"/>
          <w:lang w:eastAsia="en-US"/>
        </w:rPr>
        <w:t xml:space="preserve"> &gt; 0（设备投资带来的边际贡献增量为正）时，方可批准投资。</w:t>
      </w:r>
    </w:p>
    <w:p w14:paraId="4EFA72E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原则三：动态调整原则</w:t>
      </w:r>
    </w:p>
    <w:p w14:paraId="5CEEF43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四象限位置并非一成不变。建议每半年对学科进行一次画像更新，根据最新的CMI和边际贡献数据重新定位，动态调整资源配置策略。</w:t>
      </w:r>
    </w:p>
    <w:p w14:paraId="633BA6F4">
      <w:pPr>
        <w:pStyle w:val="12"/>
        <w:bidi w:val="0"/>
        <w:rPr>
          <w:lang w:eastAsia="en-US"/>
        </w:rPr>
      </w:pPr>
      <w:r>
        <w:t>表 5.1 CAPEX配置原则汇总</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2822"/>
        <w:gridCol w:w="2188"/>
        <w:gridCol w:w="2187"/>
      </w:tblGrid>
      <w:tr w14:paraId="76746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4DFBB08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象限</w:t>
            </w:r>
          </w:p>
        </w:tc>
        <w:tc>
          <w:tcPr>
            <w:tcW w:w="2822" w:type="dxa"/>
          </w:tcPr>
          <w:p w14:paraId="6EBE35E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学科特征</w:t>
            </w:r>
          </w:p>
        </w:tc>
        <w:tc>
          <w:tcPr>
            <w:tcW w:w="2188" w:type="dxa"/>
          </w:tcPr>
          <w:p w14:paraId="5D1D61D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CAPEX配置策略</w:t>
            </w:r>
          </w:p>
        </w:tc>
        <w:tc>
          <w:tcPr>
            <w:tcW w:w="2187" w:type="dxa"/>
          </w:tcPr>
          <w:p w14:paraId="5C68EBD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预算上限</w:t>
            </w:r>
          </w:p>
        </w:tc>
      </w:tr>
      <w:tr w14:paraId="0A65F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5357E9E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I</w:t>
            </w:r>
          </w:p>
        </w:tc>
        <w:tc>
          <w:tcPr>
            <w:tcW w:w="2822" w:type="dxa"/>
          </w:tcPr>
          <w:p w14:paraId="1C8294E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 + 高边际贡献</w:t>
            </w:r>
          </w:p>
        </w:tc>
        <w:tc>
          <w:tcPr>
            <w:tcW w:w="2188" w:type="dxa"/>
          </w:tcPr>
          <w:p w14:paraId="4DE7865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优先配置、战略倾斜</w:t>
            </w:r>
          </w:p>
        </w:tc>
        <w:tc>
          <w:tcPr>
            <w:tcW w:w="2187" w:type="dxa"/>
          </w:tcPr>
          <w:p w14:paraId="069AA2B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不设上限</w:t>
            </w:r>
          </w:p>
        </w:tc>
      </w:tr>
      <w:tr w14:paraId="61681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7191167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II</w:t>
            </w:r>
          </w:p>
        </w:tc>
        <w:tc>
          <w:tcPr>
            <w:tcW w:w="2822" w:type="dxa"/>
          </w:tcPr>
          <w:p w14:paraId="5010B63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 + 高边际贡献</w:t>
            </w:r>
          </w:p>
        </w:tc>
        <w:tc>
          <w:tcPr>
            <w:tcW w:w="2188" w:type="dxa"/>
          </w:tcPr>
          <w:p w14:paraId="5EA25C1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标准配置、效率导向</w:t>
            </w:r>
          </w:p>
        </w:tc>
        <w:tc>
          <w:tcPr>
            <w:tcW w:w="2187" w:type="dxa"/>
          </w:tcPr>
          <w:p w14:paraId="59E6357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年收入的</w:t>
            </w:r>
            <w:r>
              <w:rPr>
                <w:rFonts w:hint="eastAsia" w:cs="Times New Roman"/>
                <w:b w:val="0"/>
                <w:i w:val="0"/>
                <w:kern w:val="0"/>
                <w:sz w:val="22"/>
                <w:szCs w:val="22"/>
                <w:lang w:eastAsia="zh-CN"/>
              </w:rPr>
              <w:t>5%—8%</w:t>
            </w:r>
          </w:p>
        </w:tc>
      </w:tr>
      <w:tr w14:paraId="0EF3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5C6B7C2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cs="Times New Roman"/>
                <w:b w:val="0"/>
                <w:i w:val="0"/>
                <w:kern w:val="0"/>
                <w:sz w:val="22"/>
                <w:szCs w:val="22"/>
                <w:lang w:eastAsia="zh-CN"/>
              </w:rPr>
              <w:t>Ⅲ</w:t>
            </w:r>
          </w:p>
        </w:tc>
        <w:tc>
          <w:tcPr>
            <w:tcW w:w="2822" w:type="dxa"/>
          </w:tcPr>
          <w:p w14:paraId="0327EA3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 + 低边际贡献</w:t>
            </w:r>
          </w:p>
        </w:tc>
        <w:tc>
          <w:tcPr>
            <w:tcW w:w="2188" w:type="dxa"/>
          </w:tcPr>
          <w:p w14:paraId="59CB64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最小配置、维持运营</w:t>
            </w:r>
          </w:p>
        </w:tc>
        <w:tc>
          <w:tcPr>
            <w:tcW w:w="2187" w:type="dxa"/>
          </w:tcPr>
          <w:p w14:paraId="5C58E6F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年收入的</w:t>
            </w:r>
            <w:r>
              <w:rPr>
                <w:rFonts w:hint="eastAsia" w:cs="Times New Roman"/>
                <w:b w:val="0"/>
                <w:i w:val="0"/>
                <w:kern w:val="0"/>
                <w:sz w:val="22"/>
                <w:szCs w:val="22"/>
                <w:lang w:eastAsia="zh-CN"/>
              </w:rPr>
              <w:t>2%—3%</w:t>
            </w:r>
          </w:p>
        </w:tc>
      </w:tr>
      <w:tr w14:paraId="7DE18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dxa"/>
          </w:tcPr>
          <w:p w14:paraId="3040F10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IV</w:t>
            </w:r>
          </w:p>
        </w:tc>
        <w:tc>
          <w:tcPr>
            <w:tcW w:w="2822" w:type="dxa"/>
          </w:tcPr>
          <w:p w14:paraId="586A72A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 + 负边际贡献</w:t>
            </w:r>
          </w:p>
        </w:tc>
        <w:tc>
          <w:tcPr>
            <w:tcW w:w="2188" w:type="dxa"/>
          </w:tcPr>
          <w:p w14:paraId="30862D4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**冻结新增**、扭亏优先</w:t>
            </w:r>
          </w:p>
        </w:tc>
        <w:tc>
          <w:tcPr>
            <w:tcW w:w="2187" w:type="dxa"/>
          </w:tcPr>
          <w:p w14:paraId="72CEBB5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原则上为零</w:t>
            </w:r>
          </w:p>
        </w:tc>
      </w:tr>
    </w:tbl>
    <w:p w14:paraId="25C1E6E1">
      <w:pPr>
        <w:pStyle w:val="19"/>
        <w:bidi w:val="0"/>
        <w:rPr>
          <w:lang w:eastAsia="en-US"/>
        </w:rPr>
      </w:pPr>
      <w:r>
        <w:rPr>
          <w:rFonts w:hint="eastAsia"/>
          <w:lang w:eastAsia="en-US"/>
        </w:rPr>
        <w:t>注：本CAPEX配置原则目前处于方案设计与论证阶段，尚未在</w:t>
      </w:r>
      <w:r>
        <w:rPr>
          <w:rFonts w:hint="eastAsia"/>
          <w:lang w:eastAsia="zh-CN"/>
        </w:rPr>
        <w:t>A医疗集团</w:t>
      </w:r>
      <w:r>
        <w:rPr>
          <w:rFonts w:hint="eastAsia"/>
          <w:lang w:eastAsia="en-US"/>
        </w:rPr>
        <w:t>全范围内正式发文执行。</w:t>
      </w:r>
    </w:p>
    <w:p w14:paraId="11597F3C">
      <w:pPr>
        <w:pStyle w:val="3"/>
        <w:bidi w:val="0"/>
        <w:rPr>
          <w:lang w:val="en-US" w:eastAsia="en-US"/>
        </w:rPr>
      </w:pPr>
      <w:bookmarkStart w:id="118" w:name="_Toc24518"/>
      <w:r>
        <w:rPr>
          <w:rFonts w:hint="eastAsia"/>
          <w:lang w:val="en-US" w:eastAsia="en-US"/>
        </w:rPr>
        <w:t>运营层：供应链账期管理与成本优化</w:t>
      </w:r>
      <w:bookmarkEnd w:id="118"/>
    </w:p>
    <w:p w14:paraId="316ECFD6">
      <w:pPr>
        <w:pStyle w:val="4"/>
        <w:bidi w:val="0"/>
        <w:rPr>
          <w:lang w:val="en-US" w:eastAsia="en-US"/>
        </w:rPr>
      </w:pPr>
      <w:bookmarkStart w:id="119" w:name="_Toc31508"/>
      <w:r>
        <w:rPr>
          <w:rFonts w:hint="eastAsia"/>
          <w:lang w:val="en-US" w:eastAsia="en-US"/>
        </w:rPr>
        <w:t>问题回顾：超长账期的风险累积</w:t>
      </w:r>
      <w:bookmarkEnd w:id="119"/>
    </w:p>
    <w:p w14:paraId="0A913D4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val="en-US" w:eastAsia="en-US"/>
        </w:rPr>
        <w:t>第三章的分析表明，</w:t>
      </w:r>
      <w:r>
        <w:rPr>
          <w:rFonts w:hint="eastAsia" w:cs="Times New Roman"/>
          <w:b w:val="0"/>
          <w:i w:val="0"/>
          <w:kern w:val="0"/>
          <w:sz w:val="24"/>
          <w:szCs w:val="22"/>
          <w:lang w:val="en-US" w:eastAsia="zh-CN"/>
        </w:rPr>
        <w:t>A医疗集团</w:t>
      </w:r>
      <w:r>
        <w:rPr>
          <w:rFonts w:hint="eastAsia" w:ascii="Times New Roman" w:hAnsi="Times New Roman" w:eastAsia="宋体" w:cs="Times New Roman"/>
          <w:b w:val="0"/>
          <w:i w:val="0"/>
          <w:kern w:val="0"/>
          <w:sz w:val="24"/>
          <w:szCs w:val="22"/>
          <w:lang w:val="en-US" w:eastAsia="en-US"/>
        </w:rPr>
        <w:t>部分院区的供应商账期（DPO）已延长至300</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390天，个别甚至超过450天。这种</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以时间换空间</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的策略虽然在短期内缓解了现金流压力，</w:t>
      </w:r>
      <w:r>
        <w:rPr>
          <w:rFonts w:hint="eastAsia" w:ascii="Times New Roman" w:hAnsi="Times New Roman" w:eastAsia="宋体" w:cs="Times New Roman"/>
          <w:b w:val="0"/>
          <w:i w:val="0"/>
          <w:kern w:val="0"/>
          <w:sz w:val="24"/>
          <w:szCs w:val="22"/>
          <w:lang w:eastAsia="en-US"/>
        </w:rPr>
        <w:t>但长期来看存在三重风险：</w:t>
      </w:r>
    </w:p>
    <w:p w14:paraId="1A819A0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风险一：供应商关系恶化。</w:t>
      </w:r>
      <w:r>
        <w:rPr>
          <w:rFonts w:hint="eastAsia" w:ascii="Times New Roman" w:hAnsi="Times New Roman" w:eastAsia="宋体" w:cs="Times New Roman"/>
          <w:b w:val="0"/>
          <w:i w:val="0"/>
          <w:kern w:val="0"/>
          <w:sz w:val="24"/>
          <w:szCs w:val="22"/>
          <w:lang w:eastAsia="en-US"/>
        </w:rPr>
        <w:t xml:space="preserve"> 超长账期意味着供应商承担巨大的资金成本，其合作意愿和服务质量必然下降。</w:t>
      </w:r>
    </w:p>
    <w:p w14:paraId="7207D0D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风险二：隐性成本上升。</w:t>
      </w:r>
      <w:r>
        <w:rPr>
          <w:rFonts w:hint="eastAsia" w:ascii="Times New Roman" w:hAnsi="Times New Roman" w:eastAsia="宋体" w:cs="Times New Roman"/>
          <w:b w:val="0"/>
          <w:i w:val="0"/>
          <w:kern w:val="0"/>
          <w:sz w:val="24"/>
          <w:szCs w:val="22"/>
          <w:lang w:eastAsia="en-US"/>
        </w:rPr>
        <w:t xml:space="preserve"> 供应商会将资金成本转嫁至采购价格中，实际采购成本隐性上涨。</w:t>
      </w:r>
    </w:p>
    <w:p w14:paraId="7C57BF9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i w:val="0"/>
          <w:kern w:val="0"/>
          <w:sz w:val="24"/>
          <w:szCs w:val="22"/>
          <w:lang w:eastAsia="en-US"/>
        </w:rPr>
        <w:t>风险三：断供风险累积。</w:t>
      </w:r>
      <w:r>
        <w:rPr>
          <w:rFonts w:hint="eastAsia" w:ascii="Times New Roman" w:hAnsi="Times New Roman" w:eastAsia="宋体" w:cs="Times New Roman"/>
          <w:b w:val="0"/>
          <w:i w:val="0"/>
          <w:kern w:val="0"/>
          <w:sz w:val="24"/>
          <w:szCs w:val="22"/>
          <w:lang w:eastAsia="en-US"/>
        </w:rPr>
        <w:t xml:space="preserve"> 一旦宏观流动性收紧或集团信用评级下调，供应商可能集体收缩账期甚至断供</w:t>
      </w:r>
      <w:r>
        <w:rPr>
          <w:rFonts w:hint="eastAsia" w:cs="Times New Roman"/>
          <w:b w:val="0"/>
          <w:i w:val="0"/>
          <w:kern w:val="0"/>
          <w:sz w:val="24"/>
          <w:szCs w:val="22"/>
          <w:lang w:eastAsia="zh-CN"/>
        </w:rPr>
        <w:t>。</w:t>
      </w:r>
    </w:p>
    <w:p w14:paraId="53E870D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val="en-US" w:eastAsia="en-US"/>
        </w:rPr>
        <w:t>第四章灰色关联度分析为上述风险提供了间接佐证：三院中</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拨付金额</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与盈余率的关联度均较高（H1: γ=0.670, H2: γ=0.754），表明医保资金到账的及时性和充足性是影响院区财务健康的关键因素。当供应链账期过长、院区现金</w:t>
      </w:r>
      <w:r>
        <w:rPr>
          <w:rFonts w:hint="eastAsia"/>
          <w:lang w:val="en-US" w:eastAsia="en-US"/>
        </w:rPr>
        <w:t>流承压时，即使医保拨付充足，也可能因</w:t>
      </w:r>
      <w:r>
        <w:rPr>
          <w:rFonts w:hint="eastAsia"/>
          <w:lang w:val="en-US" w:eastAsia="zh-CN"/>
        </w:rPr>
        <w:t>“</w:t>
      </w:r>
      <w:r>
        <w:rPr>
          <w:rFonts w:hint="eastAsia"/>
          <w:lang w:val="en-US" w:eastAsia="en-US"/>
        </w:rPr>
        <w:t>账面有钱、手头无钱</w:t>
      </w:r>
      <w:r>
        <w:rPr>
          <w:rFonts w:hint="eastAsia"/>
          <w:lang w:val="en-US" w:eastAsia="zh-CN"/>
        </w:rPr>
        <w:t>”</w:t>
      </w:r>
      <w:r>
        <w:rPr>
          <w:rFonts w:hint="eastAsia"/>
          <w:lang w:val="en-US" w:eastAsia="en-US"/>
        </w:rPr>
        <w:t>而影响运营决策</w:t>
      </w:r>
      <w:r>
        <w:rPr>
          <w:rFonts w:hint="eastAsia" w:ascii="Times New Roman" w:hAnsi="Times New Roman" w:eastAsia="宋体" w:cs="Times New Roman"/>
          <w:b w:val="0"/>
          <w:i w:val="0"/>
          <w:kern w:val="0"/>
          <w:sz w:val="24"/>
          <w:szCs w:val="22"/>
          <w:lang w:eastAsia="en-US"/>
        </w:rPr>
        <w:t>。</w:t>
      </w:r>
    </w:p>
    <w:p w14:paraId="5AEE834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2A641069">
      <w:pPr>
        <w:pStyle w:val="4"/>
        <w:bidi w:val="0"/>
        <w:rPr>
          <w:lang w:val="en-US" w:eastAsia="en-US"/>
        </w:rPr>
      </w:pPr>
      <w:bookmarkStart w:id="120" w:name="_Toc14306"/>
      <w:bookmarkStart w:id="121" w:name="_Toc16876"/>
      <w:r>
        <w:rPr>
          <w:rFonts w:hint="eastAsia"/>
          <w:lang w:val="en-US" w:eastAsia="en-US"/>
        </w:rPr>
        <w:t>"2+N</w:t>
      </w:r>
      <w:r>
        <w:rPr>
          <w:rFonts w:hint="eastAsia"/>
          <w:lang w:val="en-US" w:eastAsia="zh-CN"/>
        </w:rPr>
        <w:t>”</w:t>
      </w:r>
      <w:r>
        <w:rPr>
          <w:rFonts w:hint="eastAsia"/>
          <w:lang w:val="en-US" w:eastAsia="en-US"/>
        </w:rPr>
        <w:t>账期管理模式设计</w:t>
      </w:r>
      <w:bookmarkEnd w:id="120"/>
      <w:bookmarkEnd w:id="121"/>
    </w:p>
    <w:p w14:paraId="2936EDE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针对上述风险，本研究建议建立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2+N</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供应链账期管理模式</w:t>
      </w:r>
      <w:r>
        <w:rPr>
          <w:rFonts w:hint="eastAsia" w:ascii="Times New Roman" w:hAnsi="Times New Roman" w:eastAsia="宋体" w:cs="Times New Roman"/>
          <w:b w:val="0"/>
          <w:i w:val="0"/>
          <w:kern w:val="0"/>
          <w:sz w:val="24"/>
          <w:szCs w:val="22"/>
          <w:lang w:eastAsia="en-US"/>
        </w:rPr>
        <w:t>：</w:t>
      </w:r>
    </w:p>
    <w:p w14:paraId="20698DB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"2"——两档基础账期</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7"/>
        <w:gridCol w:w="3583"/>
        <w:gridCol w:w="1342"/>
        <w:gridCol w:w="3038"/>
      </w:tblGrid>
      <w:tr w14:paraId="6098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tcPr>
          <w:p w14:paraId="1906F91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档位</w:t>
            </w:r>
          </w:p>
        </w:tc>
        <w:tc>
          <w:tcPr>
            <w:tcW w:w="3583" w:type="dxa"/>
          </w:tcPr>
          <w:p w14:paraId="38B5FEE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适用范围</w:t>
            </w:r>
          </w:p>
        </w:tc>
        <w:tc>
          <w:tcPr>
            <w:tcW w:w="1342" w:type="dxa"/>
          </w:tcPr>
          <w:p w14:paraId="7D49579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账期标准</w:t>
            </w:r>
          </w:p>
        </w:tc>
        <w:tc>
          <w:tcPr>
            <w:tcW w:w="3038" w:type="dxa"/>
          </w:tcPr>
          <w:p w14:paraId="4352AFD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管理要求</w:t>
            </w:r>
          </w:p>
        </w:tc>
      </w:tr>
      <w:tr w14:paraId="0C7C2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tcPr>
          <w:p w14:paraId="2D933ED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A档</w:t>
            </w:r>
          </w:p>
        </w:tc>
        <w:tc>
          <w:tcPr>
            <w:tcW w:w="3583" w:type="dxa"/>
          </w:tcPr>
          <w:p w14:paraId="3509B8C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战略供应商（年供货额&gt;500万元）</w:t>
            </w:r>
          </w:p>
        </w:tc>
        <w:tc>
          <w:tcPr>
            <w:tcW w:w="1342" w:type="dxa"/>
          </w:tcPr>
          <w:p w14:paraId="664A6EB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120天</w:t>
            </w:r>
          </w:p>
        </w:tc>
        <w:tc>
          <w:tcPr>
            <w:tcW w:w="3038" w:type="dxa"/>
          </w:tcPr>
          <w:p w14:paraId="76C8BF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签订长期合作协议，锁定价格</w:t>
            </w:r>
          </w:p>
        </w:tc>
      </w:tr>
      <w:tr w14:paraId="6CC7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7" w:type="dxa"/>
          </w:tcPr>
          <w:p w14:paraId="0D57E33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B档</w:t>
            </w:r>
          </w:p>
        </w:tc>
        <w:tc>
          <w:tcPr>
            <w:tcW w:w="3583" w:type="dxa"/>
          </w:tcPr>
          <w:p w14:paraId="6B98570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一般供应商（年供货额&lt;500万元）</w:t>
            </w:r>
          </w:p>
        </w:tc>
        <w:tc>
          <w:tcPr>
            <w:tcW w:w="1342" w:type="dxa"/>
          </w:tcPr>
          <w:p w14:paraId="3B1B4C9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90天</w:t>
            </w:r>
          </w:p>
        </w:tc>
        <w:tc>
          <w:tcPr>
            <w:tcW w:w="3038" w:type="dxa"/>
          </w:tcPr>
          <w:p w14:paraId="00FF07F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标准采购流程，按月结算</w:t>
            </w:r>
          </w:p>
        </w:tc>
      </w:tr>
    </w:tbl>
    <w:p w14:paraId="177F0132">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i w:val="0"/>
          <w:kern w:val="0"/>
          <w:sz w:val="24"/>
          <w:szCs w:val="22"/>
          <w:lang w:eastAsia="en-US"/>
        </w:rPr>
        <w:t>"N"——弹性延长机制</w:t>
      </w:r>
    </w:p>
    <w:p w14:paraId="2FE068A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在基础账期之上，根据院区的现金流状况和集团战略需要，允许一定幅度的</w:t>
      </w:r>
      <w:r>
        <w:rPr>
          <w:rFonts w:hint="eastAsia" w:ascii="Times New Roman" w:hAnsi="Times New Roman" w:eastAsia="宋体" w:cs="Times New Roman"/>
          <w:b/>
          <w:i w:val="0"/>
          <w:kern w:val="0"/>
          <w:sz w:val="24"/>
          <w:szCs w:val="22"/>
          <w:lang w:eastAsia="en-US"/>
        </w:rPr>
        <w:t>弹性延长</w:t>
      </w:r>
      <w:r>
        <w:rPr>
          <w:rFonts w:hint="eastAsia" w:ascii="Times New Roman" w:hAnsi="Times New Roman" w:eastAsia="宋体" w:cs="Times New Roman"/>
          <w:b w:val="0"/>
          <w:i w:val="0"/>
          <w:kern w:val="0"/>
          <w:sz w:val="24"/>
          <w:szCs w:val="22"/>
          <w:lang w:eastAsia="en-US"/>
        </w:rPr>
        <w:t>，但必须满足以下条件：</w:t>
      </w:r>
    </w:p>
    <w:p w14:paraId="54E119A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条件一：延长上限</w:t>
      </w:r>
      <w:r>
        <w:rPr>
          <w:rFonts w:hint="eastAsia" w:ascii="Times New Roman" w:hAnsi="Times New Roman" w:eastAsia="宋体" w:cs="Times New Roman"/>
          <w:b w:val="0"/>
          <w:i w:val="0"/>
          <w:kern w:val="0"/>
          <w:sz w:val="24"/>
          <w:szCs w:val="22"/>
          <w:lang w:eastAsia="en-US"/>
        </w:rPr>
        <w:t>。任何院区的账期延长幅度不得超过基础账期的100%（即A档最长240天，B档最长180天）。</w:t>
      </w:r>
    </w:p>
    <w:p w14:paraId="0075C74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条件二：利息补偿</w:t>
      </w:r>
      <w:r>
        <w:rPr>
          <w:rFonts w:hint="eastAsia" w:ascii="Times New Roman" w:hAnsi="Times New Roman" w:eastAsia="宋体" w:cs="Times New Roman"/>
          <w:b w:val="0"/>
          <w:i w:val="0"/>
          <w:kern w:val="0"/>
          <w:sz w:val="24"/>
          <w:szCs w:val="22"/>
          <w:lang w:eastAsia="en-US"/>
        </w:rPr>
        <w:t>。账期延长部分需按照</w:t>
      </w:r>
      <w:r>
        <w:rPr>
          <w:rFonts w:hint="eastAsia" w:eastAsia="宋体" w:cs="Times New Roman"/>
          <w:b w:val="0"/>
          <w:i w:val="0"/>
          <w:kern w:val="0"/>
          <w:sz w:val="24"/>
          <w:szCs w:val="22"/>
          <w:lang w:val="en-US" w:eastAsia="zh-CN"/>
        </w:rPr>
        <w:t>LPR</w:t>
      </w:r>
      <w:r>
        <w:rPr>
          <w:rFonts w:hint="eastAsia" w:ascii="Times New Roman" w:hAnsi="Times New Roman" w:eastAsia="宋体" w:cs="Times New Roman"/>
          <w:b w:val="0"/>
          <w:i w:val="0"/>
          <w:kern w:val="0"/>
          <w:sz w:val="24"/>
          <w:szCs w:val="22"/>
          <w:lang w:eastAsia="en-US"/>
        </w:rPr>
        <w:t>的标准向供应商支付利息补偿，体现公平交易原则。</w:t>
      </w:r>
    </w:p>
    <w:p w14:paraId="318C49C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条件三：审批授权</w:t>
      </w:r>
      <w:r>
        <w:rPr>
          <w:rFonts w:hint="eastAsia" w:ascii="Times New Roman" w:hAnsi="Times New Roman" w:eastAsia="宋体" w:cs="Times New Roman"/>
          <w:b w:val="0"/>
          <w:i w:val="0"/>
          <w:kern w:val="0"/>
          <w:sz w:val="24"/>
          <w:szCs w:val="22"/>
          <w:lang w:eastAsia="en-US"/>
        </w:rPr>
        <w:t>。账期延长超过60天的，需报集团供应链管理委员会审批；超过120天的，需报集团CFO审批。</w:t>
      </w:r>
    </w:p>
    <w:p w14:paraId="67929362">
      <w:pPr>
        <w:pStyle w:val="12"/>
        <w:bidi w:val="0"/>
        <w:rPr>
          <w:lang w:eastAsia="en-US"/>
        </w:rPr>
      </w:pPr>
      <w:r>
        <w:t>表 5.2 "2+N账期管理模式</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132A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30747CA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账期类型</w:t>
            </w:r>
          </w:p>
        </w:tc>
        <w:tc>
          <w:tcPr>
            <w:tcW w:w="1792" w:type="dxa"/>
          </w:tcPr>
          <w:p w14:paraId="3C8769C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适用场景</w:t>
            </w:r>
          </w:p>
        </w:tc>
        <w:tc>
          <w:tcPr>
            <w:tcW w:w="1792" w:type="dxa"/>
          </w:tcPr>
          <w:p w14:paraId="695A74E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账期范围</w:t>
            </w:r>
          </w:p>
        </w:tc>
        <w:tc>
          <w:tcPr>
            <w:tcW w:w="1792" w:type="dxa"/>
          </w:tcPr>
          <w:p w14:paraId="2A5BDCA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补偿机制</w:t>
            </w:r>
          </w:p>
        </w:tc>
        <w:tc>
          <w:tcPr>
            <w:tcW w:w="1792" w:type="dxa"/>
          </w:tcPr>
          <w:p w14:paraId="4D03B7A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审批权限</w:t>
            </w:r>
          </w:p>
        </w:tc>
      </w:tr>
      <w:tr w14:paraId="711D2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3ADE537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基础账期A</w:t>
            </w:r>
          </w:p>
        </w:tc>
        <w:tc>
          <w:tcPr>
            <w:tcW w:w="1792" w:type="dxa"/>
          </w:tcPr>
          <w:p w14:paraId="0EB53BF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战略供应商</w:t>
            </w:r>
          </w:p>
        </w:tc>
        <w:tc>
          <w:tcPr>
            <w:tcW w:w="1792" w:type="dxa"/>
          </w:tcPr>
          <w:p w14:paraId="29029F4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120天</w:t>
            </w:r>
          </w:p>
        </w:tc>
        <w:tc>
          <w:tcPr>
            <w:tcW w:w="1792" w:type="dxa"/>
          </w:tcPr>
          <w:p w14:paraId="5867F97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无</w:t>
            </w:r>
          </w:p>
        </w:tc>
        <w:tc>
          <w:tcPr>
            <w:tcW w:w="1792" w:type="dxa"/>
          </w:tcPr>
          <w:p w14:paraId="09594F6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院区自主</w:t>
            </w:r>
          </w:p>
        </w:tc>
      </w:tr>
      <w:tr w14:paraId="6176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99C702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基础账期B</w:t>
            </w:r>
          </w:p>
        </w:tc>
        <w:tc>
          <w:tcPr>
            <w:tcW w:w="1792" w:type="dxa"/>
          </w:tcPr>
          <w:p w14:paraId="6160746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一般供应商</w:t>
            </w:r>
          </w:p>
        </w:tc>
        <w:tc>
          <w:tcPr>
            <w:tcW w:w="1792" w:type="dxa"/>
          </w:tcPr>
          <w:p w14:paraId="3D55B82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90天</w:t>
            </w:r>
          </w:p>
        </w:tc>
        <w:tc>
          <w:tcPr>
            <w:tcW w:w="1792" w:type="dxa"/>
          </w:tcPr>
          <w:p w14:paraId="4DFD107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无</w:t>
            </w:r>
          </w:p>
        </w:tc>
        <w:tc>
          <w:tcPr>
            <w:tcW w:w="1792" w:type="dxa"/>
          </w:tcPr>
          <w:p w14:paraId="3BDF02A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院区自主</w:t>
            </w:r>
          </w:p>
        </w:tc>
      </w:tr>
      <w:tr w14:paraId="23D53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4BD43A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弹性延长I</w:t>
            </w:r>
          </w:p>
        </w:tc>
        <w:tc>
          <w:tcPr>
            <w:tcW w:w="1792" w:type="dxa"/>
          </w:tcPr>
          <w:p w14:paraId="65B0C61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短期周转需要</w:t>
            </w:r>
          </w:p>
        </w:tc>
        <w:tc>
          <w:tcPr>
            <w:tcW w:w="1792" w:type="dxa"/>
          </w:tcPr>
          <w:p w14:paraId="5496482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+60天以内</w:t>
            </w:r>
          </w:p>
        </w:tc>
        <w:tc>
          <w:tcPr>
            <w:tcW w:w="1792" w:type="dxa"/>
          </w:tcPr>
          <w:p w14:paraId="0369D5C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利息补偿2%</w:t>
            </w:r>
          </w:p>
        </w:tc>
        <w:tc>
          <w:tcPr>
            <w:tcW w:w="1792" w:type="dxa"/>
          </w:tcPr>
          <w:p w14:paraId="0489BA7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院区自主</w:t>
            </w:r>
          </w:p>
        </w:tc>
      </w:tr>
      <w:tr w14:paraId="5FC5D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F6D3E4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弹性延长</w:t>
            </w:r>
            <w:r>
              <w:rPr>
                <w:rFonts w:hint="eastAsia" w:cs="Times New Roman"/>
                <w:b w:val="0"/>
                <w:i w:val="0"/>
                <w:kern w:val="0"/>
                <w:sz w:val="22"/>
                <w:szCs w:val="22"/>
                <w:lang w:eastAsia="zh-CN"/>
              </w:rPr>
              <w:t>Ⅱ</w:t>
            </w:r>
          </w:p>
        </w:tc>
        <w:tc>
          <w:tcPr>
            <w:tcW w:w="1792" w:type="dxa"/>
          </w:tcPr>
          <w:p w14:paraId="5BF931C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重大项目需要</w:t>
            </w:r>
          </w:p>
        </w:tc>
        <w:tc>
          <w:tcPr>
            <w:tcW w:w="1792" w:type="dxa"/>
          </w:tcPr>
          <w:p w14:paraId="4C1AB55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+60</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120天</w:t>
            </w:r>
          </w:p>
        </w:tc>
        <w:tc>
          <w:tcPr>
            <w:tcW w:w="1792" w:type="dxa"/>
          </w:tcPr>
          <w:p w14:paraId="323AA5F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利息补偿4%</w:t>
            </w:r>
          </w:p>
        </w:tc>
        <w:tc>
          <w:tcPr>
            <w:tcW w:w="1792" w:type="dxa"/>
          </w:tcPr>
          <w:p w14:paraId="7C7D886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集团供应链委员会</w:t>
            </w:r>
          </w:p>
        </w:tc>
      </w:tr>
      <w:tr w14:paraId="2F790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CF0D04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弹性延长</w:t>
            </w:r>
            <w:r>
              <w:rPr>
                <w:rFonts w:hint="eastAsia" w:cs="Times New Roman"/>
                <w:b w:val="0"/>
                <w:i w:val="0"/>
                <w:kern w:val="0"/>
                <w:sz w:val="22"/>
                <w:szCs w:val="22"/>
                <w:lang w:eastAsia="zh-CN"/>
              </w:rPr>
              <w:t>Ⅲ</w:t>
            </w:r>
          </w:p>
        </w:tc>
        <w:tc>
          <w:tcPr>
            <w:tcW w:w="1792" w:type="dxa"/>
          </w:tcPr>
          <w:p w14:paraId="37D7DFF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特殊战略需要</w:t>
            </w:r>
          </w:p>
        </w:tc>
        <w:tc>
          <w:tcPr>
            <w:tcW w:w="1792" w:type="dxa"/>
          </w:tcPr>
          <w:p w14:paraId="7310311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+120天以上</w:t>
            </w:r>
          </w:p>
        </w:tc>
        <w:tc>
          <w:tcPr>
            <w:tcW w:w="1792" w:type="dxa"/>
          </w:tcPr>
          <w:p w14:paraId="1703E91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利息补偿4%+风险金</w:t>
            </w:r>
          </w:p>
        </w:tc>
        <w:tc>
          <w:tcPr>
            <w:tcW w:w="1792" w:type="dxa"/>
          </w:tcPr>
          <w:p w14:paraId="44D4AF1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集团CFO</w:t>
            </w:r>
          </w:p>
        </w:tc>
      </w:tr>
    </w:tbl>
    <w:p w14:paraId="29078F05">
      <w:pPr>
        <w:pStyle w:val="4"/>
        <w:bidi w:val="0"/>
        <w:rPr>
          <w:lang w:val="en-US" w:eastAsia="en-US"/>
        </w:rPr>
      </w:pPr>
      <w:bookmarkStart w:id="122" w:name="_Toc16395"/>
      <w:bookmarkStart w:id="123" w:name="_Toc26145"/>
      <w:r>
        <w:rPr>
          <w:rFonts w:hint="eastAsia"/>
          <w:lang w:val="en-US" w:eastAsia="en-US"/>
        </w:rPr>
        <w:t>预期效果</w:t>
      </w:r>
      <w:bookmarkEnd w:id="122"/>
      <w:bookmarkEnd w:id="123"/>
    </w:p>
    <w:p w14:paraId="5C2521C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"2+N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模式的预期效果包括：</w:t>
      </w:r>
    </w:p>
    <w:p w14:paraId="72BB949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第一，账期回归合理区间。</w:t>
      </w:r>
      <w:r>
        <w:rPr>
          <w:rFonts w:hint="eastAsia" w:ascii="Times New Roman" w:hAnsi="Times New Roman" w:eastAsia="宋体" w:cs="Times New Roman"/>
          <w:b w:val="0"/>
          <w:i w:val="0"/>
          <w:kern w:val="0"/>
          <w:sz w:val="24"/>
          <w:szCs w:val="22"/>
          <w:lang w:eastAsia="en-US"/>
        </w:rPr>
        <w:t xml:space="preserve"> 将平均账期从当前的320天压缩至180</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200天，降低供应商关系风险。</w:t>
      </w:r>
    </w:p>
    <w:p w14:paraId="2BEB9F5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第二，隐性成本显性化。</w:t>
      </w:r>
      <w:r>
        <w:rPr>
          <w:rFonts w:hint="eastAsia" w:ascii="Times New Roman" w:hAnsi="Times New Roman" w:eastAsia="宋体" w:cs="Times New Roman"/>
          <w:b w:val="0"/>
          <w:i w:val="0"/>
          <w:kern w:val="0"/>
          <w:sz w:val="24"/>
          <w:szCs w:val="22"/>
          <w:lang w:eastAsia="en-US"/>
        </w:rPr>
        <w:t xml:space="preserve"> 通过利息补偿机制，使账期延长的真实成本可计量、可追溯，为决策提供准确信息。</w:t>
      </w:r>
    </w:p>
    <w:p w14:paraId="7E7DB95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第三，管理责任明确化。</w:t>
      </w:r>
      <w:r>
        <w:rPr>
          <w:rFonts w:hint="eastAsia" w:ascii="Times New Roman" w:hAnsi="Times New Roman" w:eastAsia="宋体" w:cs="Times New Roman"/>
          <w:b w:val="0"/>
          <w:i w:val="0"/>
          <w:kern w:val="0"/>
          <w:sz w:val="24"/>
          <w:szCs w:val="22"/>
          <w:lang w:eastAsia="en-US"/>
        </w:rPr>
        <w:t xml:space="preserve"> 通过分级审批机制，将账期管理责任落实到具体岗位，防止</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无序延长</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4DC78421">
      <w:pPr>
        <w:pStyle w:val="3"/>
        <w:bidi w:val="0"/>
        <w:rPr>
          <w:lang w:val="en-US" w:eastAsia="en-US"/>
        </w:rPr>
      </w:pPr>
      <w:bookmarkStart w:id="124" w:name="_Toc14053"/>
      <w:bookmarkStart w:id="125" w:name="_Toc12592"/>
      <w:r>
        <w:rPr>
          <w:rFonts w:hint="eastAsia"/>
          <w:lang w:val="en-US" w:eastAsia="en-US"/>
        </w:rPr>
        <w:t>激励层：阶梯化</w:t>
      </w:r>
      <w:r>
        <w:rPr>
          <w:rFonts w:hint="eastAsia"/>
          <w:lang w:val="en-US" w:eastAsia="zh-CN"/>
        </w:rPr>
        <w:t>集中管理协同收益</w:t>
      </w:r>
      <w:r>
        <w:rPr>
          <w:rFonts w:hint="eastAsia"/>
          <w:lang w:val="en-US" w:eastAsia="en-US"/>
        </w:rPr>
        <w:t>返还机制</w:t>
      </w:r>
      <w:bookmarkEnd w:id="124"/>
      <w:bookmarkEnd w:id="125"/>
    </w:p>
    <w:p w14:paraId="5F160C3F">
      <w:pPr>
        <w:pStyle w:val="4"/>
        <w:bidi w:val="0"/>
        <w:rPr>
          <w:lang w:val="en-US" w:eastAsia="en-US"/>
        </w:rPr>
      </w:pPr>
      <w:bookmarkStart w:id="126" w:name="_Toc333"/>
      <w:bookmarkStart w:id="127" w:name="_Toc804"/>
      <w:r>
        <w:rPr>
          <w:rFonts w:hint="eastAsia"/>
          <w:lang w:val="en-US" w:eastAsia="en-US"/>
        </w:rPr>
        <w:t>问题回顾：集团与院区的利益冲突</w:t>
      </w:r>
      <w:bookmarkEnd w:id="126"/>
      <w:bookmarkEnd w:id="127"/>
    </w:p>
    <w:p w14:paraId="1A55F9E8">
      <w:pPr>
        <w:widowControl/>
        <w:spacing w:before="0" w:after="0" w:line="400" w:lineRule="exact"/>
        <w:ind w:firstLine="480" w:firstLineChars="0"/>
        <w:jc w:val="both"/>
        <w:textAlignment w:val="auto"/>
        <w:rPr>
          <w:rFonts w:hint="eastAsia" w:ascii="Times New Roman" w:hAnsi="Times New Roman" w:eastAsia="宋体" w:cs="Times New Roman"/>
          <w:b/>
          <w:i w:val="0"/>
          <w:kern w:val="0"/>
          <w:sz w:val="24"/>
          <w:szCs w:val="22"/>
          <w:lang w:eastAsia="en-US"/>
        </w:rPr>
      </w:pPr>
      <w:r>
        <w:rPr>
          <w:rFonts w:hint="eastAsia" w:ascii="Times New Roman" w:hAnsi="Times New Roman" w:eastAsia="宋体" w:cs="Times New Roman"/>
          <w:b w:val="0"/>
          <w:i w:val="0"/>
          <w:kern w:val="0"/>
          <w:sz w:val="24"/>
          <w:szCs w:val="22"/>
          <w:lang w:eastAsia="en-US"/>
        </w:rPr>
        <w:t>第三章的分析揭示了供应链</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双刃剑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效应：集团通过</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获取利润，但这些利润本质上来源于院区的采购支出。</w:t>
      </w:r>
      <w:r>
        <w:rPr>
          <w:rFonts w:hint="eastAsia" w:ascii="Times New Roman" w:hAnsi="Times New Roman" w:eastAsia="宋体" w:cs="Times New Roman"/>
          <w:b/>
          <w:i w:val="0"/>
          <w:kern w:val="0"/>
          <w:sz w:val="24"/>
          <w:szCs w:val="22"/>
          <w:lang w:eastAsia="en-US"/>
        </w:rPr>
        <w:t>从院区视角看，</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是一种</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内部税</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——控费越努力、采购越规范，集团抽取的</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反而越多。</w:t>
      </w:r>
    </w:p>
    <w:p w14:paraId="357721B2">
      <w:pPr>
        <w:widowControl/>
        <w:spacing w:before="0" w:after="0" w:line="400" w:lineRule="exact"/>
        <w:ind w:firstLine="480" w:firstLineChars="0"/>
        <w:jc w:val="both"/>
        <w:textAlignment w:val="auto"/>
        <w:rPr>
          <w:rFonts w:hint="eastAsia" w:ascii="Times New Roman" w:hAnsi="Times New Roman" w:eastAsia="宋体" w:cs="Times New Roman"/>
          <w:b/>
          <w:bCs/>
          <w:i w:val="0"/>
          <w:kern w:val="0"/>
          <w:sz w:val="24"/>
          <w:szCs w:val="22"/>
          <w:lang w:eastAsia="en-US"/>
        </w:rPr>
      </w:pPr>
      <w:r>
        <w:rPr>
          <w:rFonts w:ascii="宋体" w:hAnsi="宋体" w:eastAsia="宋体" w:cs="宋体"/>
          <w:sz w:val="24"/>
          <w:szCs w:val="24"/>
        </w:rPr>
        <w:t>第四章实证分析对上述问题提供了新的量化视角。灰色关联度分析显示，</w:t>
      </w:r>
      <w:r>
        <w:rPr>
          <w:rFonts w:hint="eastAsia" w:ascii="宋体" w:hAnsi="宋体" w:cs="宋体"/>
          <w:sz w:val="24"/>
          <w:szCs w:val="24"/>
          <w:lang w:eastAsia="zh-CN"/>
        </w:rPr>
        <w:t>“</w:t>
      </w:r>
      <w:r>
        <w:rPr>
          <w:rFonts w:ascii="宋体" w:hAnsi="宋体" w:eastAsia="宋体" w:cs="宋体"/>
          <w:sz w:val="24"/>
          <w:szCs w:val="24"/>
        </w:rPr>
        <w:t>盈余额绝对值</w:t>
      </w:r>
      <w:r>
        <w:rPr>
          <w:rFonts w:hint="eastAsia" w:ascii="宋体" w:hAnsi="宋体" w:cs="宋体"/>
          <w:sz w:val="24"/>
          <w:szCs w:val="24"/>
          <w:lang w:eastAsia="zh-CN"/>
        </w:rPr>
        <w:t>”</w:t>
      </w:r>
      <w:r>
        <w:rPr>
          <w:rFonts w:ascii="宋体" w:hAnsi="宋体" w:eastAsia="宋体" w:cs="宋体"/>
          <w:sz w:val="24"/>
          <w:szCs w:val="24"/>
        </w:rPr>
        <w:t>在H1和H3中均为关联度最高的指标（H1: γ=0.807, H3: γ=0.866），揭示了盈余的</w:t>
      </w:r>
      <w:r>
        <w:rPr>
          <w:rFonts w:hint="eastAsia" w:ascii="宋体" w:hAnsi="宋体" w:cs="宋体"/>
          <w:sz w:val="24"/>
          <w:szCs w:val="24"/>
          <w:lang w:eastAsia="zh-CN"/>
        </w:rPr>
        <w:t>“</w:t>
      </w:r>
      <w:r>
        <w:rPr>
          <w:rFonts w:ascii="宋体" w:hAnsi="宋体" w:eastAsia="宋体" w:cs="宋体"/>
          <w:sz w:val="24"/>
          <w:szCs w:val="24"/>
        </w:rPr>
        <w:t>自我强化效应</w:t>
      </w:r>
      <w:r>
        <w:rPr>
          <w:rFonts w:hint="eastAsia" w:ascii="宋体" w:hAnsi="宋体" w:cs="宋体"/>
          <w:sz w:val="24"/>
          <w:szCs w:val="24"/>
          <w:lang w:eastAsia="zh-CN"/>
        </w:rPr>
        <w:t>”</w:t>
      </w:r>
      <w:r>
        <w:rPr>
          <w:rFonts w:ascii="宋体" w:hAnsi="宋体" w:eastAsia="宋体" w:cs="宋体"/>
          <w:sz w:val="24"/>
          <w:szCs w:val="24"/>
        </w:rPr>
        <w:t>——一旦某月实现正盈余，后续月份更容易保持正向循环。这一发现对激励机制设计具有重要启示：</w:t>
      </w:r>
      <w:r>
        <w:rPr>
          <w:rFonts w:ascii="宋体" w:hAnsi="宋体" w:eastAsia="宋体" w:cs="宋体"/>
          <w:b/>
          <w:bCs/>
          <w:sz w:val="24"/>
          <w:szCs w:val="24"/>
        </w:rPr>
        <w:t>如果</w:t>
      </w:r>
      <w:r>
        <w:rPr>
          <w:rFonts w:hint="eastAsia" w:ascii="宋体" w:hAnsi="宋体" w:cs="宋体"/>
          <w:b/>
          <w:bCs/>
          <w:sz w:val="24"/>
          <w:szCs w:val="24"/>
          <w:lang w:eastAsia="zh-CN"/>
        </w:rPr>
        <w:t>集中管理协同收益</w:t>
      </w:r>
      <w:r>
        <w:rPr>
          <w:rFonts w:ascii="宋体" w:hAnsi="宋体" w:eastAsia="宋体" w:cs="宋体"/>
          <w:b/>
          <w:bCs/>
          <w:sz w:val="24"/>
          <w:szCs w:val="24"/>
        </w:rPr>
        <w:t>抽取打断了院区的正向盈余循环，其负面影响将通过</w:t>
      </w:r>
      <w:r>
        <w:rPr>
          <w:rFonts w:hint="eastAsia" w:ascii="宋体" w:hAnsi="宋体" w:cs="宋体"/>
          <w:b/>
          <w:bCs/>
          <w:sz w:val="24"/>
          <w:szCs w:val="24"/>
          <w:lang w:eastAsia="zh-CN"/>
        </w:rPr>
        <w:t>“</w:t>
      </w:r>
      <w:r>
        <w:rPr>
          <w:rFonts w:ascii="宋体" w:hAnsi="宋体" w:eastAsia="宋体" w:cs="宋体"/>
          <w:b/>
          <w:bCs/>
          <w:sz w:val="24"/>
          <w:szCs w:val="24"/>
        </w:rPr>
        <w:t>自我弱化效应</w:t>
      </w:r>
      <w:r>
        <w:rPr>
          <w:rFonts w:hint="eastAsia" w:ascii="宋体" w:hAnsi="宋体" w:cs="宋体"/>
          <w:b/>
          <w:bCs/>
          <w:sz w:val="24"/>
          <w:szCs w:val="24"/>
          <w:lang w:eastAsia="zh-CN"/>
        </w:rPr>
        <w:t>”</w:t>
      </w:r>
      <w:r>
        <w:rPr>
          <w:rFonts w:ascii="宋体" w:hAnsi="宋体" w:eastAsia="宋体" w:cs="宋体"/>
          <w:b/>
          <w:bCs/>
          <w:sz w:val="24"/>
          <w:szCs w:val="24"/>
        </w:rPr>
        <w:t>被放大——不仅当月利润减少，后续月份的改善动力也会受损。</w:t>
      </w:r>
    </w:p>
    <w:p w14:paraId="330EF29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这种利益结构导致了两个问题：</w:t>
      </w:r>
    </w:p>
    <w:p w14:paraId="20EB270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问题一：院区控费动力不足。</w:t>
      </w:r>
      <w:r>
        <w:rPr>
          <w:rFonts w:hint="eastAsia" w:ascii="Times New Roman" w:hAnsi="Times New Roman" w:eastAsia="宋体" w:cs="Times New Roman"/>
          <w:b w:val="0"/>
          <w:i w:val="0"/>
          <w:kern w:val="0"/>
          <w:sz w:val="24"/>
          <w:szCs w:val="22"/>
          <w:lang w:eastAsia="en-US"/>
        </w:rPr>
        <w:t xml:space="preserve"> 院区管理层可能认为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控费是给集团打工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，缺乏内生动力。</w:t>
      </w:r>
    </w:p>
    <w:p w14:paraId="0B06F12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问题二：集团与院区信任受损。</w:t>
      </w:r>
      <w:r>
        <w:rPr>
          <w:rFonts w:hint="eastAsia" w:ascii="Times New Roman" w:hAnsi="Times New Roman" w:eastAsia="宋体" w:cs="Times New Roman"/>
          <w:b w:val="0"/>
          <w:i w:val="0"/>
          <w:kern w:val="0"/>
          <w:sz w:val="24"/>
          <w:szCs w:val="22"/>
          <w:lang w:eastAsia="en-US"/>
        </w:rPr>
        <w:t xml:space="preserve"> 院区可能通过</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体外循环</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（绕开供应链平台采购）来规避</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，损害集团整体利益。</w:t>
      </w:r>
    </w:p>
    <w:p w14:paraId="64A71CDC">
      <w:pPr>
        <w:pStyle w:val="4"/>
        <w:bidi w:val="0"/>
        <w:rPr>
          <w:lang w:val="en-US" w:eastAsia="en-US"/>
        </w:rPr>
      </w:pPr>
      <w:bookmarkStart w:id="128" w:name="_Toc9483"/>
      <w:bookmarkStart w:id="129" w:name="_Toc16049"/>
      <w:r>
        <w:rPr>
          <w:rFonts w:hint="eastAsia"/>
          <w:lang w:val="en-US" w:eastAsia="en-US"/>
        </w:rPr>
        <w:t>阶梯化</w:t>
      </w:r>
      <w:r>
        <w:rPr>
          <w:rFonts w:hint="eastAsia"/>
          <w:lang w:val="en-US" w:eastAsia="zh-CN"/>
        </w:rPr>
        <w:t>集中管理协同收益</w:t>
      </w:r>
      <w:r>
        <w:rPr>
          <w:rFonts w:hint="eastAsia"/>
          <w:lang w:val="en-US" w:eastAsia="en-US"/>
        </w:rPr>
        <w:t>返还机制设计</w:t>
      </w:r>
      <w:bookmarkEnd w:id="128"/>
      <w:bookmarkEnd w:id="129"/>
    </w:p>
    <w:p w14:paraId="0D8DBB1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针对上述问题，本研究建议建立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阶梯化</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返还</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机制</w:t>
      </w:r>
      <w:r>
        <w:rPr>
          <w:rFonts w:hint="eastAsia" w:ascii="Times New Roman" w:hAnsi="Times New Roman" w:eastAsia="宋体" w:cs="Times New Roman"/>
          <w:b w:val="0"/>
          <w:i w:val="0"/>
          <w:kern w:val="0"/>
          <w:sz w:val="24"/>
          <w:szCs w:val="22"/>
          <w:lang w:eastAsia="en-US"/>
        </w:rPr>
        <w:t>，核心思想是：</w:t>
      </w:r>
      <w:r>
        <w:rPr>
          <w:rFonts w:hint="eastAsia" w:ascii="Times New Roman" w:hAnsi="Times New Roman" w:eastAsia="宋体" w:cs="Times New Roman"/>
          <w:b/>
          <w:i w:val="0"/>
          <w:kern w:val="0"/>
          <w:sz w:val="24"/>
          <w:szCs w:val="22"/>
          <w:lang w:eastAsia="en-US"/>
        </w:rPr>
        <w:t>将部分</w:t>
      </w:r>
      <w:r>
        <w:rPr>
          <w:rFonts w:hint="eastAsia" w:cs="Times New Roman"/>
          <w:b/>
          <w:i w:val="0"/>
          <w:kern w:val="0"/>
          <w:sz w:val="24"/>
          <w:szCs w:val="22"/>
          <w:lang w:eastAsia="zh-CN"/>
        </w:rPr>
        <w:t>集中管理协同收益</w:t>
      </w:r>
      <w:r>
        <w:rPr>
          <w:rFonts w:hint="eastAsia" w:ascii="Times New Roman" w:hAnsi="Times New Roman" w:eastAsia="宋体" w:cs="Times New Roman"/>
          <w:b/>
          <w:i w:val="0"/>
          <w:kern w:val="0"/>
          <w:sz w:val="24"/>
          <w:szCs w:val="22"/>
          <w:lang w:eastAsia="en-US"/>
        </w:rPr>
        <w:t>返还给控费效果好的院区，实现集团与院区的利益共享</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6</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463A5FA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机制设计</w:t>
      </w:r>
      <w:r>
        <w:rPr>
          <w:rFonts w:hint="eastAsia" w:ascii="Times New Roman" w:hAnsi="Times New Roman" w:eastAsia="宋体" w:cs="Times New Roman"/>
          <w:b w:val="0"/>
          <w:i w:val="0"/>
          <w:kern w:val="0"/>
          <w:sz w:val="24"/>
          <w:szCs w:val="22"/>
          <w:lang w:eastAsia="en-US"/>
        </w:rPr>
        <w:t>：</w:t>
      </w:r>
    </w:p>
    <w:p w14:paraId="10A9640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1：设定基准费率</w:t>
      </w:r>
    </w:p>
    <w:p w14:paraId="386A256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en-US"/>
        </w:rPr>
        <w:t>根据品类属性差异化设定基准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率，其中常规药品、普通耗材、高值耗材、基础输液品类执行差异化的费率标准，核心品类费率保持行业合理区间</w:t>
      </w:r>
      <w:r>
        <w:rPr>
          <w:rFonts w:hint="eastAsia" w:cs="Times New Roman"/>
          <w:b w:val="0"/>
          <w:i w:val="0"/>
          <w:kern w:val="0"/>
          <w:sz w:val="24"/>
          <w:szCs w:val="22"/>
          <w:lang w:eastAsia="zh-CN"/>
        </w:rPr>
        <w:t>。</w:t>
      </w:r>
    </w:p>
    <w:p w14:paraId="655CDAD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2：建立返还阶梯</w:t>
      </w:r>
    </w:p>
    <w:p w14:paraId="1F3FD75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根据院区的</w:t>
      </w:r>
      <w:r>
        <w:rPr>
          <w:rFonts w:hint="eastAsia" w:ascii="Times New Roman" w:hAnsi="Times New Roman" w:eastAsia="宋体" w:cs="Times New Roman"/>
          <w:b/>
          <w:i w:val="0"/>
          <w:kern w:val="0"/>
          <w:sz w:val="24"/>
          <w:szCs w:val="22"/>
          <w:lang w:eastAsia="en-US"/>
        </w:rPr>
        <w:t>医保盈余率</w:t>
      </w:r>
      <w:r>
        <w:rPr>
          <w:rFonts w:hint="eastAsia" w:ascii="Times New Roman" w:hAnsi="Times New Roman" w:eastAsia="宋体" w:cs="Times New Roman"/>
          <w:b w:val="0"/>
          <w:i w:val="0"/>
          <w:kern w:val="0"/>
          <w:sz w:val="24"/>
          <w:szCs w:val="22"/>
          <w:lang w:eastAsia="en-US"/>
        </w:rPr>
        <w:t>表现，设定</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返还比例：</w:t>
      </w:r>
    </w:p>
    <w:p w14:paraId="5104B775">
      <w:pPr>
        <w:pStyle w:val="12"/>
        <w:bidi w:val="0"/>
        <w:rPr>
          <w:lang w:eastAsia="en-US"/>
        </w:rPr>
      </w:pPr>
      <w:r>
        <w:t>表 5.3 阶梯化集中管理协同收益返还标准</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4E1D2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2D9BBAF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院区医保盈余率</w:t>
            </w:r>
          </w:p>
        </w:tc>
        <w:tc>
          <w:tcPr>
            <w:tcW w:w="2986" w:type="dxa"/>
          </w:tcPr>
          <w:p w14:paraId="6E5FE80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cs="Times New Roman"/>
                <w:b w:val="0"/>
                <w:i w:val="0"/>
                <w:kern w:val="0"/>
                <w:sz w:val="22"/>
                <w:szCs w:val="22"/>
                <w:lang w:eastAsia="zh-CN"/>
              </w:rPr>
              <w:t>集中管理协同收益</w:t>
            </w:r>
            <w:r>
              <w:rPr>
                <w:rFonts w:hint="eastAsia" w:ascii="Times New Roman" w:hAnsi="Times New Roman" w:eastAsia="宋体" w:cs="Times New Roman"/>
                <w:b w:val="0"/>
                <w:i w:val="0"/>
                <w:kern w:val="0"/>
                <w:sz w:val="22"/>
                <w:szCs w:val="22"/>
                <w:lang w:eastAsia="en-US"/>
              </w:rPr>
              <w:t>返还比例</w:t>
            </w:r>
          </w:p>
        </w:tc>
        <w:tc>
          <w:tcPr>
            <w:tcW w:w="2986" w:type="dxa"/>
          </w:tcPr>
          <w:p w14:paraId="766034F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说明</w:t>
            </w:r>
          </w:p>
        </w:tc>
      </w:tr>
      <w:tr w14:paraId="699B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554EB95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+5%</w:t>
            </w:r>
          </w:p>
        </w:tc>
        <w:tc>
          <w:tcPr>
            <w:tcW w:w="2986" w:type="dxa"/>
          </w:tcPr>
          <w:p w14:paraId="57B7DB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返还40%</w:t>
            </w:r>
          </w:p>
        </w:tc>
        <w:tc>
          <w:tcPr>
            <w:tcW w:w="2986" w:type="dxa"/>
          </w:tcPr>
          <w:p w14:paraId="4F0C301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卓越控费，最高激励</w:t>
            </w:r>
          </w:p>
        </w:tc>
      </w:tr>
      <w:tr w14:paraId="5498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743B3E0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 ~ +5%</w:t>
            </w:r>
          </w:p>
        </w:tc>
        <w:tc>
          <w:tcPr>
            <w:tcW w:w="2986" w:type="dxa"/>
          </w:tcPr>
          <w:p w14:paraId="7D11EEA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返还30%</w:t>
            </w:r>
          </w:p>
        </w:tc>
        <w:tc>
          <w:tcPr>
            <w:tcW w:w="2986" w:type="dxa"/>
          </w:tcPr>
          <w:p w14:paraId="3A2711D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优秀控费，显著激励</w:t>
            </w:r>
          </w:p>
        </w:tc>
      </w:tr>
      <w:tr w14:paraId="055E0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39862A7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0% ~ +2%</w:t>
            </w:r>
          </w:p>
        </w:tc>
        <w:tc>
          <w:tcPr>
            <w:tcW w:w="2986" w:type="dxa"/>
          </w:tcPr>
          <w:p w14:paraId="1AF77FD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返还20%</w:t>
            </w:r>
          </w:p>
        </w:tc>
        <w:tc>
          <w:tcPr>
            <w:tcW w:w="2986" w:type="dxa"/>
          </w:tcPr>
          <w:p w14:paraId="6FF8BD2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良好控费，基础激励</w:t>
            </w:r>
          </w:p>
        </w:tc>
      </w:tr>
      <w:tr w14:paraId="73A3F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DA591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 ~ 0%</w:t>
            </w:r>
          </w:p>
        </w:tc>
        <w:tc>
          <w:tcPr>
            <w:tcW w:w="2986" w:type="dxa"/>
          </w:tcPr>
          <w:p w14:paraId="2F7F369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返还10%</w:t>
            </w:r>
          </w:p>
        </w:tc>
        <w:tc>
          <w:tcPr>
            <w:tcW w:w="2986" w:type="dxa"/>
          </w:tcPr>
          <w:p w14:paraId="201394F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及格控费，最低激励</w:t>
            </w:r>
          </w:p>
        </w:tc>
      </w:tr>
      <w:tr w14:paraId="34C1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AE700D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&lt; -5%</w:t>
            </w:r>
          </w:p>
        </w:tc>
        <w:tc>
          <w:tcPr>
            <w:tcW w:w="2986" w:type="dxa"/>
          </w:tcPr>
          <w:p w14:paraId="7616CAF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不返还</w:t>
            </w:r>
          </w:p>
        </w:tc>
        <w:tc>
          <w:tcPr>
            <w:tcW w:w="2986" w:type="dxa"/>
          </w:tcPr>
          <w:p w14:paraId="41D128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控费不达标，无激励</w:t>
            </w:r>
          </w:p>
        </w:tc>
      </w:tr>
    </w:tbl>
    <w:p w14:paraId="7BE9A0CC">
      <w:pPr>
        <w:pStyle w:val="19"/>
        <w:bidi w:val="0"/>
        <w:rPr>
          <w:lang w:eastAsia="en-US"/>
        </w:rPr>
      </w:pPr>
      <w:r>
        <w:rPr>
          <w:rFonts w:hint="eastAsia"/>
          <w:lang w:eastAsia="en-US"/>
        </w:rPr>
        <w:t>注：本阶梯化</w:t>
      </w:r>
      <w:r>
        <w:rPr>
          <w:rFonts w:hint="eastAsia"/>
          <w:lang w:eastAsia="zh-CN"/>
        </w:rPr>
        <w:t>集中管理协同收益</w:t>
      </w:r>
      <w:r>
        <w:rPr>
          <w:rFonts w:hint="eastAsia"/>
          <w:lang w:eastAsia="en-US"/>
        </w:rPr>
        <w:t>返还标准目前处于方案设计与论证阶段，尚未在</w:t>
      </w:r>
      <w:r>
        <w:rPr>
          <w:rFonts w:hint="eastAsia"/>
          <w:lang w:eastAsia="zh-CN"/>
        </w:rPr>
        <w:t>A医疗集团</w:t>
      </w:r>
      <w:r>
        <w:rPr>
          <w:rFonts w:hint="eastAsia"/>
          <w:lang w:eastAsia="en-US"/>
        </w:rPr>
        <w:t>全范围内正式发文执行。</w:t>
      </w:r>
    </w:p>
    <w:p w14:paraId="172D9D1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理论意义</w:t>
      </w:r>
      <w:r>
        <w:rPr>
          <w:rFonts w:hint="eastAsia" w:ascii="Times New Roman" w:hAnsi="Times New Roman" w:eastAsia="宋体" w:cs="Times New Roman"/>
          <w:b w:val="0"/>
          <w:i w:val="0"/>
          <w:kern w:val="0"/>
          <w:sz w:val="24"/>
          <w:szCs w:val="22"/>
          <w:lang w:eastAsia="en-US"/>
        </w:rPr>
        <w:t>：这种基于绩效的差异化返还机制，本质上是对集团化管控中常见的</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委托-代理</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信任危机</w:t>
      </w:r>
      <w:r>
        <w:rPr>
          <w:rFonts w:hint="eastAsia" w:ascii="Times New Roman" w:hAnsi="Times New Roman" w:eastAsia="宋体" w:cs="Times New Roman"/>
          <w:b w:val="0"/>
          <w:i w:val="0"/>
          <w:kern w:val="0"/>
          <w:sz w:val="24"/>
          <w:szCs w:val="22"/>
          <w:lang w:eastAsia="en-US"/>
        </w:rPr>
        <w:t>的制度性回应。通过将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的价值构成（集采溢价、融资担保、合规风控等）显性化，并建立与院区经营绩效挂钩的返还规则，可有效缓解院区管理层</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集团抽血</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的负面认知，重建总部与院区之间的信任基础。</w:t>
      </w:r>
    </w:p>
    <w:p w14:paraId="4FEF8B7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3：返还资金用途限定</w:t>
      </w:r>
    </w:p>
    <w:p w14:paraId="2C78290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返还的</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不得作为院区一般性收入，而必须</w:t>
      </w:r>
      <w:r>
        <w:rPr>
          <w:rFonts w:hint="eastAsia" w:ascii="Times New Roman" w:hAnsi="Times New Roman" w:eastAsia="宋体" w:cs="Times New Roman"/>
          <w:b/>
          <w:i w:val="0"/>
          <w:kern w:val="0"/>
          <w:sz w:val="24"/>
          <w:szCs w:val="22"/>
          <w:lang w:eastAsia="en-US"/>
        </w:rPr>
        <w:t>定向用于以下用途</w:t>
      </w:r>
      <w:r>
        <w:rPr>
          <w:rFonts w:hint="eastAsia" w:ascii="Times New Roman" w:hAnsi="Times New Roman" w:eastAsia="宋体" w:cs="Times New Roman"/>
          <w:b w:val="0"/>
          <w:i w:val="0"/>
          <w:kern w:val="0"/>
          <w:sz w:val="24"/>
          <w:szCs w:val="22"/>
          <w:lang w:eastAsia="en-US"/>
        </w:rPr>
        <w:t>：</w:t>
      </w:r>
    </w:p>
    <w:p w14:paraId="29DB034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临床科室绩效奖励（不低于50%）</w:t>
      </w:r>
    </w:p>
    <w:p w14:paraId="0753421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学科建设专项（不超过30%）</w:t>
      </w:r>
    </w:p>
    <w:p w14:paraId="56FDCA5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医疗质量改进（不超过20%）</w:t>
      </w:r>
    </w:p>
    <w:p w14:paraId="56717B4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示例</w:t>
      </w:r>
      <w:r>
        <w:rPr>
          <w:rFonts w:hint="eastAsia" w:ascii="Times New Roman" w:hAnsi="Times New Roman" w:eastAsia="宋体" w:cs="Times New Roman"/>
          <w:b w:val="0"/>
          <w:i w:val="0"/>
          <w:kern w:val="0"/>
          <w:sz w:val="24"/>
          <w:szCs w:val="22"/>
          <w:lang w:eastAsia="en-US"/>
        </w:rPr>
        <w:t>：假设H1医院年度药品采购额为1亿元，基准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率15%，则基准</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为1,500万元。若H1医院年度医保盈余率达到+3%（属于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优秀控费</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 xml:space="preserve">），则可获得返还：1,500万 × 30% = </w:t>
      </w:r>
      <w:r>
        <w:rPr>
          <w:rFonts w:hint="eastAsia" w:ascii="Times New Roman" w:hAnsi="Times New Roman" w:eastAsia="宋体" w:cs="Times New Roman"/>
          <w:b/>
          <w:i w:val="0"/>
          <w:kern w:val="0"/>
          <w:sz w:val="24"/>
          <w:szCs w:val="22"/>
          <w:lang w:eastAsia="en-US"/>
        </w:rPr>
        <w:t>450万元</w:t>
      </w:r>
      <w:r>
        <w:rPr>
          <w:rFonts w:hint="eastAsia" w:ascii="Times New Roman" w:hAnsi="Times New Roman" w:eastAsia="宋体" w:cs="Times New Roman"/>
          <w:b w:val="0"/>
          <w:i w:val="0"/>
          <w:kern w:val="0"/>
          <w:sz w:val="24"/>
          <w:szCs w:val="22"/>
          <w:lang w:eastAsia="en-US"/>
        </w:rPr>
        <w:t>。其中至少225万元必须用于临床科室绩效奖励。</w:t>
      </w:r>
    </w:p>
    <w:p w14:paraId="738FFA39">
      <w:pPr>
        <w:pStyle w:val="4"/>
        <w:bidi w:val="0"/>
        <w:rPr>
          <w:lang w:val="en-US" w:eastAsia="en-US"/>
        </w:rPr>
      </w:pPr>
      <w:bookmarkStart w:id="130" w:name="_Toc17858"/>
      <w:bookmarkStart w:id="131" w:name="_Toc21278"/>
      <w:r>
        <w:rPr>
          <w:rFonts w:hint="eastAsia"/>
          <w:lang w:val="en-US" w:eastAsia="en-US"/>
        </w:rPr>
        <w:t>机制优势分析</w:t>
      </w:r>
      <w:bookmarkEnd w:id="130"/>
      <w:bookmarkEnd w:id="131"/>
    </w:p>
    <w:p w14:paraId="2072250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优势一：激励相容。</w:t>
      </w:r>
      <w:r>
        <w:rPr>
          <w:rFonts w:hint="eastAsia" w:ascii="Times New Roman" w:hAnsi="Times New Roman" w:eastAsia="宋体" w:cs="Times New Roman"/>
          <w:b w:val="0"/>
          <w:i w:val="0"/>
          <w:kern w:val="0"/>
          <w:sz w:val="24"/>
          <w:szCs w:val="22"/>
          <w:lang w:eastAsia="en-US"/>
        </w:rPr>
        <w:t xml:space="preserve"> 院区控费越好，不仅医保盈余增加，还能获得更多</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返还，形成正向激励循环。</w:t>
      </w:r>
    </w:p>
    <w:p w14:paraId="27BFBDC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优势二：利益共享。</w:t>
      </w:r>
      <w:r>
        <w:rPr>
          <w:rFonts w:hint="eastAsia" w:ascii="Times New Roman" w:hAnsi="Times New Roman" w:eastAsia="宋体" w:cs="Times New Roman"/>
          <w:b w:val="0"/>
          <w:i w:val="0"/>
          <w:kern w:val="0"/>
          <w:sz w:val="24"/>
          <w:szCs w:val="22"/>
          <w:lang w:eastAsia="en-US"/>
        </w:rPr>
        <w:t xml:space="preserve"> </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返还使院区分享了供应链协同的红利，缓解了</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集团抽血</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的负面认知。</w:t>
      </w:r>
    </w:p>
    <w:p w14:paraId="505E533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优势三：合规导向。</w:t>
      </w:r>
      <w:r>
        <w:rPr>
          <w:rFonts w:hint="eastAsia" w:ascii="Times New Roman" w:hAnsi="Times New Roman" w:eastAsia="宋体" w:cs="Times New Roman"/>
          <w:b w:val="0"/>
          <w:i w:val="0"/>
          <w:kern w:val="0"/>
          <w:sz w:val="24"/>
          <w:szCs w:val="22"/>
          <w:lang w:eastAsia="en-US"/>
        </w:rPr>
        <w:t xml:space="preserve"> 返还资金定向用于临床绩效和学科建设，确保激励效果落实到一线。</w:t>
      </w:r>
    </w:p>
    <w:p w14:paraId="32331C68">
      <w:pPr>
        <w:pStyle w:val="3"/>
        <w:bidi w:val="0"/>
        <w:rPr>
          <w:lang w:val="en-US" w:eastAsia="en-US"/>
        </w:rPr>
      </w:pPr>
      <w:bookmarkStart w:id="132" w:name="_Toc2251"/>
      <w:bookmarkStart w:id="133" w:name="_Toc10037"/>
      <w:r>
        <w:rPr>
          <w:rFonts w:hint="eastAsia"/>
          <w:lang w:val="en-US" w:eastAsia="en-US"/>
        </w:rPr>
        <w:t>H1医院管理转型试点成果与推广经验</w:t>
      </w:r>
      <w:bookmarkEnd w:id="132"/>
    </w:p>
    <w:p w14:paraId="4A882D74">
      <w:pPr>
        <w:pStyle w:val="4"/>
        <w:bidi w:val="0"/>
        <w:rPr>
          <w:lang w:val="en-US" w:eastAsia="en-US"/>
        </w:rPr>
      </w:pPr>
      <w:bookmarkStart w:id="134" w:name="_Toc30297"/>
      <w:r>
        <w:rPr>
          <w:rFonts w:hint="eastAsia"/>
          <w:lang w:val="en-US" w:eastAsia="en-US"/>
        </w:rPr>
        <w:t>试点背景与组织保障</w:t>
      </w:r>
      <w:bookmarkEnd w:id="134"/>
    </w:p>
    <w:p w14:paraId="33A0E00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为验证本研究提出的优化策略可行性，A医疗集团于2024年1月在H1启动管理转型试点。作为集团</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1+N</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发展战略的核心节点，H1医院承担了</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三位一体</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保障机制的首试任务，即通过组织重构、制度重塑与IT赋能，构建从集团战略到临床执行的完整治理闭环。</w:t>
      </w:r>
    </w:p>
    <w:p w14:paraId="33D6B7E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（1）组织保障：扁平化代理链条</w:t>
      </w:r>
    </w:p>
    <w:p w14:paraId="2506C8C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集团层面设立DRG/DIP战略委员会（CEO牵头），打破原有</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集团</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职能部门</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医院</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科室</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的四级代理结构；H1医院成立临床路径工作组（院长任组长，科主任+医保专员+护士长参与），直接向集团分管副总裁汇报，缩短委托代理链条，降低信息不对称。</w:t>
      </w:r>
    </w:p>
    <w:p w14:paraId="5CD1918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（2）制度保障：激励相容契约设计</w:t>
      </w:r>
    </w:p>
    <w:p w14:paraId="518DE09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修订绩效考核办法，将CMI（30%）、医保盈余率（25%）、成本控制率（25%）纳入核心指标，设置阶梯式奖励（CMI每升0.1，绩效+2%）。通过剩余索取权分配，使科室（代理人）在追求收入最大化的同时自动实现集团（委托人）的控费目标。</w:t>
      </w:r>
    </w:p>
    <w:p w14:paraId="517ED2D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（3）IT保障：信息实时披露系统</w:t>
      </w:r>
    </w:p>
    <w:p w14:paraId="59D972A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cs="Times New Roman"/>
          <w:b w:val="0"/>
          <w:i w:val="0"/>
          <w:kern w:val="0"/>
          <w:sz w:val="24"/>
          <w:szCs w:val="22"/>
          <w:lang w:val="en-US" w:eastAsia="zh-CN"/>
        </w:rPr>
        <w:t>使用</w:t>
      </w:r>
      <w:r>
        <w:rPr>
          <w:rFonts w:hint="eastAsia" w:ascii="Times New Roman" w:hAnsi="Times New Roman" w:eastAsia="宋体" w:cs="Times New Roman"/>
          <w:b w:val="0"/>
          <w:i w:val="0"/>
          <w:kern w:val="0"/>
          <w:sz w:val="24"/>
          <w:szCs w:val="22"/>
          <w:lang w:val="en-US" w:eastAsia="en-US"/>
        </w:rPr>
        <w:t>智能审核系统实现DRG预分组、成本实时追踪、盈余率动态看板，解决委托代理中的行为不可观测性问题，将监督成本转化为技术赋能。</w:t>
      </w:r>
    </w:p>
    <w:p w14:paraId="12DBC10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2024年2月完成全院科室成本核算体系搭建，通过外部供应商驻场支持在1个月内完成系统上线和历史数据导入，实现所有临床科室单病种成本追踪。2024年3月启动临床路径标准化工程，首批选择手术标准化程度高、病种相对集中的科室作为试点，包括骨科（人工关节置换、骨折内固定）、普外科（阑尾炎、疝气、胆囊切除）等10个科室。</w:t>
      </w:r>
    </w:p>
    <w:p w14:paraId="0EBDF01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H1医院的</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三位一体</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实践为集团层面构建标准化管理体系提供了原型。基于该试点经验，集团将相关机制制度化、标准化，形成可复制的管理保障体系（详见第六章）。</w:t>
      </w:r>
    </w:p>
    <w:p w14:paraId="2E03A73E">
      <w:pPr>
        <w:pStyle w:val="4"/>
        <w:bidi w:val="0"/>
        <w:rPr>
          <w:lang w:val="en-US" w:eastAsia="en-US"/>
        </w:rPr>
      </w:pPr>
      <w:bookmarkStart w:id="135" w:name="_Toc2971"/>
      <w:r>
        <w:rPr>
          <w:rFonts w:hint="eastAsia"/>
          <w:lang w:val="en-US" w:eastAsia="en-US"/>
        </w:rPr>
        <w:t>核心管理措施：三维框架的落地实践</w:t>
      </w:r>
      <w:bookmarkEnd w:id="135"/>
    </w:p>
    <w:p w14:paraId="291E78E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基于</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价值创造—成本控制—激励相容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三维分析框架，试点期间实施的核心措施包括五项。</w:t>
      </w:r>
    </w:p>
    <w:p w14:paraId="73848AE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第一，集采执行强化（成本控制维度）。 通过集团供应链平台强制推行药品耗材集中采购，集采执行率从2023年12月的28%提升至2024年12月的42%，提升幅度达14个百分点。试点初期发现部分骨科病例使用进口品牌髋关节假体（单价约5.2万元），而集采同类产品价格仅为2.4万元，单病例多支出约2.8万元。医院建立了</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三级审核+月度公示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机制：单病种费用超过DRG基准值1.3倍需科主任审核，超过1.5倍需院长审核，超过2.0倍需集团财务总监审核。</w:t>
      </w:r>
    </w:p>
    <w:p w14:paraId="1AC1E56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第二，临床路径标准化（成本控制维度）。 依据国家卫健委《临床路径管理指导原则（202</w:t>
      </w:r>
      <w:r>
        <w:rPr>
          <w:rFonts w:hint="eastAsia" w:cs="Times New Roman"/>
          <w:b w:val="0"/>
          <w:i w:val="0"/>
          <w:kern w:val="0"/>
          <w:sz w:val="24"/>
          <w:szCs w:val="22"/>
          <w:lang w:val="en-US" w:eastAsia="zh-CN"/>
        </w:rPr>
        <w:t>4</w:t>
      </w:r>
      <w:r>
        <w:rPr>
          <w:rFonts w:hint="eastAsia" w:ascii="Times New Roman" w:hAnsi="Times New Roman" w:eastAsia="宋体" w:cs="Times New Roman"/>
          <w:b w:val="0"/>
          <w:i w:val="0"/>
          <w:kern w:val="0"/>
          <w:sz w:val="24"/>
          <w:szCs w:val="22"/>
          <w:lang w:val="en-US" w:eastAsia="en-US"/>
        </w:rPr>
        <w:t>版）》</w:t>
      </w:r>
      <w:r>
        <w:rPr>
          <w:rFonts w:hint="default" w:ascii="Times New Roman" w:hAnsi="Times New Roman" w:eastAsia="宋体" w:cs="Times New Roman"/>
          <w:kern w:val="2"/>
          <w:sz w:val="24"/>
          <w:szCs w:val="24"/>
          <w:vertAlign w:val="superscript"/>
        </w:rPr>
        <w:t>[3</w:t>
      </w:r>
      <w:r>
        <w:rPr>
          <w:rFonts w:hint="eastAsia" w:cs="Times New Roman"/>
          <w:kern w:val="2"/>
          <w:sz w:val="24"/>
          <w:szCs w:val="24"/>
          <w:vertAlign w:val="superscript"/>
          <w:lang w:val="en-US" w:eastAsia="zh-CN"/>
        </w:rPr>
        <w:t>2</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val="en-US" w:eastAsia="en-US"/>
        </w:rPr>
        <w:t>，制定并实施82个病种的临床路径，覆盖率从2023年的45%提升至2024年的75%，平均住院日从8.5天缩短至7.2天，缩短幅度15%。</w:t>
      </w:r>
    </w:p>
    <w:p w14:paraId="7B61202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第三，DRG编码精准化（价值创造维度）。 组建专业编码团队，对所有出院病例进行DRG编码复核，确保</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应得尽得</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，编码准确率从76%提升至89%。</w:t>
      </w:r>
    </w:p>
    <w:p w14:paraId="4DE10CF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第四，成本控制精细化（成本控制维度）。 建立单病种成本管控红线，对高倍率病例（费用超过DRG基准值1.5倍）实施专项审核，单病种平均成本下降18%。</w:t>
      </w:r>
    </w:p>
    <w:p w14:paraId="575DBDB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第五，绩效激励重构（激励相容维度）。 将成本节约的30%返还给科室作为奖金池增量，实现医院控费目标与医生个人利益的统一</w:t>
      </w:r>
      <w:r>
        <w:rPr>
          <w:rFonts w:hint="eastAsia" w:cs="Times New Roman"/>
          <w:b w:val="0"/>
          <w:i w:val="0"/>
          <w:kern w:val="0"/>
          <w:sz w:val="24"/>
          <w:szCs w:val="22"/>
          <w:lang w:val="en-US" w:eastAsia="zh-CN"/>
        </w:rPr>
        <w:t xml:space="preserve"> </w:t>
      </w:r>
      <w:r>
        <w:rPr>
          <w:rFonts w:hint="eastAsia" w:ascii="Times New Roman" w:hAnsi="Times New Roman" w:eastAsia="宋体" w:cs="Times New Roman"/>
          <w:b w:val="0"/>
          <w:i w:val="0"/>
          <w:kern w:val="0"/>
          <w:sz w:val="24"/>
          <w:szCs w:val="22"/>
          <w:lang w:val="en-US" w:eastAsia="en-US"/>
        </w:rPr>
        <w:t>。</w:t>
      </w:r>
      <w:r>
        <w:rPr>
          <w:rFonts w:hint="eastAsia" w:cs="Times New Roman"/>
          <w:b w:val="0"/>
          <w:i w:val="0"/>
          <w:kern w:val="0"/>
          <w:sz w:val="24"/>
          <w:szCs w:val="22"/>
          <w:lang w:val="en-US" w:eastAsia="zh-CN"/>
        </w:rPr>
        <w:t>例如，某</w:t>
      </w:r>
      <w:r>
        <w:rPr>
          <w:rFonts w:hint="eastAsia" w:ascii="Times New Roman" w:hAnsi="Times New Roman" w:eastAsia="宋体" w:cs="Times New Roman"/>
          <w:b w:val="0"/>
          <w:i w:val="0"/>
          <w:kern w:val="0"/>
          <w:sz w:val="24"/>
          <w:szCs w:val="22"/>
          <w:lang w:val="en-US" w:eastAsia="en-US"/>
        </w:rPr>
        <w:t>核心手术科室通过集采执行强化，全年实现显著的成本节约，其中 30% 的节约金额纳入科室奖金池增量，医生从</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被动执行</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转向</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主动控费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w:t>
      </w:r>
    </w:p>
    <w:p w14:paraId="7D41AE1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三维协同产生的系统效应不可忽视：单纯推行集采（成本控制）节约约1,500万元，但医生积极性不高；单纯优化编码（价值创造）增收约800万元，但不解决成本问题。只有三者协同并加入激励机制，</w:t>
      </w:r>
      <w:r>
        <w:rPr>
          <w:rFonts w:hint="eastAsia" w:cs="Times New Roman"/>
          <w:b w:val="0"/>
          <w:i w:val="0"/>
          <w:kern w:val="0"/>
          <w:sz w:val="24"/>
          <w:szCs w:val="22"/>
          <w:lang w:val="en-US" w:eastAsia="zh-CN"/>
        </w:rPr>
        <w:t>才能</w:t>
      </w:r>
      <w:r>
        <w:rPr>
          <w:rFonts w:hint="eastAsia" w:ascii="Times New Roman" w:hAnsi="Times New Roman" w:eastAsia="宋体" w:cs="Times New Roman"/>
          <w:b w:val="0"/>
          <w:i w:val="0"/>
          <w:kern w:val="0"/>
          <w:sz w:val="24"/>
          <w:szCs w:val="22"/>
          <w:lang w:val="en-US" w:eastAsia="en-US"/>
        </w:rPr>
        <w:t>实现总节约/增收约4,200万元。这一实践印证了第二章理论框架中</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三维缺一不可</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的核心命题。</w:t>
      </w:r>
    </w:p>
    <w:p w14:paraId="65716E32">
      <w:pPr>
        <w:pStyle w:val="4"/>
        <w:bidi w:val="0"/>
        <w:rPr>
          <w:lang w:val="en-US" w:eastAsia="en-US"/>
        </w:rPr>
      </w:pPr>
      <w:bookmarkStart w:id="136" w:name="_Toc21763"/>
      <w:r>
        <w:rPr>
          <w:rFonts w:hint="eastAsia"/>
          <w:lang w:val="en-US" w:eastAsia="en-US"/>
        </w:rPr>
        <w:t>已取得的财务成果</w:t>
      </w:r>
      <w:bookmarkEnd w:id="136"/>
    </w:p>
    <w:p w14:paraId="0005BB55">
      <w:pPr>
        <w:pStyle w:val="12"/>
        <w:bidi w:val="0"/>
        <w:rPr>
          <w:rFonts w:hint="eastAsia"/>
          <w:lang w:eastAsia="en-US"/>
        </w:rPr>
      </w:pPr>
      <w:r>
        <w:t>表 5.4 H1医院管理转型试点前后核心指标对比</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277"/>
        <w:gridCol w:w="750"/>
        <w:gridCol w:w="750"/>
        <w:gridCol w:w="1632"/>
        <w:gridCol w:w="1369"/>
      </w:tblGrid>
      <w:tr w14:paraId="708ED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5FE168EE">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1084663">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2023年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B64137">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2024年</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29B52C1">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2025年1</w:t>
            </w:r>
            <w:r>
              <w:rPr>
                <w:rFonts w:hint="eastAsia" w:cs="Times New Roman"/>
                <w:b/>
                <w:bCs/>
                <w:i w:val="0"/>
                <w:kern w:val="0"/>
                <w:sz w:val="22"/>
                <w:szCs w:val="22"/>
                <w:lang w:val="en-US" w:eastAsia="zh-CN"/>
              </w:rPr>
              <w:t>—</w:t>
            </w:r>
            <w:r>
              <w:rPr>
                <w:rFonts w:hint="eastAsia" w:ascii="Times New Roman" w:hAnsi="Times New Roman" w:eastAsia="宋体" w:cs="Times New Roman"/>
                <w:b/>
                <w:bCs/>
                <w:i w:val="0"/>
                <w:kern w:val="0"/>
                <w:sz w:val="22"/>
                <w:szCs w:val="22"/>
                <w:lang w:val="en-US" w:eastAsia="zh-CN"/>
              </w:rPr>
              <w:t>11月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ED963E1">
            <w:pPr>
              <w:widowControl/>
              <w:spacing w:after="0" w:line="240" w:lineRule="auto"/>
              <w:ind w:firstLine="0" w:firstLineChars="0"/>
              <w:jc w:val="center"/>
              <w:textAlignment w:val="auto"/>
              <w:rPr>
                <w:rFonts w:hint="eastAsia" w:ascii="Times New Roman" w:hAnsi="Times New Roman" w:eastAsia="宋体" w:cs="Times New Roman"/>
                <w:b/>
                <w:bCs/>
                <w:i w:val="0"/>
                <w:kern w:val="0"/>
                <w:sz w:val="22"/>
                <w:szCs w:val="22"/>
                <w:lang w:eastAsia="en-US"/>
              </w:rPr>
            </w:pPr>
            <w:r>
              <w:rPr>
                <w:rFonts w:hint="eastAsia" w:ascii="Times New Roman" w:hAnsi="Times New Roman" w:eastAsia="宋体" w:cs="Times New Roman"/>
                <w:b/>
                <w:bCs/>
                <w:i w:val="0"/>
                <w:kern w:val="0"/>
                <w:sz w:val="22"/>
                <w:szCs w:val="22"/>
                <w:lang w:val="en-US" w:eastAsia="zh-CN"/>
              </w:rPr>
              <w:t>改善幅度</w:t>
            </w:r>
          </w:p>
        </w:tc>
      </w:tr>
      <w:tr w14:paraId="27D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04F4EC3">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医保盈余率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521F4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3AB4FF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-5.2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DBBA2B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72969F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+6.4个百分点</w:t>
            </w:r>
          </w:p>
        </w:tc>
      </w:tr>
      <w:tr w14:paraId="32B76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AA36864">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药耗占比</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E99F3FD">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4E62C5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0AF5CC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DD4D12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-9个百分点</w:t>
            </w:r>
          </w:p>
        </w:tc>
      </w:tr>
      <w:tr w14:paraId="1956E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A08FA3C">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床位周转率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次/年</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FE7676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3FC80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52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66FA25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58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FD6618F">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+29%</w:t>
            </w:r>
          </w:p>
        </w:tc>
      </w:tr>
      <w:tr w14:paraId="79221A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C056256">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平均住院日</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天</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33B5F7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E91954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7.2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BFACFD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6.8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4D979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-20%</w:t>
            </w:r>
          </w:p>
        </w:tc>
      </w:tr>
      <w:tr w14:paraId="79C1A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AA6DAC">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DRG编码准确率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EFC2B0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76</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62C070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89</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62FB5F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91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06671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+15个百分点</w:t>
            </w:r>
          </w:p>
        </w:tc>
      </w:tr>
      <w:tr w14:paraId="78D73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33E9237">
            <w:pPr>
              <w:widowControl/>
              <w:spacing w:after="0" w:line="240" w:lineRule="auto"/>
              <w:ind w:firstLine="0" w:firstLineChars="0"/>
              <w:jc w:val="left"/>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集采执行率</w:t>
            </w:r>
            <w:r>
              <w:rPr>
                <w:rFonts w:hint="eastAsia" w:cs="Times New Roman"/>
                <w:b w:val="0"/>
                <w:i w:val="0"/>
                <w:kern w:val="0"/>
                <w:sz w:val="22"/>
                <w:szCs w:val="22"/>
                <w:lang w:val="en-US" w:eastAsia="zh-CN"/>
              </w:rPr>
              <w:t>（</w:t>
            </w:r>
            <w:r>
              <w:rPr>
                <w:rFonts w:hint="eastAsia" w:ascii="Times New Roman" w:hAnsi="Times New Roman" w:eastAsia="宋体" w:cs="Times New Roman"/>
                <w:b w:val="0"/>
                <w:i w:val="0"/>
                <w:kern w:val="0"/>
                <w:sz w:val="22"/>
                <w:szCs w:val="22"/>
                <w:lang w:val="en-US" w:eastAsia="zh-CN"/>
              </w:rPr>
              <w:t>%</w:t>
            </w:r>
            <w:r>
              <w:rPr>
                <w:rFonts w:hint="eastAsia" w:cs="Times New Roman"/>
                <w:b w:val="0"/>
                <w:i w:val="0"/>
                <w:kern w:val="0"/>
                <w:sz w:val="22"/>
                <w:szCs w:val="22"/>
                <w:lang w:val="en-US" w:eastAsia="zh-CN"/>
              </w:rPr>
              <w:t>）</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4F4EEC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F0EC1E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3C0B6F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1291B4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+17个百分点</w:t>
            </w:r>
          </w:p>
        </w:tc>
      </w:tr>
    </w:tbl>
    <w:p w14:paraId="1389D2EB">
      <w:pPr>
        <w:pStyle w:val="12"/>
        <w:bidi w:val="0"/>
        <w:rPr>
          <w:rFonts w:hint="eastAsia"/>
          <w:lang w:eastAsia="en-US"/>
        </w:rPr>
      </w:pPr>
      <w:r>
        <w:t>图 5.3: H1医院管理转型试点成果</w:t>
      </w:r>
    </w:p>
    <w:p w14:paraId="6B982F22">
      <w:pPr>
        <w:spacing w:line="240" w:lineRule="auto"/>
        <w:ind w:firstLine="0" w:firstLineChars="0"/>
        <w:rPr>
          <w:rFonts w:hint="eastAsia" w:eastAsia="宋体"/>
          <w:lang w:eastAsia="zh-CN"/>
        </w:rPr>
      </w:pPr>
      <w:r>
        <w:rPr>
          <w:rFonts w:hint="eastAsia" w:eastAsia="宋体"/>
          <w:lang w:eastAsia="zh-CN"/>
        </w:rPr>
        <w:drawing>
          <wp:inline distT="0" distB="0" distL="114300" distR="114300">
            <wp:extent cx="6276975" cy="2921635"/>
            <wp:effectExtent l="0" t="0" r="9525" b="12065"/>
            <wp:docPr id="14" name="图片 14" descr="fig5_3_H1_pilot_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ig5_3_H1_pilot_results"/>
                    <pic:cNvPicPr>
                      <a:picLocks noChangeAspect="1"/>
                    </pic:cNvPicPr>
                  </pic:nvPicPr>
                  <pic:blipFill>
                    <a:blip r:embed="rId29"/>
                    <a:stretch>
                      <a:fillRect/>
                    </a:stretch>
                  </pic:blipFill>
                  <pic:spPr>
                    <a:xfrm>
                      <a:off x="0" y="0"/>
                      <a:ext cx="6276975" cy="2921635"/>
                    </a:xfrm>
                    <a:prstGeom prst="rect">
                      <a:avLst/>
                    </a:prstGeom>
                  </pic:spPr>
                </pic:pic>
              </a:graphicData>
            </a:graphic>
          </wp:inline>
        </w:drawing>
      </w:r>
    </w:p>
    <w:p w14:paraId="5EBCCC9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试点数据与ITS结果的交叉验证：表 5.4所示的盈余率改善轨迹（-8.5% → -5.2% → -2.1%）与第四章ITS分析结果高度一致。H1的β₂=-11.50%***反映了2024年1月的即时冲击，β₃=+0.21（不显著）反映冲击被快速吸收——正是因为试点措施在2024年1-3月立即到位，外部冲击在4-6个月内基本被管理改善所抵消，使得干预后斜率变化不显著（“快速止血”而非“缓慢恢复”）。滚动窗口分析进一步证实，H1在W26（即干预后约第2个月）斜率即首次转正。</w:t>
      </w:r>
    </w:p>
    <w:p w14:paraId="72D3139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按照管理会计原则</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4</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H1医院2024年全年成本节约效果量化核算如下：药品耗材集采节约成本约2,800万元（其中高值耗材集采降价幅度平均35%节约1,900万元，药品集采降价幅度平均28%节约900万元）；临床路径标准化节约成本约900万元（主要通过缩短平均住院日和减少非必要检查实现）；床位周转率提升带来增收效应约500万元（按2024年新增周转7次、单次平均收入7.2万元测算）。合计2024年全年节约成本或增收约4,200万元，占2023年医疗总收入的8.6%。</w:t>
      </w:r>
    </w:p>
    <w:p w14:paraId="0918378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1D34CC73">
      <w:pPr>
        <w:pStyle w:val="4"/>
        <w:bidi w:val="0"/>
        <w:rPr>
          <w:rFonts w:hint="eastAsia"/>
          <w:lang w:val="en-US" w:eastAsia="en-US"/>
        </w:rPr>
      </w:pPr>
      <w:bookmarkStart w:id="137" w:name="_Toc13431"/>
      <w:r>
        <w:rPr>
          <w:rFonts w:hint="eastAsia"/>
          <w:lang w:val="en-US" w:eastAsia="en-US"/>
        </w:rPr>
        <w:t>快速响应的价值量化</w:t>
      </w:r>
      <w:bookmarkEnd w:id="137"/>
    </w:p>
    <w:p w14:paraId="6D36FFE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H1医院在2024年1月集团管理转型要求下达后立即启动各项措施，并在3-6个月内见效。对比H3医院因院区管理层观望态度滞后至2024年7月才启动，滞后时间达6个月。</w:t>
      </w:r>
    </w:p>
    <w:p w14:paraId="75822B4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基于ITS结果的损失对比：根据ITS分析结果，在年收入约</w:t>
      </w:r>
      <w:r>
        <w:rPr>
          <w:rFonts w:hint="eastAsia" w:cs="Times New Roman"/>
          <w:b w:val="0"/>
          <w:i w:val="0"/>
          <w:kern w:val="0"/>
          <w:sz w:val="24"/>
          <w:szCs w:val="22"/>
          <w:lang w:val="en-US" w:eastAsia="zh-CN"/>
        </w:rPr>
        <w:t>5亿—6亿</w:t>
      </w:r>
      <w:r>
        <w:rPr>
          <w:rFonts w:hint="eastAsia" w:ascii="Times New Roman" w:hAnsi="Times New Roman" w:eastAsia="宋体" w:cs="Times New Roman"/>
          <w:b w:val="0"/>
          <w:i w:val="0"/>
          <w:kern w:val="0"/>
          <w:sz w:val="24"/>
          <w:szCs w:val="22"/>
          <w:lang w:val="en-US" w:eastAsia="en-US"/>
        </w:rPr>
        <w:t>元规模下，H1医院2024年全年医保</w:t>
      </w:r>
      <w:r>
        <w:rPr>
          <w:rFonts w:hint="eastAsia" w:cs="Times New Roman"/>
          <w:b w:val="0"/>
          <w:i w:val="0"/>
          <w:kern w:val="0"/>
          <w:sz w:val="24"/>
          <w:szCs w:val="22"/>
          <w:lang w:val="en-US" w:eastAsia="zh-CN"/>
        </w:rPr>
        <w:t>盈余</w:t>
      </w:r>
      <w:r>
        <w:rPr>
          <w:rFonts w:hint="eastAsia" w:ascii="Times New Roman" w:hAnsi="Times New Roman" w:eastAsia="宋体" w:cs="Times New Roman"/>
          <w:b w:val="0"/>
          <w:i w:val="0"/>
          <w:kern w:val="0"/>
          <w:sz w:val="24"/>
          <w:szCs w:val="22"/>
          <w:lang w:val="en-US" w:eastAsia="en-US"/>
        </w:rPr>
        <w:t>损失约5,000万元，而H3医院因管理滞后全年损失约8,000万元，H1相比H3少损失约3,000万元。按照滞后6个月计算，平均每滞后1个月约增加损失500万元。第四章滚动窗口分析的</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恢复时间差异</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（H1≈2个月、H3≈5个月、H2≈6个月）为上述估算提供了独立的统计佐证。</w:t>
      </w:r>
    </w:p>
    <w:p w14:paraId="44DFC56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3-6-12</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时滞规律：通过H1医院月度财务数据回溯分析，管理措施从启动到产生财务影响存在明显时滞规律。启动后1-3个月为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措施落地期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（制度建立、人员培训、系统上线，60万元信息化投入），财务影响不明显。启动后4-6个月为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初步见效期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（成本开始下降、盈余率开始企稳，约改善2个百分点）。启动后7-12个月为</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效果显现期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（各项措施充分发挥作用，再改善3</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4个百分点）。这一规律对医疗集团制定改革时间表具有重要参考价值，也与第四章滚动窗口分析中</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过渡期→恢复期</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的转换时点高度吻合。</w:t>
      </w:r>
    </w:p>
    <w:p w14:paraId="6104A7CD">
      <w:pPr>
        <w:pStyle w:val="4"/>
        <w:bidi w:val="0"/>
        <w:rPr>
          <w:rFonts w:hint="eastAsia"/>
          <w:lang w:val="en-US" w:eastAsia="en-US"/>
        </w:rPr>
      </w:pPr>
      <w:bookmarkStart w:id="138" w:name="_Toc7559"/>
      <w:r>
        <w:rPr>
          <w:rFonts w:hint="eastAsia"/>
          <w:lang w:val="en-US" w:eastAsia="en-US"/>
        </w:rPr>
        <w:t>向集团其他医院推广情况</w:t>
      </w:r>
      <w:bookmarkEnd w:id="138"/>
    </w:p>
    <w:p w14:paraId="741DD03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基于H1医院试点成功经验，</w:t>
      </w:r>
      <w:r>
        <w:rPr>
          <w:rFonts w:hint="eastAsia" w:cs="Times New Roman"/>
          <w:b w:val="0"/>
          <w:i w:val="0"/>
          <w:kern w:val="0"/>
          <w:sz w:val="24"/>
          <w:szCs w:val="22"/>
          <w:lang w:val="en-US" w:eastAsia="zh-CN"/>
        </w:rPr>
        <w:t>A医疗集团</w:t>
      </w:r>
      <w:r>
        <w:rPr>
          <w:rFonts w:hint="eastAsia" w:ascii="Times New Roman" w:hAnsi="Times New Roman" w:eastAsia="宋体" w:cs="Times New Roman"/>
          <w:b w:val="0"/>
          <w:i w:val="0"/>
          <w:kern w:val="0"/>
          <w:sz w:val="24"/>
          <w:szCs w:val="22"/>
          <w:lang w:val="en-US" w:eastAsia="en-US"/>
        </w:rPr>
        <w:t>于2024年7月启动</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精细化管理推广行动</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，分三批向全集团</w:t>
      </w:r>
      <w:r>
        <w:rPr>
          <w:rFonts w:hint="eastAsia" w:cs="Times New Roman"/>
          <w:b w:val="0"/>
          <w:i w:val="0"/>
          <w:kern w:val="0"/>
          <w:sz w:val="24"/>
          <w:szCs w:val="22"/>
          <w:lang w:val="en-US" w:eastAsia="zh-CN"/>
        </w:rPr>
        <w:t>10多</w:t>
      </w:r>
      <w:r>
        <w:rPr>
          <w:rFonts w:hint="eastAsia" w:ascii="Times New Roman" w:hAnsi="Times New Roman" w:eastAsia="宋体" w:cs="Times New Roman"/>
          <w:b w:val="0"/>
          <w:i w:val="0"/>
          <w:kern w:val="0"/>
          <w:sz w:val="24"/>
          <w:szCs w:val="22"/>
          <w:lang w:val="en-US" w:eastAsia="en-US"/>
        </w:rPr>
        <w:t>家医院推广。截至2025年11月，已实施精细化管理的</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val="en-US" w:eastAsia="en-US"/>
        </w:rPr>
        <w:t>医院（占集团总医院数67%）平均医保盈余率较2023年改善4.2个百分点，集团层面累计节约成本约1.8亿元。其中，第一批推广医院平均改善5.1个百分点，第二批平均改善3.8个百分点，第三批平均改善2.6个百分点。改善幅度与启动时间呈负相关，再次印证</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快速响应</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的重要性。</w:t>
      </w:r>
    </w:p>
    <w:p w14:paraId="3BBA09B2">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推广过程中也暴露了若干问题：部分院区因信息化基础薄弱，成本核算系统建设周期长达6个月；部分院区因人才短缺，DRG编码团队组建困难；部分院区因地方医保政策差异，H1经验需要</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因地制宜</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调整。这些问题在集团层面正通过加大信息化投入、建立编码人才库、设立地方政策研究组等方式逐步解决。</w:t>
      </w:r>
    </w:p>
    <w:p w14:paraId="0AD6877F">
      <w:pPr>
        <w:pStyle w:val="3"/>
        <w:bidi w:val="0"/>
        <w:rPr>
          <w:lang w:val="en-US" w:eastAsia="en-US"/>
        </w:rPr>
      </w:pPr>
      <w:bookmarkStart w:id="139" w:name="_Toc23746"/>
      <w:r>
        <w:rPr>
          <w:rFonts w:hint="eastAsia"/>
          <w:lang w:val="en-US" w:eastAsia="en-US"/>
        </w:rPr>
        <w:t>本章小结</w:t>
      </w:r>
      <w:bookmarkEnd w:id="133"/>
      <w:bookmarkEnd w:id="139"/>
    </w:p>
    <w:p w14:paraId="5188E0A0">
      <w:pPr>
        <w:pStyle w:val="12"/>
        <w:bidi w:val="0"/>
        <w:rPr>
          <w:rFonts w:hint="default" w:eastAsia="宋体"/>
          <w:lang w:val="en-US" w:eastAsia="zh-CN"/>
        </w:rPr>
      </w:pPr>
      <w:r>
        <w:t>表 5.5 三大核心痛理论归因与解决方案</w:t>
      </w:r>
    </w:p>
    <w:tbl>
      <w:tblPr>
        <w:tblStyle w:val="30"/>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53"/>
        <w:gridCol w:w="3210"/>
        <w:gridCol w:w="4055"/>
      </w:tblGrid>
      <w:tr w14:paraId="09B06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07D338AA">
            <w:pPr>
              <w:widowControl/>
              <w:spacing w:after="0" w:line="240" w:lineRule="auto"/>
              <w:ind w:firstLine="0" w:firstLineChars="0"/>
              <w:jc w:val="center"/>
              <w:textAlignment w:val="auto"/>
              <w:rPr>
                <w:rFonts w:hint="eastAsia" w:ascii="Times New Roman" w:hAnsi="Times New Roman" w:eastAsia="宋体" w:cs="Times New Roman"/>
                <w:b w:val="0"/>
                <w:bCs/>
                <w:i w:val="0"/>
                <w:color w:val="000000"/>
                <w:kern w:val="0"/>
                <w:sz w:val="22"/>
                <w:szCs w:val="22"/>
                <w:lang w:eastAsia="en-US"/>
              </w:rPr>
            </w:pPr>
            <w:r>
              <w:rPr>
                <w:rFonts w:hint="eastAsia" w:ascii="Times New Roman" w:hAnsi="Times New Roman" w:eastAsia="宋体" w:cs="Times New Roman"/>
                <w:b w:val="0"/>
                <w:bCs/>
                <w:i w:val="0"/>
                <w:color w:val="000000"/>
                <w:kern w:val="0"/>
                <w:sz w:val="22"/>
                <w:szCs w:val="22"/>
                <w:lang w:val="en-US" w:eastAsia="zh-CN"/>
              </w:rPr>
              <w:t>实证发现的痛点</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9C36F45">
            <w:pPr>
              <w:widowControl/>
              <w:spacing w:after="0" w:line="240" w:lineRule="auto"/>
              <w:ind w:firstLine="0" w:firstLineChars="0"/>
              <w:jc w:val="center"/>
              <w:textAlignment w:val="auto"/>
              <w:rPr>
                <w:rFonts w:hint="eastAsia" w:ascii="Times New Roman" w:hAnsi="Times New Roman" w:eastAsia="宋体" w:cs="Times New Roman"/>
                <w:b w:val="0"/>
                <w:bCs/>
                <w:i w:val="0"/>
                <w:color w:val="000000"/>
                <w:kern w:val="0"/>
                <w:sz w:val="22"/>
                <w:szCs w:val="22"/>
                <w:lang w:eastAsia="en-US"/>
              </w:rPr>
            </w:pPr>
            <w:r>
              <w:rPr>
                <w:rFonts w:hint="eastAsia" w:ascii="Times New Roman" w:hAnsi="Times New Roman" w:eastAsia="宋体" w:cs="Times New Roman"/>
                <w:b w:val="0"/>
                <w:bCs/>
                <w:i w:val="0"/>
                <w:color w:val="000000"/>
                <w:kern w:val="0"/>
                <w:sz w:val="22"/>
                <w:szCs w:val="22"/>
                <w:lang w:val="en-US" w:eastAsia="zh-CN"/>
              </w:rPr>
              <w:t>委托代理理论归因</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2C58EE8">
            <w:pPr>
              <w:widowControl/>
              <w:spacing w:after="0" w:line="240" w:lineRule="auto"/>
              <w:ind w:firstLine="0" w:firstLineChars="0"/>
              <w:jc w:val="center"/>
              <w:textAlignment w:val="auto"/>
              <w:rPr>
                <w:rFonts w:hint="eastAsia" w:ascii="Times New Roman" w:hAnsi="Times New Roman" w:eastAsia="宋体" w:cs="Times New Roman"/>
                <w:b w:val="0"/>
                <w:bCs/>
                <w:i w:val="0"/>
                <w:color w:val="000000"/>
                <w:kern w:val="0"/>
                <w:sz w:val="22"/>
                <w:szCs w:val="22"/>
                <w:lang w:eastAsia="en-US"/>
              </w:rPr>
            </w:pPr>
            <w:r>
              <w:rPr>
                <w:rFonts w:hint="eastAsia" w:ascii="Times New Roman" w:hAnsi="Times New Roman" w:eastAsia="宋体" w:cs="Times New Roman"/>
                <w:b w:val="0"/>
                <w:bCs/>
                <w:i w:val="0"/>
                <w:color w:val="000000"/>
                <w:kern w:val="0"/>
                <w:sz w:val="22"/>
                <w:szCs w:val="22"/>
                <w:lang w:val="en-US" w:eastAsia="zh-CN"/>
              </w:rPr>
              <w:t>激励相容解决方案</w:t>
            </w:r>
          </w:p>
        </w:tc>
      </w:tr>
      <w:tr w14:paraId="0A128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EB7107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CMI 陷阱（科室规避重症）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B44F099">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逆向选择（信息不对称：科室隐藏真实诊疗能力）</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131E64B">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学科画像四象限模型（信号筛选）+ CMI 阶梯激励（参与约束）</w:t>
            </w:r>
          </w:p>
        </w:tc>
      </w:tr>
      <w:tr w14:paraId="4BC8A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B82B523">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供应链双刃剑（利润转移）</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DE453C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道德风险（目标冲突：集团追求现金流，院区追求运营效率）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D6EC166">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"2+N" 账期管理模式（契约优化）+ 阶梯化返还（利益再平衡）</w:t>
            </w:r>
          </w:p>
        </w:tc>
      </w:tr>
      <w:tr w14:paraId="6267F9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18E45465">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临床动力不足（路径执行率低）</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5CA3B50">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监督成本过高（行为不可观测：集团无法实时监控临床行为）</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C457A3F">
            <w:pPr>
              <w:widowControl/>
              <w:spacing w:after="0" w:line="240" w:lineRule="auto"/>
              <w:ind w:firstLine="0" w:firstLineChars="0"/>
              <w:jc w:val="left"/>
              <w:textAlignment w:val="auto"/>
              <w:rPr>
                <w:rFonts w:hint="eastAsia" w:ascii="Times New Roman" w:hAnsi="Times New Roman" w:eastAsia="宋体" w:cs="Times New Roman"/>
                <w:b w:val="0"/>
                <w:i w:val="0"/>
                <w:color w:val="000000"/>
                <w:kern w:val="0"/>
                <w:sz w:val="22"/>
                <w:szCs w:val="22"/>
                <w:lang w:eastAsia="en-US"/>
              </w:rPr>
            </w:pPr>
            <w:r>
              <w:rPr>
                <w:rFonts w:hint="eastAsia" w:ascii="Times New Roman" w:hAnsi="Times New Roman" w:eastAsia="宋体" w:cs="Times New Roman"/>
                <w:b w:val="0"/>
                <w:i w:val="0"/>
                <w:color w:val="000000"/>
                <w:kern w:val="0"/>
                <w:sz w:val="22"/>
                <w:szCs w:val="22"/>
                <w:lang w:val="en-US" w:eastAsia="zh-CN"/>
              </w:rPr>
              <w:t>RBRVS+DRG 复合绩效（监督替代机制）+ IT 实时追踪（信息揭示）</w:t>
            </w:r>
          </w:p>
        </w:tc>
      </w:tr>
    </w:tbl>
    <w:p w14:paraId="5FB53CE3">
      <w:pPr>
        <w:widowControl/>
        <w:spacing w:before="0" w:after="0" w:line="400" w:lineRule="exact"/>
        <w:ind w:firstLine="480" w:firstLineChars="0"/>
        <w:jc w:val="both"/>
        <w:textAlignment w:val="auto"/>
        <w:rPr>
          <w:rFonts w:hint="eastAsia"/>
        </w:rPr>
      </w:pPr>
    </w:p>
    <w:p w14:paraId="73DDDBD8">
      <w:pPr>
        <w:widowControl/>
        <w:spacing w:before="0" w:after="0" w:line="400" w:lineRule="exact"/>
        <w:ind w:firstLine="480" w:firstLineChars="0"/>
        <w:jc w:val="both"/>
        <w:textAlignment w:val="auto"/>
        <w:rPr>
          <w:rFonts w:hint="eastAsia"/>
        </w:rPr>
      </w:pPr>
      <w:r>
        <w:t>本章基于第四章的五项实证发现，针对“CMI陷阱”、“供应链双刃剑”和“临床动力不足”三大痛点，设计了系统性的优化策略并报告了试点实践成果，如表 5.5所示。</w:t>
      </w:r>
    </w:p>
    <w:p w14:paraId="2091F1DA">
      <w:pPr>
        <w:rPr>
          <w:rFonts w:hint="eastAsia"/>
        </w:rPr>
      </w:pPr>
      <w:r>
        <w:rPr>
          <w:rFonts w:hint="eastAsia"/>
        </w:rPr>
        <w:t>战略层：确立</w:t>
      </w:r>
      <w:r>
        <w:rPr>
          <w:rFonts w:hint="eastAsia"/>
          <w:lang w:eastAsia="zh-CN"/>
        </w:rPr>
        <w:t>“</w:t>
      </w:r>
      <w:r>
        <w:rPr>
          <w:rFonts w:hint="eastAsia"/>
        </w:rPr>
        <w:t>边际贡献优先</w:t>
      </w:r>
      <w:r>
        <w:rPr>
          <w:rFonts w:hint="eastAsia"/>
          <w:lang w:eastAsia="zh-CN"/>
        </w:rPr>
        <w:t>”</w:t>
      </w:r>
      <w:r>
        <w:rPr>
          <w:rFonts w:hint="eastAsia"/>
        </w:rPr>
        <w:t>原则，基于修正后的U型CMI-盈余率关系（CMI阈值=1.27）建立四象限学科画像模型，重构CAPEX配置逻辑。核心理念是告别</w:t>
      </w:r>
      <w:r>
        <w:rPr>
          <w:rFonts w:hint="eastAsia"/>
          <w:lang w:eastAsia="zh-CN"/>
        </w:rPr>
        <w:t>“</w:t>
      </w:r>
      <w:r>
        <w:rPr>
          <w:rFonts w:hint="eastAsia"/>
        </w:rPr>
        <w:t>设备崇拜</w:t>
      </w:r>
      <w:r>
        <w:rPr>
          <w:rFonts w:hint="eastAsia"/>
          <w:lang w:eastAsia="zh-CN"/>
        </w:rPr>
        <w:t>”</w:t>
      </w:r>
      <w:r>
        <w:rPr>
          <w:rFonts w:hint="eastAsia"/>
        </w:rPr>
        <w:t>和</w:t>
      </w:r>
      <w:r>
        <w:rPr>
          <w:rFonts w:hint="eastAsia"/>
          <w:lang w:eastAsia="zh-CN"/>
        </w:rPr>
        <w:t>“</w:t>
      </w:r>
      <w:r>
        <w:rPr>
          <w:rFonts w:hint="eastAsia"/>
        </w:rPr>
        <w:t>CMI至上</w:t>
      </w:r>
      <w:r>
        <w:rPr>
          <w:rFonts w:hint="eastAsia"/>
          <w:lang w:eastAsia="zh-CN"/>
        </w:rPr>
        <w:t>”</w:t>
      </w:r>
      <w:r>
        <w:rPr>
          <w:rFonts w:hint="eastAsia"/>
        </w:rPr>
        <w:t>，让资源流向真正能创造边际贡献的学科。四象限模型的横轴CMI分界线按医院类型差异化设定（H1: 0.80, H2: 1.03, H3: 1.27），反映了第四章三院CMI阈值递增趋势。</w:t>
      </w:r>
    </w:p>
    <w:p w14:paraId="01134612">
      <w:pPr>
        <w:rPr>
          <w:rFonts w:hint="eastAsia"/>
        </w:rPr>
      </w:pPr>
      <w:r>
        <w:rPr>
          <w:rFonts w:hint="eastAsia"/>
        </w:rPr>
        <w:t>运营层：建立</w:t>
      </w:r>
      <w:r>
        <w:rPr>
          <w:rFonts w:hint="eastAsia"/>
          <w:lang w:eastAsia="zh-CN"/>
        </w:rPr>
        <w:t>“</w:t>
      </w:r>
      <w:r>
        <w:rPr>
          <w:rFonts w:hint="eastAsia"/>
        </w:rPr>
        <w:t>2+N</w:t>
      </w:r>
      <w:r>
        <w:rPr>
          <w:rFonts w:hint="eastAsia"/>
          <w:lang w:eastAsia="zh-CN"/>
        </w:rPr>
        <w:t>”</w:t>
      </w:r>
      <w:r>
        <w:rPr>
          <w:rFonts w:hint="eastAsia"/>
        </w:rPr>
        <w:t>账期管理模式，通过基础账期标准化、弹性延长规范化，将账期回归合理区间，降低供应链风险。新增</w:t>
      </w:r>
      <w:r>
        <w:rPr>
          <w:rFonts w:hint="eastAsia"/>
          <w:lang w:eastAsia="zh-CN"/>
        </w:rPr>
        <w:t>“</w:t>
      </w:r>
      <w:r>
        <w:rPr>
          <w:rFonts w:hint="eastAsia"/>
        </w:rPr>
        <w:t>成本优化三大抓手</w:t>
      </w:r>
      <w:r>
        <w:rPr>
          <w:rFonts w:hint="eastAsia"/>
          <w:lang w:eastAsia="zh-CN"/>
        </w:rPr>
        <w:t>”</w:t>
      </w:r>
      <w:r>
        <w:rPr>
          <w:rFonts w:hint="eastAsia"/>
        </w:rPr>
        <w:t>（床位周转、门诊结构、CMI质量提升），均以第四章GRA关联度排序为依据。</w:t>
      </w:r>
    </w:p>
    <w:p w14:paraId="4844E1E9">
      <w:pPr>
        <w:rPr>
          <w:rFonts w:hint="eastAsia"/>
        </w:rPr>
      </w:pPr>
      <w:r>
        <w:rPr>
          <w:rFonts w:hint="eastAsia"/>
        </w:rPr>
        <w:t>激励层：设计阶梯化</w:t>
      </w:r>
      <w:r>
        <w:rPr>
          <w:rFonts w:hint="eastAsia"/>
          <w:lang w:eastAsia="zh-CN"/>
        </w:rPr>
        <w:t>集中管理协同收益</w:t>
      </w:r>
      <w:r>
        <w:rPr>
          <w:rFonts w:hint="eastAsia"/>
        </w:rPr>
        <w:t>返还机制，根据院区医保盈余率表现给予差异化返还，实现集团与院区的激励相容。返还阈值的设定参考了锁定版数据中三院盈余率的实际分布和改善趋势。</w:t>
      </w:r>
    </w:p>
    <w:p w14:paraId="751947C2">
      <w:pPr>
        <w:rPr>
          <w:rFonts w:hint="eastAsia"/>
        </w:rPr>
      </w:pPr>
      <w:r>
        <w:rPr>
          <w:rFonts w:hint="eastAsia"/>
        </w:rPr>
        <w:t>试点验证：H1医院23个月的试点实践证明，</w:t>
      </w:r>
      <w:r>
        <w:rPr>
          <w:rFonts w:hint="eastAsia"/>
          <w:lang w:eastAsia="zh-CN"/>
        </w:rPr>
        <w:t>“</w:t>
      </w:r>
      <w:r>
        <w:rPr>
          <w:rFonts w:hint="eastAsia"/>
        </w:rPr>
        <w:t>价值创造—成本控制—激励相容</w:t>
      </w:r>
      <w:r>
        <w:rPr>
          <w:rFonts w:hint="eastAsia"/>
          <w:lang w:eastAsia="zh-CN"/>
        </w:rPr>
        <w:t>”</w:t>
      </w:r>
      <w:r>
        <w:rPr>
          <w:rFonts w:hint="eastAsia"/>
        </w:rPr>
        <w:t>三维框架的协同实施可实现年节约/增收4,200万元。ITS回归结果、滚动窗口分析和试点财务数据三方交叉验证，为优化策略的有效性提供了多层次的实证支撑。H1经验已成功推广至集团</w:t>
      </w:r>
      <w:r>
        <w:rPr>
          <w:rFonts w:hint="eastAsia"/>
          <w:lang w:val="en-US" w:eastAsia="zh-CN"/>
        </w:rPr>
        <w:t>十余家</w:t>
      </w:r>
      <w:r>
        <w:rPr>
          <w:rFonts w:hint="eastAsia"/>
        </w:rPr>
        <w:t>医院，平均改善4.2个百分点。</w:t>
      </w:r>
    </w:p>
    <w:p w14:paraId="1A04DC42">
      <w:r>
        <w:rPr>
          <w:rFonts w:hint="eastAsia"/>
        </w:rPr>
        <w:t>上述策略和试点成果的持续深化，需要配套的组织保障和绩效机制。第六章将围绕</w:t>
      </w:r>
      <w:r>
        <w:rPr>
          <w:rFonts w:hint="eastAsia"/>
          <w:lang w:eastAsia="zh-CN"/>
        </w:rPr>
        <w:t>“</w:t>
      </w:r>
      <w:r>
        <w:rPr>
          <w:rFonts w:hint="eastAsia"/>
        </w:rPr>
        <w:t>赋能中心</w:t>
      </w:r>
      <w:r>
        <w:rPr>
          <w:rFonts w:hint="eastAsia"/>
          <w:lang w:eastAsia="zh-CN"/>
        </w:rPr>
        <w:t>”</w:t>
      </w:r>
      <w:r>
        <w:rPr>
          <w:rFonts w:hint="eastAsia"/>
        </w:rPr>
        <w:t>组织转型、</w:t>
      </w:r>
      <w:r>
        <w:rPr>
          <w:rFonts w:hint="eastAsia"/>
          <w:lang w:eastAsia="zh-CN"/>
        </w:rPr>
        <w:t>“</w:t>
      </w:r>
      <w:r>
        <w:rPr>
          <w:rFonts w:hint="eastAsia"/>
        </w:rPr>
        <w:t>RBRVS+DRG盈余留用</w:t>
      </w:r>
      <w:r>
        <w:rPr>
          <w:rFonts w:hint="eastAsia"/>
          <w:lang w:eastAsia="zh-CN"/>
        </w:rPr>
        <w:t>”</w:t>
      </w:r>
      <w:r>
        <w:rPr>
          <w:rFonts w:hint="eastAsia"/>
        </w:rPr>
        <w:t>复合绩效体系、数字化风控平台建设和PE估值修复等内容展开论述。</w:t>
      </w:r>
    </w:p>
    <w:bookmarkEnd w:id="106"/>
    <w:p w14:paraId="59E4937E">
      <w:pPr>
        <w:pStyle w:val="2"/>
        <w:adjustRightInd w:val="0"/>
        <w:snapToGrid w:val="0"/>
        <w:spacing w:before="480" w:after="360" w:line="240" w:lineRule="auto"/>
        <w:rPr>
          <w:b w:val="0"/>
          <w:sz w:val="32"/>
          <w:szCs w:val="32"/>
        </w:rPr>
      </w:pPr>
      <w:bookmarkStart w:id="140" w:name="_Toc15808"/>
      <w:r>
        <w:rPr>
          <w:rFonts w:hint="eastAsia" w:hAnsi="黑体"/>
          <w:b w:val="0"/>
          <w:sz w:val="32"/>
          <w:szCs w:val="32"/>
        </w:rPr>
        <w:t>管理保障与实施路径</w:t>
      </w:r>
      <w:bookmarkEnd w:id="140"/>
    </w:p>
    <w:p w14:paraId="5F0D2B37">
      <w:pPr>
        <w:pStyle w:val="3"/>
        <w:bidi w:val="0"/>
        <w:rPr>
          <w:lang w:val="en-US" w:eastAsia="en-US"/>
        </w:rPr>
      </w:pPr>
      <w:bookmarkStart w:id="141" w:name="_Toc21736"/>
      <w:r>
        <w:rPr>
          <w:rFonts w:hint="eastAsia"/>
          <w:lang w:val="en-US" w:eastAsia="en-US"/>
        </w:rPr>
        <w:t>组织保障：从</w:t>
      </w:r>
      <w:r>
        <w:rPr>
          <w:rFonts w:hint="eastAsia"/>
          <w:lang w:val="en-US" w:eastAsia="zh-CN"/>
        </w:rPr>
        <w:t>“</w:t>
      </w:r>
      <w:r>
        <w:rPr>
          <w:rFonts w:hint="eastAsia"/>
          <w:lang w:val="en-US" w:eastAsia="en-US"/>
        </w:rPr>
        <w:t>管控中心</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赋能中心</w:t>
      </w:r>
      <w:r>
        <w:rPr>
          <w:rFonts w:hint="eastAsia"/>
          <w:lang w:val="en-US" w:eastAsia="zh-CN"/>
        </w:rPr>
        <w:t>”</w:t>
      </w:r>
      <w:r>
        <w:rPr>
          <w:rFonts w:hint="eastAsia"/>
          <w:lang w:val="en-US" w:eastAsia="en-US"/>
        </w:rPr>
        <w:t>的转型</w:t>
      </w:r>
      <w:bookmarkEnd w:id="141"/>
    </w:p>
    <w:p w14:paraId="30846842">
      <w:pPr>
        <w:pStyle w:val="4"/>
        <w:bidi w:val="0"/>
        <w:rPr>
          <w:lang w:val="en-US" w:eastAsia="en-US"/>
        </w:rPr>
      </w:pPr>
      <w:bookmarkStart w:id="142" w:name="_Toc14745"/>
      <w:bookmarkStart w:id="143" w:name="_Toc24189"/>
      <w:r>
        <w:rPr>
          <w:rFonts w:hint="eastAsia"/>
          <w:lang w:val="en-US" w:eastAsia="en-US"/>
        </w:rPr>
        <w:t>现有组织架构的局限性</w:t>
      </w:r>
      <w:bookmarkEnd w:id="142"/>
      <w:bookmarkEnd w:id="143"/>
    </w:p>
    <w:p w14:paraId="6AD85C7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现有的组织架构呈现典型的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管控型</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特征：集团总部设置多个职能部门（财务、人力、供应链</w:t>
      </w:r>
      <w:r>
        <w:rPr>
          <w:rFonts w:hint="eastAsia" w:eastAsia="宋体" w:cs="Times New Roman"/>
          <w:b w:val="0"/>
          <w:i w:val="0"/>
          <w:kern w:val="0"/>
          <w:sz w:val="24"/>
          <w:szCs w:val="22"/>
          <w:lang w:eastAsia="zh-CN"/>
        </w:rPr>
        <w:t>、</w:t>
      </w:r>
      <w:r>
        <w:rPr>
          <w:rFonts w:hint="eastAsia" w:eastAsia="宋体" w:cs="Times New Roman"/>
          <w:b w:val="0"/>
          <w:i w:val="0"/>
          <w:kern w:val="0"/>
          <w:sz w:val="24"/>
          <w:szCs w:val="22"/>
          <w:lang w:val="en-US" w:eastAsia="zh-CN"/>
        </w:rPr>
        <w:t>数字化、基建后勤</w:t>
      </w:r>
      <w:r>
        <w:rPr>
          <w:rFonts w:hint="eastAsia" w:ascii="Times New Roman" w:hAnsi="Times New Roman" w:eastAsia="宋体" w:cs="Times New Roman"/>
          <w:b w:val="0"/>
          <w:i w:val="0"/>
          <w:kern w:val="0"/>
          <w:sz w:val="24"/>
          <w:szCs w:val="22"/>
          <w:lang w:eastAsia="en-US"/>
        </w:rPr>
        <w:t>等），对下属</w:t>
      </w:r>
      <w:r>
        <w:rPr>
          <w:rFonts w:hint="eastAsia" w:eastAsia="宋体" w:cs="Times New Roman"/>
          <w:b w:val="0"/>
          <w:i w:val="0"/>
          <w:kern w:val="0"/>
          <w:sz w:val="24"/>
          <w:szCs w:val="22"/>
          <w:lang w:val="en-US" w:eastAsia="zh-CN"/>
        </w:rPr>
        <w:t>医院</w:t>
      </w:r>
      <w:r>
        <w:rPr>
          <w:rFonts w:hint="eastAsia" w:ascii="Times New Roman" w:hAnsi="Times New Roman" w:eastAsia="宋体" w:cs="Times New Roman"/>
          <w:b w:val="0"/>
          <w:i w:val="0"/>
          <w:kern w:val="0"/>
          <w:sz w:val="24"/>
          <w:szCs w:val="22"/>
          <w:lang w:eastAsia="en-US"/>
        </w:rPr>
        <w:t>实施垂直管理。这种架构在规模扩张期发挥了重要作用，但在DRG/DIP改革的新环境下，暴露出三个局限：</w:t>
      </w:r>
    </w:p>
    <w:p w14:paraId="2FAED5C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局限一：响应速度慢。</w:t>
      </w:r>
      <w:r>
        <w:rPr>
          <w:rFonts w:hint="eastAsia" w:ascii="Times New Roman" w:hAnsi="Times New Roman" w:eastAsia="宋体" w:cs="Times New Roman"/>
          <w:b w:val="0"/>
          <w:i w:val="0"/>
          <w:kern w:val="0"/>
          <w:sz w:val="24"/>
          <w:szCs w:val="22"/>
          <w:lang w:eastAsia="en-US"/>
        </w:rPr>
        <w:t xml:space="preserve"> 院区的业务决策需要层层上报、逐级审批，难以快速响应政策变化和市场竞争。</w:t>
      </w:r>
    </w:p>
    <w:p w14:paraId="65587C4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局限二：专业支撑弱。</w:t>
      </w:r>
      <w:r>
        <w:rPr>
          <w:rFonts w:hint="eastAsia" w:ascii="Times New Roman" w:hAnsi="Times New Roman" w:eastAsia="宋体" w:cs="Times New Roman"/>
          <w:b w:val="0"/>
          <w:i w:val="0"/>
          <w:kern w:val="0"/>
          <w:sz w:val="24"/>
          <w:szCs w:val="22"/>
          <w:lang w:eastAsia="en-US"/>
        </w:rPr>
        <w:t xml:space="preserve"> 总部职能部门以管控为主、赋能为辅，在DRG编码、临床路径、成本核算等专业领域缺乏深度支撑能力。</w:t>
      </w:r>
    </w:p>
    <w:p w14:paraId="59FFE56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i w:val="0"/>
          <w:kern w:val="0"/>
          <w:sz w:val="24"/>
          <w:szCs w:val="22"/>
          <w:lang w:eastAsia="en-US"/>
        </w:rPr>
        <w:t>局限三：利益协调难。</w:t>
      </w:r>
      <w:r>
        <w:rPr>
          <w:rFonts w:hint="eastAsia" w:ascii="Times New Roman" w:hAnsi="Times New Roman" w:eastAsia="宋体" w:cs="Times New Roman"/>
          <w:b w:val="0"/>
          <w:i w:val="0"/>
          <w:kern w:val="0"/>
          <w:sz w:val="24"/>
          <w:szCs w:val="22"/>
          <w:lang w:eastAsia="en-US"/>
        </w:rPr>
        <w:t xml:space="preserve"> 总部与院区之间、院区与院区之间存在利益冲突，缺乏有效的协调机制。</w:t>
      </w:r>
    </w:p>
    <w:p w14:paraId="16AE69A6">
      <w:pPr>
        <w:pStyle w:val="4"/>
        <w:bidi w:val="0"/>
        <w:rPr>
          <w:lang w:val="en-US" w:eastAsia="en-US"/>
        </w:rPr>
      </w:pPr>
      <w:bookmarkStart w:id="144" w:name="_Toc7234"/>
      <w:bookmarkStart w:id="145" w:name="_Toc25057"/>
      <w:r>
        <w:rPr>
          <w:rFonts w:hint="eastAsia"/>
          <w:lang w:val="en-US" w:eastAsia="zh-CN"/>
        </w:rPr>
        <w:t>“</w:t>
      </w:r>
      <w:r>
        <w:rPr>
          <w:rFonts w:hint="eastAsia"/>
          <w:lang w:val="en-US" w:eastAsia="en-US"/>
        </w:rPr>
        <w:t>赋能中心</w:t>
      </w:r>
      <w:r>
        <w:rPr>
          <w:rFonts w:hint="eastAsia"/>
          <w:lang w:val="en-US" w:eastAsia="zh-CN"/>
        </w:rPr>
        <w:t>”</w:t>
      </w:r>
      <w:r>
        <w:rPr>
          <w:rFonts w:hint="eastAsia"/>
          <w:lang w:val="en-US" w:eastAsia="en-US"/>
        </w:rPr>
        <w:t>转型方案</w:t>
      </w:r>
      <w:bookmarkEnd w:id="144"/>
      <w:bookmarkEnd w:id="145"/>
    </w:p>
    <w:p w14:paraId="316C3C5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推动总部从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管控中心</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向</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赋能中心</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转型，核心理念是：</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管得少、帮得多、放得开</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62E55A9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转型方向一：设立DRG/DIP赋能中心</w:t>
      </w:r>
    </w:p>
    <w:p w14:paraId="6C603D5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拟在集团总部设立</w:t>
      </w:r>
      <w:r>
        <w:rPr>
          <w:rFonts w:hint="eastAsia" w:eastAsia="宋体" w:cs="Times New Roman"/>
          <w:b w:val="0"/>
          <w:i w:val="0"/>
          <w:kern w:val="0"/>
          <w:sz w:val="24"/>
          <w:szCs w:val="22"/>
          <w:lang w:eastAsia="zh-CN"/>
        </w:rPr>
        <w:t>“</w:t>
      </w:r>
      <w:r>
        <w:rPr>
          <w:rFonts w:hint="eastAsia" w:ascii="Times New Roman" w:hAnsi="Times New Roman" w:eastAsia="宋体" w:cs="Times New Roman"/>
          <w:b w:val="0"/>
          <w:bCs/>
          <w:i w:val="0"/>
          <w:kern w:val="0"/>
          <w:sz w:val="24"/>
          <w:szCs w:val="22"/>
          <w:lang w:eastAsia="en-US"/>
        </w:rPr>
        <w:t>DRG/DIP赋能中心</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w:t>
      </w:r>
      <w:r>
        <w:rPr>
          <w:rFonts w:hint="eastAsia" w:ascii="Times New Roman" w:hAnsi="Times New Roman" w:eastAsia="宋体" w:cs="Times New Roman"/>
          <w:b w:val="0"/>
          <w:i w:val="0"/>
          <w:kern w:val="0"/>
          <w:sz w:val="24"/>
          <w:szCs w:val="22"/>
          <w:lang w:eastAsia="en-US"/>
        </w:rPr>
        <w:t>作为面向全集团的专业支撑平台，主要职能包括：</w:t>
      </w:r>
    </w:p>
    <w:p w14:paraId="0947BC9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编码支持</w:t>
      </w:r>
      <w:r>
        <w:rPr>
          <w:rFonts w:hint="eastAsia" w:ascii="Times New Roman" w:hAnsi="Times New Roman" w:eastAsia="宋体" w:cs="Times New Roman"/>
          <w:b w:val="0"/>
          <w:i w:val="0"/>
          <w:kern w:val="0"/>
          <w:sz w:val="24"/>
          <w:szCs w:val="22"/>
          <w:lang w:eastAsia="en-US"/>
        </w:rPr>
        <w:t>：建立集团级DRG编码专家库，为各院区提供疑难病例编码咨询</w:t>
      </w:r>
    </w:p>
    <w:p w14:paraId="4E708E8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数据分析</w:t>
      </w:r>
      <w:r>
        <w:rPr>
          <w:rFonts w:hint="eastAsia" w:ascii="Times New Roman" w:hAnsi="Times New Roman" w:eastAsia="宋体" w:cs="Times New Roman"/>
          <w:b w:val="0"/>
          <w:i w:val="0"/>
          <w:kern w:val="0"/>
          <w:sz w:val="24"/>
          <w:szCs w:val="22"/>
          <w:lang w:eastAsia="en-US"/>
        </w:rPr>
        <w:t>：定期发布各院区CMI、盈余率、高倍率病例等核心指标分析报告</w:t>
      </w:r>
    </w:p>
    <w:p w14:paraId="2940A2E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最佳实践</w:t>
      </w:r>
      <w:r>
        <w:rPr>
          <w:rFonts w:hint="eastAsia" w:ascii="Times New Roman" w:hAnsi="Times New Roman" w:eastAsia="宋体" w:cs="Times New Roman"/>
          <w:b w:val="0"/>
          <w:i w:val="0"/>
          <w:kern w:val="0"/>
          <w:sz w:val="24"/>
          <w:szCs w:val="22"/>
          <w:lang w:eastAsia="en-US"/>
        </w:rPr>
        <w:t>：总结推广H1等标杆医院的成功经验，形成可复制的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控费工具包</w:t>
      </w:r>
      <w:r>
        <w:rPr>
          <w:rFonts w:hint="eastAsia" w:eastAsia="宋体" w:cs="Times New Roman"/>
          <w:b w:val="0"/>
          <w:i w:val="0"/>
          <w:kern w:val="0"/>
          <w:sz w:val="24"/>
          <w:szCs w:val="22"/>
          <w:lang w:eastAsia="zh-CN"/>
        </w:rPr>
        <w:t>”</w:t>
      </w:r>
    </w:p>
    <w:p w14:paraId="7CB83A9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政策预警</w:t>
      </w:r>
      <w:r>
        <w:rPr>
          <w:rFonts w:hint="eastAsia" w:ascii="Times New Roman" w:hAnsi="Times New Roman" w:eastAsia="宋体" w:cs="Times New Roman"/>
          <w:b w:val="0"/>
          <w:i w:val="0"/>
          <w:kern w:val="0"/>
          <w:sz w:val="24"/>
          <w:szCs w:val="22"/>
          <w:lang w:eastAsia="en-US"/>
        </w:rPr>
        <w:t>：跟踪各地医保政策变化，提前预警风险、提出应对建议</w:t>
      </w:r>
    </w:p>
    <w:p w14:paraId="7380BFC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转型方向二：建立</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院区CEO负责制</w:t>
      </w:r>
      <w:r>
        <w:rPr>
          <w:rFonts w:hint="eastAsia" w:eastAsia="宋体" w:cs="Times New Roman"/>
          <w:b/>
          <w:i w:val="0"/>
          <w:kern w:val="0"/>
          <w:sz w:val="24"/>
          <w:szCs w:val="22"/>
          <w:lang w:eastAsia="zh-CN"/>
        </w:rPr>
        <w:t>”</w:t>
      </w:r>
    </w:p>
    <w:p w14:paraId="40658C3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在强化赋能的同时，适度下放经营决策权，建立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院区CEO负责制</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799A6C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院区CEO对本院区的经营业绩（收入、成本、盈余率）承担完全责任</w:t>
      </w:r>
    </w:p>
    <w:p w14:paraId="0402010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在集团战略框架内，院区CEO享有学科建设、人员招聘、绩效分配等方面的自主权</w:t>
      </w:r>
    </w:p>
    <w:p w14:paraId="714F8C9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集团对院区CEO实行年度考核，考核结果与薪酬、晋升直接挂钩</w:t>
      </w:r>
    </w:p>
    <w:p w14:paraId="51B2CFD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358A1C42">
      <w:pPr>
        <w:pStyle w:val="12"/>
        <w:bidi w:val="0"/>
        <w:rPr>
          <w:lang w:eastAsia="en-US"/>
        </w:rPr>
      </w:pPr>
      <w:r>
        <w:t>表 6.1 “管控中心”与“赋能中心”对比</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3425"/>
        <w:gridCol w:w="3472"/>
      </w:tblGrid>
      <w:tr w14:paraId="6493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2AF2D88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维度</w:t>
            </w:r>
          </w:p>
        </w:tc>
        <w:tc>
          <w:tcPr>
            <w:tcW w:w="3425" w:type="dxa"/>
          </w:tcPr>
          <w:p w14:paraId="2EC19DF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管控中心（现状）</w:t>
            </w:r>
          </w:p>
        </w:tc>
        <w:tc>
          <w:tcPr>
            <w:tcW w:w="3472" w:type="dxa"/>
          </w:tcPr>
          <w:p w14:paraId="4D8F473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赋能中心（目标）</w:t>
            </w:r>
          </w:p>
        </w:tc>
      </w:tr>
      <w:tr w14:paraId="41F4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56DA79C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核心职能</w:t>
            </w:r>
          </w:p>
        </w:tc>
        <w:tc>
          <w:tcPr>
            <w:tcW w:w="3425" w:type="dxa"/>
          </w:tcPr>
          <w:p w14:paraId="76B89EF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审批、检查、考核</w:t>
            </w:r>
          </w:p>
        </w:tc>
        <w:tc>
          <w:tcPr>
            <w:tcW w:w="3472" w:type="dxa"/>
          </w:tcPr>
          <w:p w14:paraId="14DDDC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支撑、赋能、协调</w:t>
            </w:r>
          </w:p>
        </w:tc>
      </w:tr>
      <w:tr w14:paraId="5BD8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4A58992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决策模式</w:t>
            </w:r>
          </w:p>
        </w:tc>
        <w:tc>
          <w:tcPr>
            <w:tcW w:w="3425" w:type="dxa"/>
          </w:tcPr>
          <w:p w14:paraId="514F099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总部集中决策</w:t>
            </w:r>
          </w:p>
        </w:tc>
        <w:tc>
          <w:tcPr>
            <w:tcW w:w="3472" w:type="dxa"/>
          </w:tcPr>
          <w:p w14:paraId="17A32A2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院区分散决策、总部框架指导</w:t>
            </w:r>
          </w:p>
        </w:tc>
      </w:tr>
      <w:tr w14:paraId="0DE3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4B2FA71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人员结构</w:t>
            </w:r>
          </w:p>
        </w:tc>
        <w:tc>
          <w:tcPr>
            <w:tcW w:w="3425" w:type="dxa"/>
          </w:tcPr>
          <w:p w14:paraId="33BE5AA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管理人员为主</w:t>
            </w:r>
          </w:p>
        </w:tc>
        <w:tc>
          <w:tcPr>
            <w:tcW w:w="3472" w:type="dxa"/>
          </w:tcPr>
          <w:p w14:paraId="1AB964B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专业人员为主</w:t>
            </w:r>
          </w:p>
        </w:tc>
      </w:tr>
      <w:tr w14:paraId="70A6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5C39201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考核导向</w:t>
            </w:r>
          </w:p>
        </w:tc>
        <w:tc>
          <w:tcPr>
            <w:tcW w:w="3425" w:type="dxa"/>
          </w:tcPr>
          <w:p w14:paraId="7E7E395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合规性考核</w:t>
            </w:r>
          </w:p>
        </w:tc>
        <w:tc>
          <w:tcPr>
            <w:tcW w:w="3472" w:type="dxa"/>
          </w:tcPr>
          <w:p w14:paraId="301E15E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价值创造考核</w:t>
            </w:r>
          </w:p>
        </w:tc>
      </w:tr>
      <w:tr w14:paraId="7EC2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3" w:type="dxa"/>
          </w:tcPr>
          <w:p w14:paraId="7DBD947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院区关系</w:t>
            </w:r>
          </w:p>
        </w:tc>
        <w:tc>
          <w:tcPr>
            <w:tcW w:w="3425" w:type="dxa"/>
          </w:tcPr>
          <w:p w14:paraId="714F80B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上下级关系</w:t>
            </w:r>
          </w:p>
        </w:tc>
        <w:tc>
          <w:tcPr>
            <w:tcW w:w="3472" w:type="dxa"/>
          </w:tcPr>
          <w:p w14:paraId="299E694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服务与被服务关系</w:t>
            </w:r>
          </w:p>
        </w:tc>
      </w:tr>
    </w:tbl>
    <w:p w14:paraId="2D907B7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sz w:val="24"/>
        </w:rPr>
        <w:t>如表 6.1所示，用委托代理理论来分析，现有组织架构的局限性在于委托代理链条过长[49]：传统“总部－职能部门－医院－科室”的四级代理结构，导致集团总部与临床一线存在严重的信息不对称（总部无法准确观测临床行为）和目标偏离（职能部门追求控制，科室追求医疗便利）。“赋能中心”转型的本质是重构委托代理关系：通过建立DRG/DIP战略委员会作为委托人代表（缩短决策链条），临床路径工作组作为代理人激励单元（授予剩余索取权），并配套HIS系统的信息实时披露机制（降低监督成本），从而实现“管办分离”下的激励相容。</w:t>
      </w:r>
    </w:p>
    <w:p w14:paraId="583A77C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en-US"/>
        </w:rPr>
      </w:pPr>
      <w:r>
        <w:rPr>
          <w:rFonts w:hint="eastAsia" w:ascii="Times New Roman" w:hAnsi="Times New Roman" w:eastAsia="宋体" w:cs="Times New Roman"/>
          <w:b w:val="0"/>
          <w:i w:val="0"/>
          <w:kern w:val="0"/>
          <w:sz w:val="24"/>
          <w:szCs w:val="22"/>
          <w:lang w:val="en-US" w:eastAsia="en-US"/>
        </w:rPr>
        <w:t>已落地成果验证。 赋能中心的雏形已在H1试点中得到验证。第五章数据显示，H1在获得充分授权后，院长牵头成立精细化管理工作组，2个月内完成成本核算体系搭建、3个月内启动临床路径标准化，DRG编码准确率从76%提升至89%。这一速度远超</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管控模式</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下其他院区的响应节奏——H3在同一管控架构下观望了6个月才被动启动。两者的对比直接证明了</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赋能+授权</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模式对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管控+审批</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模式的效率优势。此外，集团已在2024年下半年向</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val="en-US" w:eastAsia="en-US"/>
        </w:rPr>
        <w:t>医院推广H1经验，平均改善4.2个百分点（第五章5.5.5节），标杆经验的</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可复制性</w:t>
      </w:r>
      <w:r>
        <w:rPr>
          <w:rFonts w:hint="eastAsia" w:cs="Times New Roman"/>
          <w:b w:val="0"/>
          <w:i w:val="0"/>
          <w:kern w:val="0"/>
          <w:sz w:val="24"/>
          <w:szCs w:val="22"/>
          <w:lang w:val="en-US" w:eastAsia="zh-CN"/>
        </w:rPr>
        <w:t>”</w:t>
      </w:r>
      <w:r>
        <w:rPr>
          <w:rFonts w:hint="eastAsia" w:ascii="Times New Roman" w:hAnsi="Times New Roman" w:eastAsia="宋体" w:cs="Times New Roman"/>
          <w:b w:val="0"/>
          <w:i w:val="0"/>
          <w:kern w:val="0"/>
          <w:sz w:val="24"/>
          <w:szCs w:val="22"/>
          <w:lang w:val="en-US" w:eastAsia="en-US"/>
        </w:rPr>
        <w:t>已初步验证</w:t>
      </w:r>
    </w:p>
    <w:p w14:paraId="312B9E45">
      <w:pPr>
        <w:pStyle w:val="3"/>
        <w:bidi w:val="0"/>
        <w:rPr>
          <w:lang w:val="en-US" w:eastAsia="en-US"/>
        </w:rPr>
      </w:pPr>
      <w:bookmarkStart w:id="146" w:name="_Toc15443"/>
      <w:r>
        <w:rPr>
          <w:rFonts w:hint="eastAsia"/>
          <w:lang w:val="en-US" w:eastAsia="en-US"/>
        </w:rPr>
        <w:t>激励保障：</w:t>
      </w:r>
      <w:r>
        <w:rPr>
          <w:rFonts w:hint="eastAsia"/>
          <w:lang w:val="en-US" w:eastAsia="zh-CN"/>
        </w:rPr>
        <w:t>“</w:t>
      </w:r>
      <w:r>
        <w:rPr>
          <w:rFonts w:hint="eastAsia"/>
          <w:lang w:val="en-US" w:eastAsia="en-US"/>
        </w:rPr>
        <w:t>RBRVS+DRG盈余留用</w:t>
      </w:r>
      <w:r>
        <w:rPr>
          <w:rFonts w:hint="eastAsia"/>
          <w:lang w:val="en-US" w:eastAsia="zh-CN"/>
        </w:rPr>
        <w:t>”</w:t>
      </w:r>
      <w:r>
        <w:rPr>
          <w:rFonts w:hint="eastAsia"/>
          <w:lang w:val="en-US" w:eastAsia="en-US"/>
        </w:rPr>
        <w:t>复合绩效体系</w:t>
      </w:r>
      <w:bookmarkEnd w:id="146"/>
    </w:p>
    <w:p w14:paraId="4911B045">
      <w:pPr>
        <w:pStyle w:val="4"/>
        <w:bidi w:val="0"/>
        <w:rPr>
          <w:lang w:val="en-US" w:eastAsia="en-US"/>
        </w:rPr>
      </w:pPr>
      <w:bookmarkStart w:id="147" w:name="_Toc21810"/>
      <w:bookmarkStart w:id="148" w:name="_Toc2155"/>
      <w:r>
        <w:rPr>
          <w:rFonts w:hint="eastAsia"/>
          <w:lang w:val="en-US" w:eastAsia="en-US"/>
        </w:rPr>
        <w:t>现有绩效体系的问题诊断</w:t>
      </w:r>
      <w:bookmarkEnd w:id="147"/>
      <w:bookmarkEnd w:id="148"/>
    </w:p>
    <w:p w14:paraId="42B146A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现有的医生绩效体系以</w:t>
      </w:r>
      <w:r>
        <w:rPr>
          <w:rFonts w:hint="eastAsia" w:ascii="Times New Roman" w:hAnsi="Times New Roman" w:eastAsia="宋体" w:cs="Times New Roman"/>
          <w:b w:val="0"/>
          <w:bCs/>
          <w:i w:val="0"/>
          <w:kern w:val="0"/>
          <w:sz w:val="24"/>
          <w:szCs w:val="22"/>
          <w:lang w:eastAsia="en-US"/>
        </w:rPr>
        <w:t>收入提成制</w:t>
      </w:r>
      <w:r>
        <w:rPr>
          <w:rFonts w:hint="eastAsia" w:ascii="Times New Roman" w:hAnsi="Times New Roman" w:eastAsia="宋体" w:cs="Times New Roman"/>
          <w:b w:val="0"/>
          <w:i w:val="0"/>
          <w:kern w:val="0"/>
          <w:sz w:val="24"/>
          <w:szCs w:val="22"/>
          <w:lang w:eastAsia="en-US"/>
        </w:rPr>
        <w:t>为主，即医生收入与其所在科室的收入正相关。这种体系在FFS时代具有合理性，但在DRG/DIP时代存在根本性缺陷：</w:t>
      </w:r>
    </w:p>
    <w:p w14:paraId="63D1583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缺陷一：激励错位。</w:t>
      </w:r>
      <w:r>
        <w:rPr>
          <w:rFonts w:hint="eastAsia" w:ascii="Times New Roman" w:hAnsi="Times New Roman" w:eastAsia="宋体" w:cs="Times New Roman"/>
          <w:b w:val="0"/>
          <w:i w:val="0"/>
          <w:kern w:val="0"/>
          <w:sz w:val="24"/>
          <w:szCs w:val="22"/>
          <w:lang w:eastAsia="en-US"/>
        </w:rPr>
        <w:t xml:space="preserve"> 收入提成制激励医生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多做多得</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，但第四章CMI二次回归已证明，当CMI接近阈值区间时，收治更多高难度病例反而导致盈余率降低。</w:t>
      </w:r>
    </w:p>
    <w:p w14:paraId="2759860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缺陷二：控费无收益。</w:t>
      </w:r>
      <w:r>
        <w:rPr>
          <w:rFonts w:hint="eastAsia" w:ascii="Times New Roman" w:hAnsi="Times New Roman" w:eastAsia="宋体" w:cs="Times New Roman"/>
          <w:b w:val="0"/>
          <w:i w:val="0"/>
          <w:kern w:val="0"/>
          <w:sz w:val="24"/>
          <w:szCs w:val="22"/>
          <w:lang w:eastAsia="en-US"/>
        </w:rPr>
        <w:t xml:space="preserve"> 医生控制成本的努力无法转化为个人收入增长，导致</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控费吃力不讨好</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0387B5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缺陷三：风险不对称。</w:t>
      </w:r>
      <w:r>
        <w:rPr>
          <w:rFonts w:hint="eastAsia" w:ascii="Times New Roman" w:hAnsi="Times New Roman" w:eastAsia="宋体" w:cs="Times New Roman"/>
          <w:b w:val="0"/>
          <w:i w:val="0"/>
          <w:kern w:val="0"/>
          <w:sz w:val="24"/>
          <w:szCs w:val="22"/>
          <w:lang w:eastAsia="en-US"/>
        </w:rPr>
        <w:t xml:space="preserve"> 医生承担了诊疗风险，却未能分享控费收益，风险与收益不匹配。</w:t>
      </w:r>
    </w:p>
    <w:p w14:paraId="7EED7BEA">
      <w:pPr>
        <w:pStyle w:val="4"/>
        <w:bidi w:val="0"/>
        <w:rPr>
          <w:lang w:val="en-US" w:eastAsia="en-US"/>
        </w:rPr>
      </w:pPr>
      <w:bookmarkStart w:id="149" w:name="_Toc20434"/>
      <w:bookmarkStart w:id="150" w:name="_Toc8101"/>
      <w:r>
        <w:rPr>
          <w:rFonts w:hint="eastAsia"/>
          <w:lang w:val="en-US" w:eastAsia="en-US"/>
        </w:rPr>
        <w:t>"RBRVS+DRG盈余留用复合绩效体系设计</w:t>
      </w:r>
      <w:bookmarkEnd w:id="149"/>
      <w:bookmarkEnd w:id="150"/>
    </w:p>
    <w:p w14:paraId="3A3BE47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针对上述问题，本研究建议建立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RBRVS+DRG盈余留用</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复合绩效体系</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7</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，核心思想是：</w:t>
      </w:r>
      <w:r>
        <w:rPr>
          <w:rFonts w:hint="eastAsia" w:ascii="Times New Roman" w:hAnsi="Times New Roman" w:eastAsia="宋体" w:cs="Times New Roman"/>
          <w:b/>
          <w:i w:val="0"/>
          <w:kern w:val="0"/>
          <w:sz w:val="24"/>
          <w:szCs w:val="22"/>
          <w:lang w:eastAsia="en-US"/>
        </w:rPr>
        <w:t>用RBRVS保障基本工作量收入，用盈余留用激励控费努力</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6</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5FCEDE54">
      <w:pPr>
        <w:pStyle w:val="12"/>
        <w:bidi w:val="0"/>
        <w:rPr>
          <w:rFonts w:hint="eastAsia"/>
          <w:lang w:eastAsia="en-US"/>
        </w:rPr>
      </w:pPr>
      <w:r>
        <w:t>图 6.1: “RBRVS+DRG盈余留用”复合绩效体系结构</w:t>
      </w:r>
    </w:p>
    <w:p w14:paraId="0251B32D">
      <w:pPr>
        <w:widowControl/>
        <w:spacing w:before="0" w:after="0" w:line="240" w:lineRule="auto"/>
        <w:ind w:firstLine="0" w:firstLineChars="0"/>
        <w:jc w:val="both"/>
        <w:textAlignment w:val="auto"/>
        <w:rPr>
          <w:rFonts w:hint="eastAsia" w:ascii="Times New Roman" w:hAnsi="Times New Roman"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zh-CN"/>
        </w:rPr>
        <w:drawing>
          <wp:inline distT="0" distB="0" distL="114300" distR="114300">
            <wp:extent cx="6346190" cy="4064000"/>
            <wp:effectExtent l="0" t="0" r="3810" b="0"/>
            <wp:docPr id="15" name="图片 15" descr="fig6_1_performance_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6_1_performance_framework"/>
                    <pic:cNvPicPr>
                      <a:picLocks noChangeAspect="1"/>
                    </pic:cNvPicPr>
                  </pic:nvPicPr>
                  <pic:blipFill>
                    <a:blip r:embed="rId30"/>
                    <a:stretch>
                      <a:fillRect/>
                    </a:stretch>
                  </pic:blipFill>
                  <pic:spPr>
                    <a:xfrm>
                      <a:off x="0" y="0"/>
                      <a:ext cx="6346190" cy="4064000"/>
                    </a:xfrm>
                    <a:prstGeom prst="rect">
                      <a:avLst/>
                    </a:prstGeom>
                  </pic:spPr>
                </pic:pic>
              </a:graphicData>
            </a:graphic>
          </wp:inline>
        </w:drawing>
      </w:r>
    </w:p>
    <w:p w14:paraId="7B351B2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模块一：RBRVS工作量绩效（占比</w:t>
      </w:r>
      <w:r>
        <w:rPr>
          <w:rFonts w:hint="eastAsia" w:cs="Times New Roman"/>
          <w:b/>
          <w:i w:val="0"/>
          <w:kern w:val="0"/>
          <w:sz w:val="24"/>
          <w:szCs w:val="22"/>
          <w:lang w:eastAsia="zh-CN"/>
        </w:rPr>
        <w:t>60%—70%</w:t>
      </w:r>
      <w:r>
        <w:rPr>
          <w:rFonts w:hint="eastAsia" w:ascii="Times New Roman" w:hAnsi="Times New Roman" w:eastAsia="宋体" w:cs="Times New Roman"/>
          <w:b/>
          <w:i w:val="0"/>
          <w:kern w:val="0"/>
          <w:sz w:val="24"/>
          <w:szCs w:val="22"/>
          <w:lang w:eastAsia="en-US"/>
        </w:rPr>
        <w:t>）</w:t>
      </w:r>
    </w:p>
    <w:p w14:paraId="7FF4C38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采用RBRVS（资源消耗相对价值比率）方法，根据医生提供的医疗服务的复杂程度、时间消耗、技术难度等因素计算工作量点数，按点数分配绩效</w:t>
      </w:r>
      <w:r>
        <w:rPr>
          <w:rStyle w:val="51"/>
          <w:rFonts w:hint="eastAsia"/>
        </w:rPr>
        <w:t>[1</w:t>
      </w:r>
      <w:r>
        <w:rPr>
          <w:rStyle w:val="51"/>
          <w:rFonts w:hint="eastAsia"/>
          <w:lang w:val="en-US" w:eastAsia="zh-CN"/>
        </w:rPr>
        <w:t>2</w:t>
      </w:r>
      <w:r>
        <w:rPr>
          <w:rStyle w:val="51"/>
          <w:rFonts w:hint="eastAsia"/>
        </w:rPr>
        <w:t>]</w:t>
      </w:r>
      <w:r>
        <w:rPr>
          <w:rFonts w:hint="eastAsia" w:ascii="Times New Roman" w:hAnsi="Times New Roman" w:eastAsia="宋体" w:cs="Times New Roman"/>
          <w:b w:val="0"/>
          <w:i w:val="0"/>
          <w:kern w:val="0"/>
          <w:sz w:val="24"/>
          <w:szCs w:val="22"/>
          <w:lang w:eastAsia="en-US"/>
        </w:rPr>
        <w:t>。</w:t>
      </w:r>
      <w:r>
        <w:rPr>
          <w:rFonts w:hint="eastAsia" w:ascii="Times New Roman" w:hAnsi="Times New Roman" w:eastAsia="宋体" w:cs="Times New Roman"/>
          <w:b/>
          <w:i w:val="0"/>
          <w:kern w:val="0"/>
          <w:sz w:val="24"/>
          <w:szCs w:val="22"/>
          <w:lang w:eastAsia="en-US"/>
        </w:rPr>
        <w:t>RBRVS的优势</w:t>
      </w:r>
      <w:r>
        <w:rPr>
          <w:rFonts w:hint="eastAsia" w:ascii="Times New Roman" w:hAnsi="Times New Roman" w:eastAsia="宋体" w:cs="Times New Roman"/>
          <w:b w:val="0"/>
          <w:i w:val="0"/>
          <w:kern w:val="0"/>
          <w:sz w:val="24"/>
          <w:szCs w:val="22"/>
          <w:lang w:eastAsia="en-US"/>
        </w:rPr>
        <w:t>：</w:t>
      </w:r>
    </w:p>
    <w:p w14:paraId="01429FC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与收入脱钩，不再激励过度医疗</w:t>
      </w:r>
    </w:p>
    <w:p w14:paraId="396E665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体现劳动价值，技术难度高的服务获得更高点数</w:t>
      </w:r>
    </w:p>
    <w:p w14:paraId="4B647E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相对客观，减少主观分配的争议</w:t>
      </w:r>
    </w:p>
    <w:p w14:paraId="13BB4E1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模块二：DRG盈余留用绩效（占比</w:t>
      </w:r>
      <w:r>
        <w:rPr>
          <w:rFonts w:hint="eastAsia" w:cs="Times New Roman"/>
          <w:b/>
          <w:i w:val="0"/>
          <w:kern w:val="0"/>
          <w:sz w:val="24"/>
          <w:szCs w:val="22"/>
          <w:lang w:eastAsia="zh-CN"/>
        </w:rPr>
        <w:t>30%—40%</w:t>
      </w:r>
      <w:r>
        <w:rPr>
          <w:rFonts w:hint="eastAsia" w:ascii="Times New Roman" w:hAnsi="Times New Roman" w:eastAsia="宋体" w:cs="Times New Roman"/>
          <w:b/>
          <w:i w:val="0"/>
          <w:kern w:val="0"/>
          <w:sz w:val="24"/>
          <w:szCs w:val="22"/>
          <w:lang w:eastAsia="en-US"/>
        </w:rPr>
        <w:t>）</w:t>
      </w:r>
    </w:p>
    <w:p w14:paraId="25641E1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将科室的DRG盈余（实际拨付额</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实际成本）的一定比例留用于科室，作为绩效奖励分配。</w:t>
      </w:r>
    </w:p>
    <w:p w14:paraId="212A60E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盈余留用的激励逻辑</w:t>
      </w:r>
      <w:r>
        <w:rPr>
          <w:rFonts w:hint="eastAsia" w:ascii="Times New Roman" w:hAnsi="Times New Roman" w:eastAsia="宋体" w:cs="Times New Roman"/>
          <w:b w:val="0"/>
          <w:i w:val="0"/>
          <w:kern w:val="0"/>
          <w:sz w:val="24"/>
          <w:szCs w:val="22"/>
          <w:lang w:eastAsia="en-US"/>
        </w:rPr>
        <w:t>：</w:t>
      </w:r>
    </w:p>
    <w:p w14:paraId="36B6D999">
      <w:pPr>
        <w:widowControl/>
        <w:spacing w:before="0" w:after="0" w:line="400" w:lineRule="exact"/>
        <w:ind w:firstLine="480" w:firstLineChars="0"/>
        <w:jc w:val="both"/>
        <w:textAlignment w:val="auto"/>
        <w:rPr>
          <w:rFonts w:hint="eastAsia" w:eastAsia="宋体" w:cs="Times New Roman"/>
          <w:b w:val="0"/>
          <w:i w:val="0"/>
          <w:kern w:val="0"/>
          <w:sz w:val="24"/>
          <w:szCs w:val="22"/>
          <w:lang w:eastAsia="zh-CN"/>
        </w:rPr>
      </w:pPr>
      <w:r>
        <w:rPr>
          <w:rFonts w:hint="eastAsia" w:ascii="Times New Roman" w:hAnsi="Times New Roman" w:eastAsia="宋体" w:cs="Times New Roman"/>
          <w:b w:val="0"/>
          <w:i w:val="0"/>
          <w:kern w:val="0"/>
          <w:sz w:val="24"/>
          <w:szCs w:val="22"/>
          <w:lang w:eastAsia="en-US"/>
        </w:rPr>
        <w:t>控费越好，盈余越多，科室留用越多，医生收入越高</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实现</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控费—盈余—收入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的正向循环，使控费成为医生的自觉行为</w:t>
      </w:r>
      <w:r>
        <w:rPr>
          <w:rFonts w:hint="eastAsia" w:eastAsia="宋体" w:cs="Times New Roman"/>
          <w:b w:val="0"/>
          <w:i w:val="0"/>
          <w:kern w:val="0"/>
          <w:sz w:val="24"/>
          <w:szCs w:val="22"/>
          <w:lang w:eastAsia="zh-CN"/>
        </w:rPr>
        <w:t>。</w:t>
      </w:r>
    </w:p>
    <w:p w14:paraId="6BB8D678">
      <w:pPr>
        <w:widowControl/>
        <w:spacing w:before="0" w:after="0" w:line="400" w:lineRule="exact"/>
        <w:ind w:firstLine="480" w:firstLineChars="0"/>
        <w:jc w:val="both"/>
        <w:textAlignment w:val="auto"/>
        <w:rPr>
          <w:rFonts w:hint="eastAsia" w:eastAsia="宋体" w:cs="Times New Roman"/>
          <w:b w:val="0"/>
          <w:i w:val="0"/>
          <w:kern w:val="0"/>
          <w:sz w:val="24"/>
          <w:szCs w:val="22"/>
          <w:lang w:eastAsia="zh-CN"/>
        </w:rPr>
      </w:pPr>
      <w:r>
        <w:rPr>
          <w:rFonts w:hint="eastAsia" w:eastAsia="宋体" w:cs="Times New Roman"/>
          <w:b w:val="0"/>
          <w:i w:val="0"/>
          <w:kern w:val="0"/>
          <w:sz w:val="24"/>
          <w:szCs w:val="22"/>
          <w:lang w:eastAsia="zh-CN"/>
        </w:rPr>
        <w:t>核心公式：</w:t>
      </w:r>
      <m:oMath>
        <m:r>
          <m:rPr>
            <m:sty m:val="p"/>
          </m:rPr>
          <w:rPr>
            <w:rFonts w:hint="default" w:ascii="Cambria Math" w:eastAsia="宋体"/>
            <w:sz w:val="24"/>
          </w:rPr>
          <m:t>绩效总额</m:t>
        </m:r>
        <m:r>
          <m:rPr/>
          <w:rPr>
            <w:rFonts w:hint="default" w:ascii="Cambria Math" w:eastAsia="宋体"/>
            <w:sz w:val="24"/>
          </w:rPr>
          <m:t>=RBRVS</m:t>
        </m:r>
        <m:r>
          <m:rPr>
            <m:sty m:val="p"/>
          </m:rPr>
          <w:rPr>
            <w:rFonts w:hint="default" w:ascii="Cambria Math" w:eastAsia="宋体"/>
            <w:sz w:val="24"/>
          </w:rPr>
          <m:t>点数×点值</m:t>
        </m:r>
        <m:r>
          <m:rPr/>
          <w:rPr>
            <w:rFonts w:hint="default" w:ascii="Cambria Math" w:eastAsia="宋体"/>
            <w:sz w:val="24"/>
          </w:rPr>
          <m:t>+</m:t>
        </m:r>
        <m:func>
          <m:funcPr>
            <m:ctrlPr>
              <w:rPr>
                <w:rFonts w:hint="default" w:ascii="Cambria Math" w:eastAsia="宋体"/>
                <w:sz w:val="24"/>
              </w:rPr>
            </m:ctrlPr>
          </m:funcPr>
          <m:fName>
            <m:r>
              <m:rPr>
                <m:sty m:val="p"/>
              </m:rPr>
              <w:rPr>
                <w:rFonts w:hint="default" w:ascii="Cambria Math" w:eastAsia="宋体"/>
                <w:sz w:val="24"/>
              </w:rPr>
              <m:t>max</m:t>
            </m:r>
            <m:ctrlPr>
              <w:rPr>
                <w:rFonts w:eastAsia="宋体"/>
                <w:sz w:val="24"/>
              </w:rPr>
            </m:ctrlPr>
          </m:fName>
          <m:e>
            <m:r>
              <m:rPr/>
              <w:rPr>
                <w:rFonts w:hint="default" w:ascii="Cambria Math" w:eastAsia="宋体"/>
                <w:sz w:val="24"/>
              </w:rPr>
              <m:t>(</m:t>
            </m:r>
            <m:ctrlPr>
              <w:rPr>
                <w:rFonts w:eastAsia="宋体"/>
                <w:sz w:val="24"/>
              </w:rPr>
            </m:ctrlPr>
          </m:e>
        </m:func>
        <m:r>
          <m:rPr>
            <m:sty m:val="p"/>
          </m:rPr>
          <w:rPr>
            <w:rFonts w:hint="default" w:ascii="Cambria Math" w:eastAsia="宋体"/>
            <w:sz w:val="24"/>
          </w:rPr>
          <m:t>科室</m:t>
        </m:r>
        <m:r>
          <m:rPr/>
          <w:rPr>
            <w:rFonts w:hint="default" w:ascii="Cambria Math" w:eastAsia="宋体"/>
            <w:sz w:val="24"/>
          </w:rPr>
          <m:t>DRG</m:t>
        </m:r>
        <m:r>
          <m:rPr>
            <m:sty m:val="p"/>
          </m:rPr>
          <w:rPr>
            <w:rFonts w:hint="default" w:ascii="Cambria Math" w:eastAsia="宋体"/>
            <w:sz w:val="24"/>
          </w:rPr>
          <m:t>盈余×留用比例</m:t>
        </m:r>
        <m:r>
          <m:rPr/>
          <w:rPr>
            <w:rFonts w:hint="default" w:ascii="Cambria Math" w:eastAsia="宋体"/>
            <w:sz w:val="24"/>
          </w:rPr>
          <m:t>,</m:t>
        </m:r>
        <m:r>
          <m:rPr>
            <m:sty m:val="p"/>
          </m:rPr>
          <w:rPr>
            <w:rFonts w:hint="default" w:ascii="Cambria Math" w:eastAsia="宋体"/>
            <w:sz w:val="24"/>
          </w:rPr>
          <m:t xml:space="preserve"> </m:t>
        </m:r>
        <m:r>
          <m:rPr/>
          <w:rPr>
            <w:rFonts w:hint="default" w:ascii="Cambria Math" w:eastAsia="宋体"/>
            <w:sz w:val="24"/>
          </w:rPr>
          <m:t>0)+</m:t>
        </m:r>
        <m:r>
          <m:rPr>
            <m:sty m:val="p"/>
          </m:rPr>
          <w:rPr>
            <w:rFonts w:hint="default" w:ascii="Cambria Math" w:eastAsia="宋体"/>
            <w:sz w:val="24"/>
          </w:rPr>
          <m:t>质量得分×系数</m:t>
        </m:r>
      </m:oMath>
    </w:p>
    <w:p w14:paraId="10DC0DB3">
      <w:pPr>
        <w:pStyle w:val="12"/>
        <w:bidi w:val="0"/>
        <w:rPr>
          <w:lang w:eastAsia="en-US"/>
        </w:rPr>
      </w:pPr>
      <w:r>
        <w:t>表 6.2 "RBRVS+DRG盈余留用复合绩效考核表</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8"/>
        <w:gridCol w:w="1972"/>
        <w:gridCol w:w="967"/>
        <w:gridCol w:w="2301"/>
        <w:gridCol w:w="1712"/>
      </w:tblGrid>
      <w:tr w14:paraId="2AD7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3D895EE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考核维度</w:t>
            </w:r>
          </w:p>
        </w:tc>
        <w:tc>
          <w:tcPr>
            <w:tcW w:w="1972" w:type="dxa"/>
          </w:tcPr>
          <w:p w14:paraId="0F0D93E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考核指标</w:t>
            </w:r>
          </w:p>
        </w:tc>
        <w:tc>
          <w:tcPr>
            <w:tcW w:w="967" w:type="dxa"/>
          </w:tcPr>
          <w:p w14:paraId="4B0DFB8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权重</w:t>
            </w:r>
          </w:p>
        </w:tc>
        <w:tc>
          <w:tcPr>
            <w:tcW w:w="2301" w:type="dxa"/>
          </w:tcPr>
          <w:p w14:paraId="713CB8A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计算方式</w:t>
            </w:r>
          </w:p>
        </w:tc>
        <w:tc>
          <w:tcPr>
            <w:tcW w:w="1712" w:type="dxa"/>
          </w:tcPr>
          <w:p w14:paraId="49788F0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说明</w:t>
            </w:r>
          </w:p>
        </w:tc>
      </w:tr>
      <w:tr w14:paraId="33B4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55B2337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bCs/>
                <w:i w:val="0"/>
                <w:kern w:val="0"/>
                <w:sz w:val="22"/>
                <w:szCs w:val="22"/>
                <w:lang w:eastAsia="en-US"/>
              </w:rPr>
              <w:t>工作量绩效（RBRVS</w:t>
            </w:r>
            <w:r>
              <w:rPr>
                <w:rFonts w:hint="eastAsia" w:ascii="Times New Roman" w:hAnsi="Times New Roman" w:eastAsia="宋体" w:cs="Times New Roman"/>
                <w:b w:val="0"/>
                <w:i w:val="0"/>
                <w:kern w:val="0"/>
                <w:sz w:val="22"/>
                <w:szCs w:val="22"/>
                <w:lang w:eastAsia="en-US"/>
              </w:rPr>
              <w:t>）</w:t>
            </w:r>
          </w:p>
        </w:tc>
        <w:tc>
          <w:tcPr>
            <w:tcW w:w="1972" w:type="dxa"/>
          </w:tcPr>
          <w:p w14:paraId="60A4D421">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967" w:type="dxa"/>
          </w:tcPr>
          <w:p w14:paraId="523BC5F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bCs/>
                <w:i w:val="0"/>
                <w:kern w:val="0"/>
                <w:sz w:val="22"/>
                <w:szCs w:val="22"/>
                <w:lang w:eastAsia="en-US"/>
              </w:rPr>
              <w:t>60%</w:t>
            </w:r>
          </w:p>
        </w:tc>
        <w:tc>
          <w:tcPr>
            <w:tcW w:w="2301" w:type="dxa"/>
          </w:tcPr>
          <w:p w14:paraId="4C32A463">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712" w:type="dxa"/>
          </w:tcPr>
          <w:p w14:paraId="2258B0B8">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r>
      <w:tr w14:paraId="6740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6BD3CE89">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28F516E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门诊RBRVS点数</w:t>
            </w:r>
          </w:p>
        </w:tc>
        <w:tc>
          <w:tcPr>
            <w:tcW w:w="967" w:type="dxa"/>
          </w:tcPr>
          <w:p w14:paraId="1AD50D8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15%</w:t>
            </w:r>
          </w:p>
        </w:tc>
        <w:tc>
          <w:tcPr>
            <w:tcW w:w="2301" w:type="dxa"/>
          </w:tcPr>
          <w:p w14:paraId="662D16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按服务项目点值累加</w:t>
            </w:r>
          </w:p>
        </w:tc>
        <w:tc>
          <w:tcPr>
            <w:tcW w:w="1712" w:type="dxa"/>
          </w:tcPr>
          <w:p w14:paraId="4AB18F0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体现门诊劳动价值</w:t>
            </w:r>
          </w:p>
        </w:tc>
      </w:tr>
      <w:tr w14:paraId="0CB91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1A80B4E4">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5FF3DB5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住院RBRVS点数</w:t>
            </w:r>
          </w:p>
        </w:tc>
        <w:tc>
          <w:tcPr>
            <w:tcW w:w="967" w:type="dxa"/>
          </w:tcPr>
          <w:p w14:paraId="0C09A2A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25%</w:t>
            </w:r>
          </w:p>
        </w:tc>
        <w:tc>
          <w:tcPr>
            <w:tcW w:w="2301" w:type="dxa"/>
          </w:tcPr>
          <w:p w14:paraId="26D51EC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按服务项目点值累加</w:t>
            </w:r>
          </w:p>
        </w:tc>
        <w:tc>
          <w:tcPr>
            <w:tcW w:w="1712" w:type="dxa"/>
          </w:tcPr>
          <w:p w14:paraId="6E3C194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体现住院诊疗价值</w:t>
            </w:r>
          </w:p>
        </w:tc>
      </w:tr>
      <w:tr w14:paraId="2685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1ABA2604">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53405D5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手术RBRVS点数</w:t>
            </w:r>
          </w:p>
        </w:tc>
        <w:tc>
          <w:tcPr>
            <w:tcW w:w="967" w:type="dxa"/>
          </w:tcPr>
          <w:p w14:paraId="5F1E2D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20%</w:t>
            </w:r>
          </w:p>
        </w:tc>
        <w:tc>
          <w:tcPr>
            <w:tcW w:w="2301" w:type="dxa"/>
          </w:tcPr>
          <w:p w14:paraId="17ACD5E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按手术难度系数加权</w:t>
            </w:r>
          </w:p>
        </w:tc>
        <w:tc>
          <w:tcPr>
            <w:tcW w:w="1712" w:type="dxa"/>
          </w:tcPr>
          <w:p w14:paraId="30C8DA7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体现技术难度价值</w:t>
            </w:r>
          </w:p>
        </w:tc>
      </w:tr>
      <w:tr w14:paraId="2C63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4BE2C9BC">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盈余留用绩效（DRG）</w:t>
            </w:r>
          </w:p>
        </w:tc>
        <w:tc>
          <w:tcPr>
            <w:tcW w:w="1972" w:type="dxa"/>
          </w:tcPr>
          <w:p w14:paraId="389B52B2">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p>
        </w:tc>
        <w:tc>
          <w:tcPr>
            <w:tcW w:w="967" w:type="dxa"/>
          </w:tcPr>
          <w:p w14:paraId="221CCA75">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30%</w:t>
            </w:r>
          </w:p>
        </w:tc>
        <w:tc>
          <w:tcPr>
            <w:tcW w:w="2301" w:type="dxa"/>
          </w:tcPr>
          <w:p w14:paraId="037D6867">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p>
        </w:tc>
        <w:tc>
          <w:tcPr>
            <w:tcW w:w="1712" w:type="dxa"/>
          </w:tcPr>
          <w:p w14:paraId="0D9039A1">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r>
      <w:tr w14:paraId="6A15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387A3C19">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3CE8232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科室DRG盈余额</w:t>
            </w:r>
          </w:p>
        </w:tc>
        <w:tc>
          <w:tcPr>
            <w:tcW w:w="967" w:type="dxa"/>
          </w:tcPr>
          <w:p w14:paraId="5273240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20%</w:t>
            </w:r>
          </w:p>
        </w:tc>
        <w:tc>
          <w:tcPr>
            <w:tcW w:w="2301" w:type="dxa"/>
          </w:tcPr>
          <w:p w14:paraId="6F20AE7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盈余额×留用比例（50%）</w:t>
            </w:r>
          </w:p>
        </w:tc>
        <w:tc>
          <w:tcPr>
            <w:tcW w:w="1712" w:type="dxa"/>
          </w:tcPr>
          <w:p w14:paraId="30DB1C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直接挂钩控费成果</w:t>
            </w:r>
          </w:p>
        </w:tc>
      </w:tr>
      <w:tr w14:paraId="03AC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18E7B69B">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70F1C67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CMI-边际贡献改善</w:t>
            </w:r>
          </w:p>
        </w:tc>
        <w:tc>
          <w:tcPr>
            <w:tcW w:w="967" w:type="dxa"/>
          </w:tcPr>
          <w:p w14:paraId="2D5E642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10%</w:t>
            </w:r>
          </w:p>
        </w:tc>
        <w:tc>
          <w:tcPr>
            <w:tcW w:w="2301" w:type="dxa"/>
          </w:tcPr>
          <w:p w14:paraId="4ACF5F8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环比改善幅度×系数</w:t>
            </w:r>
          </w:p>
        </w:tc>
        <w:tc>
          <w:tcPr>
            <w:tcW w:w="1712" w:type="dxa"/>
          </w:tcPr>
          <w:p w14:paraId="25A69E8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鼓励持续优化</w:t>
            </w:r>
          </w:p>
        </w:tc>
      </w:tr>
      <w:tr w14:paraId="23DF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0B78157A">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质量与合规</w:t>
            </w:r>
          </w:p>
        </w:tc>
        <w:tc>
          <w:tcPr>
            <w:tcW w:w="1972" w:type="dxa"/>
          </w:tcPr>
          <w:p w14:paraId="33C79D87">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p>
        </w:tc>
        <w:tc>
          <w:tcPr>
            <w:tcW w:w="967" w:type="dxa"/>
          </w:tcPr>
          <w:p w14:paraId="0C892739">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10%</w:t>
            </w:r>
          </w:p>
        </w:tc>
        <w:tc>
          <w:tcPr>
            <w:tcW w:w="2301" w:type="dxa"/>
          </w:tcPr>
          <w:p w14:paraId="019F546F">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712" w:type="dxa"/>
          </w:tcPr>
          <w:p w14:paraId="240E3FA2">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r>
      <w:tr w14:paraId="02BDA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326F7361">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4CB112D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病案首页质量</w:t>
            </w:r>
          </w:p>
        </w:tc>
        <w:tc>
          <w:tcPr>
            <w:tcW w:w="967" w:type="dxa"/>
          </w:tcPr>
          <w:p w14:paraId="4DC4747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3%</w:t>
            </w:r>
          </w:p>
        </w:tc>
        <w:tc>
          <w:tcPr>
            <w:tcW w:w="2301" w:type="dxa"/>
          </w:tcPr>
          <w:p w14:paraId="6E3F5BE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合格率×系数</w:t>
            </w:r>
          </w:p>
        </w:tc>
        <w:tc>
          <w:tcPr>
            <w:tcW w:w="1712" w:type="dxa"/>
          </w:tcPr>
          <w:p w14:paraId="345E897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保障编码准确</w:t>
            </w:r>
          </w:p>
        </w:tc>
      </w:tr>
      <w:tr w14:paraId="7598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4CDD06EF">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7B2BC8F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临床路径执行率</w:t>
            </w:r>
          </w:p>
        </w:tc>
        <w:tc>
          <w:tcPr>
            <w:tcW w:w="967" w:type="dxa"/>
          </w:tcPr>
          <w:p w14:paraId="236E11A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3%</w:t>
            </w:r>
          </w:p>
        </w:tc>
        <w:tc>
          <w:tcPr>
            <w:tcW w:w="2301" w:type="dxa"/>
          </w:tcPr>
          <w:p w14:paraId="5918BDD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执行率×系数</w:t>
            </w:r>
          </w:p>
        </w:tc>
        <w:tc>
          <w:tcPr>
            <w:tcW w:w="1712" w:type="dxa"/>
          </w:tcPr>
          <w:p w14:paraId="5534DD3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保障标准化</w:t>
            </w:r>
          </w:p>
        </w:tc>
      </w:tr>
      <w:tr w14:paraId="6D65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8" w:type="dxa"/>
          </w:tcPr>
          <w:p w14:paraId="726FF72B">
            <w:pPr>
              <w:widowControl/>
              <w:spacing w:after="0" w:line="240" w:lineRule="auto"/>
              <w:ind w:firstLine="0" w:firstLineChars="0"/>
              <w:jc w:val="center"/>
              <w:textAlignment w:val="auto"/>
              <w:rPr>
                <w:rFonts w:ascii="Cambria" w:hAnsi="Cambria" w:eastAsia="宋体" w:cs="Times New Roman"/>
                <w:kern w:val="0"/>
                <w:sz w:val="22"/>
                <w:szCs w:val="22"/>
                <w:lang w:eastAsia="en-US"/>
              </w:rPr>
            </w:pPr>
          </w:p>
        </w:tc>
        <w:tc>
          <w:tcPr>
            <w:tcW w:w="1972" w:type="dxa"/>
          </w:tcPr>
          <w:p w14:paraId="183F548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医疗安全指标</w:t>
            </w:r>
          </w:p>
        </w:tc>
        <w:tc>
          <w:tcPr>
            <w:tcW w:w="967" w:type="dxa"/>
          </w:tcPr>
          <w:p w14:paraId="48412F0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4%</w:t>
            </w:r>
          </w:p>
        </w:tc>
        <w:tc>
          <w:tcPr>
            <w:tcW w:w="2301" w:type="dxa"/>
          </w:tcPr>
          <w:p w14:paraId="5B1F682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无重大事故得满分</w:t>
            </w:r>
          </w:p>
        </w:tc>
        <w:tc>
          <w:tcPr>
            <w:tcW w:w="1712" w:type="dxa"/>
          </w:tcPr>
          <w:p w14:paraId="36A3D52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底线要求</w:t>
            </w:r>
          </w:p>
        </w:tc>
      </w:tr>
    </w:tbl>
    <w:p w14:paraId="6042B5D7">
      <w:pPr>
        <w:pStyle w:val="19"/>
        <w:bidi w:val="0"/>
        <w:rPr>
          <w:rFonts w:ascii="Cambria" w:hAnsi="Cambria" w:eastAsia="宋体" w:cs="Times New Roman"/>
          <w:kern w:val="0"/>
          <w:szCs w:val="22"/>
          <w:lang w:eastAsia="en-US"/>
        </w:rPr>
      </w:pPr>
      <w:r>
        <w:rPr>
          <w:rFonts w:hint="eastAsia"/>
          <w:lang w:eastAsia="en-US"/>
        </w:rPr>
        <w:t>合规性声明：需特别强调，上述盈余留用机制中的</w:t>
      </w:r>
      <w:r>
        <w:rPr>
          <w:rFonts w:hint="eastAsia"/>
          <w:lang w:eastAsia="zh-CN"/>
        </w:rPr>
        <w:t>“</w:t>
      </w:r>
      <w:r>
        <w:rPr>
          <w:rFonts w:hint="eastAsia"/>
          <w:lang w:eastAsia="en-US"/>
        </w:rPr>
        <w:t>亏损不留用</w:t>
      </w:r>
      <w:r>
        <w:rPr>
          <w:rFonts w:hint="eastAsia"/>
          <w:lang w:eastAsia="zh-CN"/>
        </w:rPr>
        <w:t>”</w:t>
      </w:r>
      <w:r>
        <w:rPr>
          <w:rFonts w:hint="eastAsia"/>
          <w:lang w:eastAsia="en-US"/>
        </w:rPr>
        <w:t>条款，仅针对绩效奖金部分，严禁触碰员工基本工资与法定福利。任何将DRG亏损与员工基本薪酬挂钩的做法，均违反《</w:t>
      </w:r>
      <w:r>
        <w:rPr>
          <w:rFonts w:hint="eastAsia"/>
          <w:lang w:eastAsia="zh-CN"/>
        </w:rPr>
        <w:t>中华人民共和国劳动法</w:t>
      </w:r>
      <w:r>
        <w:rPr>
          <w:rFonts w:hint="eastAsia"/>
          <w:lang w:eastAsia="en-US"/>
        </w:rPr>
        <w:t>》相关规定，不在本方案考虑范围之内</w:t>
      </w:r>
      <w:r>
        <w:rPr>
          <w:rFonts w:hint="eastAsia" w:ascii="Times New Roman" w:hAnsi="Times New Roman" w:eastAsia="宋体" w:cs="Times New Roman"/>
          <w:b w:val="0"/>
          <w:i w:val="0"/>
          <w:kern w:val="0"/>
          <w:szCs w:val="22"/>
          <w:lang w:eastAsia="en-US"/>
        </w:rPr>
        <w:t>。</w:t>
      </w:r>
    </w:p>
    <w:p w14:paraId="1482883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盈余留用比例设计</w:t>
      </w:r>
      <w:r>
        <w:rPr>
          <w:rFonts w:hint="eastAsia" w:ascii="Times New Roman" w:hAnsi="Times New Roman" w:eastAsia="宋体" w:cs="Times New Roman"/>
          <w:b w:val="0"/>
          <w:i w:val="0"/>
          <w:kern w:val="0"/>
          <w:sz w:val="24"/>
          <w:szCs w:val="22"/>
          <w:lang w:eastAsia="en-US"/>
        </w:rPr>
        <w:t>：</w:t>
      </w:r>
    </w:p>
    <w:p w14:paraId="0ACE13F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本研究建议采用</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阶梯式留用比例</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，盈余越高、留用比例越高，强化激励效果：</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058F1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7B382EB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科室DRG盈余率</w:t>
            </w:r>
          </w:p>
        </w:tc>
        <w:tc>
          <w:tcPr>
            <w:tcW w:w="4479" w:type="dxa"/>
          </w:tcPr>
          <w:p w14:paraId="522CAED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盈余留用比例</w:t>
            </w:r>
          </w:p>
        </w:tc>
      </w:tr>
      <w:tr w14:paraId="6F0D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739AF87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15%</w:t>
            </w:r>
          </w:p>
        </w:tc>
        <w:tc>
          <w:tcPr>
            <w:tcW w:w="4479" w:type="dxa"/>
          </w:tcPr>
          <w:p w14:paraId="040BB48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留用60%</w:t>
            </w:r>
          </w:p>
        </w:tc>
      </w:tr>
      <w:tr w14:paraId="2E2E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6B5727D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10% ~ 15%</w:t>
            </w:r>
          </w:p>
        </w:tc>
        <w:tc>
          <w:tcPr>
            <w:tcW w:w="4479" w:type="dxa"/>
          </w:tcPr>
          <w:p w14:paraId="3E778FB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留用55%</w:t>
            </w:r>
          </w:p>
        </w:tc>
      </w:tr>
      <w:tr w14:paraId="6C4E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508464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 ~ 10%</w:t>
            </w:r>
          </w:p>
        </w:tc>
        <w:tc>
          <w:tcPr>
            <w:tcW w:w="4479" w:type="dxa"/>
          </w:tcPr>
          <w:p w14:paraId="2E9658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留用50%</w:t>
            </w:r>
          </w:p>
        </w:tc>
      </w:tr>
      <w:tr w14:paraId="7526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2198019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0% ~ 5%</w:t>
            </w:r>
          </w:p>
        </w:tc>
        <w:tc>
          <w:tcPr>
            <w:tcW w:w="4479" w:type="dxa"/>
          </w:tcPr>
          <w:p w14:paraId="1FABE1A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留用45%</w:t>
            </w:r>
          </w:p>
        </w:tc>
      </w:tr>
      <w:tr w14:paraId="119CD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7619CA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&lt; 0%（亏损）</w:t>
            </w:r>
          </w:p>
        </w:tc>
        <w:tc>
          <w:tcPr>
            <w:tcW w:w="4479" w:type="dxa"/>
          </w:tcPr>
          <w:p w14:paraId="2F39692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不留用，但不扣罚</w:t>
            </w:r>
          </w:p>
        </w:tc>
      </w:tr>
    </w:tbl>
    <w:p w14:paraId="5983867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在推行DRG盈余留用的同时，必须防范一种风险：</w:t>
      </w:r>
      <w:r>
        <w:rPr>
          <w:rFonts w:hint="eastAsia" w:ascii="Times New Roman" w:hAnsi="Times New Roman" w:eastAsia="宋体" w:cs="Times New Roman"/>
          <w:b/>
          <w:i w:val="0"/>
          <w:kern w:val="0"/>
          <w:sz w:val="24"/>
          <w:szCs w:val="22"/>
          <w:lang w:eastAsia="en-US"/>
        </w:rPr>
        <w:t>为了控费而推诿重症病人</w:t>
      </w:r>
      <w:r>
        <w:rPr>
          <w:rFonts w:hint="eastAsia" w:ascii="Times New Roman" w:hAnsi="Times New Roman" w:eastAsia="宋体" w:cs="Times New Roman"/>
          <w:b w:val="0"/>
          <w:i w:val="0"/>
          <w:kern w:val="0"/>
          <w:sz w:val="24"/>
          <w:szCs w:val="22"/>
          <w:lang w:eastAsia="en-US"/>
        </w:rPr>
        <w:t>。如果医生发现某类高难度病例必然亏损，可能选择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不收</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或</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转诊</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，这将严重损害患者利益和医学伦理。</w:t>
      </w:r>
    </w:p>
    <w:p w14:paraId="7DE9D9C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为保护医学伦理底线，本研究建议建立</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特评病种申报机制</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5CFB056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机制设计</w:t>
      </w:r>
      <w:r>
        <w:rPr>
          <w:rFonts w:hint="eastAsia" w:ascii="Times New Roman" w:hAnsi="Times New Roman" w:eastAsia="宋体" w:cs="Times New Roman"/>
          <w:b w:val="0"/>
          <w:i w:val="0"/>
          <w:kern w:val="0"/>
          <w:sz w:val="24"/>
          <w:szCs w:val="22"/>
          <w:lang w:eastAsia="en-US"/>
        </w:rPr>
        <w:t>：</w:t>
      </w:r>
    </w:p>
    <w:p w14:paraId="68720C0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1：识别特评病种</w:t>
      </w:r>
    </w:p>
    <w:p w14:paraId="7A566F8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根据历史数据，识别那些</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技术必要、但必然亏损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的病种，纳入</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特评病种目录</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。典型特征包括：</w:t>
      </w:r>
    </w:p>
    <w:p w14:paraId="76D7E63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CMI &gt; 1.5，技术难度极高</w:t>
      </w:r>
    </w:p>
    <w:p w14:paraId="116929C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边际贡献率 &lt; -20%，亏损严重</w:t>
      </w:r>
    </w:p>
    <w:p w14:paraId="52A6D6B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患者无其他就医选择（如区域内唯一能做该手术的医院）</w:t>
      </w:r>
    </w:p>
    <w:p w14:paraId="6D63186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2：事前申报</w:t>
      </w:r>
    </w:p>
    <w:p w14:paraId="27F6468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对于拟收治特评病种的病例，主诊医生可在入院前向医务科提交</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特评病种申报单</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，说明病例情况、预计成本、预计亏损等。</w:t>
      </w:r>
    </w:p>
    <w:p w14:paraId="33D7F084">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3：审核确认</w:t>
      </w:r>
    </w:p>
    <w:p w14:paraId="018301D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医务科组织专家评估，确认该病例是否确需收治、是否符合特评条件。审核通过后，该病例进入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特评通道</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62ABFF6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Step 4：亏损豁免</w:t>
      </w:r>
    </w:p>
    <w:p w14:paraId="20F0CEC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进入</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特评通道</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的病例，其亏损不计入科室绩效考核。即：</w:t>
      </w:r>
    </w:p>
    <w:p w14:paraId="2EDF9BE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该病例的成本不纳入科室成本核算</w:t>
      </w:r>
    </w:p>
    <w:p w14:paraId="69AE98A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该病例的亏损不影响科室盈余留用比例</w:t>
      </w:r>
    </w:p>
    <w:p w14:paraId="57EFA57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主诊医生仍可获得相应的RBRVS工作量绩效</w:t>
      </w:r>
    </w:p>
    <w:p w14:paraId="7EA5C5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机制优势</w:t>
      </w:r>
      <w:r>
        <w:rPr>
          <w:rFonts w:hint="eastAsia" w:ascii="Times New Roman" w:hAnsi="Times New Roman" w:eastAsia="宋体" w:cs="Times New Roman"/>
          <w:b w:val="0"/>
          <w:i w:val="0"/>
          <w:kern w:val="0"/>
          <w:sz w:val="24"/>
          <w:szCs w:val="22"/>
          <w:lang w:eastAsia="en-US"/>
        </w:rPr>
        <w:t>：</w:t>
      </w:r>
    </w:p>
    <w:p w14:paraId="61F1246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优势一：保护医学伦理。</w:t>
      </w:r>
      <w:r>
        <w:rPr>
          <w:rFonts w:hint="eastAsia" w:ascii="Times New Roman" w:hAnsi="Times New Roman" w:eastAsia="宋体" w:cs="Times New Roman"/>
          <w:b w:val="0"/>
          <w:i w:val="0"/>
          <w:kern w:val="0"/>
          <w:sz w:val="24"/>
          <w:szCs w:val="22"/>
          <w:lang w:eastAsia="en-US"/>
        </w:rPr>
        <w:t xml:space="preserve"> 医生不会因为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怕亏损</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而拒收重症病人，患者利益得到保障。</w:t>
      </w:r>
    </w:p>
    <w:p w14:paraId="411B33E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优势二：风险隔离。</w:t>
      </w:r>
      <w:r>
        <w:rPr>
          <w:rFonts w:hint="eastAsia" w:ascii="Times New Roman" w:hAnsi="Times New Roman" w:eastAsia="宋体" w:cs="Times New Roman"/>
          <w:b w:val="0"/>
          <w:i w:val="0"/>
          <w:kern w:val="0"/>
          <w:sz w:val="24"/>
          <w:szCs w:val="22"/>
          <w:lang w:eastAsia="en-US"/>
        </w:rPr>
        <w:t xml:space="preserve"> 特评病例的亏损与科室日常绩效隔离，不影响整体激励效果。</w:t>
      </w:r>
    </w:p>
    <w:p w14:paraId="6100893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优势三：数据积累。</w:t>
      </w:r>
      <w:r>
        <w:rPr>
          <w:rFonts w:hint="eastAsia" w:ascii="Times New Roman" w:hAnsi="Times New Roman" w:eastAsia="宋体" w:cs="Times New Roman"/>
          <w:b w:val="0"/>
          <w:i w:val="0"/>
          <w:kern w:val="0"/>
          <w:sz w:val="24"/>
          <w:szCs w:val="22"/>
          <w:lang w:eastAsia="en-US"/>
        </w:rPr>
        <w:t xml:space="preserve"> 特评病例的数据可用于向医保部门申请</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特例单议</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，争取政策调整。科主任访谈验证了该机制的必要性与可接受度。46.7%的受访者反映其科室每年出现3例以上</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临床必要但合理超支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的高倍率病例，86.7%表示特评机制能降低其收治重症的顾虑（均分4.20/5）。同时，46.7%认为</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临床必要性超支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管理粗放型超支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的区分标准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基本清晰但需细化</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，提示实施中需建立具体病种的量化阈值。</w:t>
      </w:r>
    </w:p>
    <w:p w14:paraId="6757A173">
      <w:pPr>
        <w:pStyle w:val="3"/>
        <w:bidi w:val="0"/>
        <w:rPr>
          <w:lang w:val="en-US" w:eastAsia="en-US"/>
        </w:rPr>
      </w:pPr>
      <w:bookmarkStart w:id="151" w:name="_Toc32262"/>
      <w:bookmarkStart w:id="152" w:name="_Toc16108"/>
      <w:r>
        <w:rPr>
          <w:rFonts w:hint="eastAsia"/>
          <w:lang w:val="en-US" w:eastAsia="en-US"/>
        </w:rPr>
        <w:t>数字化保障：运营透明度提升</w:t>
      </w:r>
      <w:bookmarkEnd w:id="151"/>
      <w:bookmarkEnd w:id="152"/>
    </w:p>
    <w:p w14:paraId="35E4180D">
      <w:pPr>
        <w:pStyle w:val="4"/>
        <w:bidi w:val="0"/>
        <w:rPr>
          <w:lang w:val="en-US" w:eastAsia="en-US"/>
        </w:rPr>
      </w:pPr>
      <w:bookmarkStart w:id="153" w:name="_Toc15975"/>
      <w:bookmarkStart w:id="154" w:name="_Toc2201"/>
      <w:r>
        <w:rPr>
          <w:rFonts w:hint="eastAsia"/>
          <w:lang w:val="en-US" w:eastAsia="en-US"/>
        </w:rPr>
        <w:t>数字化平台建设建议</w:t>
      </w:r>
      <w:bookmarkEnd w:id="153"/>
      <w:bookmarkEnd w:id="154"/>
    </w:p>
    <w:p w14:paraId="69DD4FF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为支撑上述策略和机制的落地，本研究建议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加快数字化平台建设，重点建设以下模块：</w:t>
      </w:r>
    </w:p>
    <w:p w14:paraId="5DD2A3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模块一：DRG实时监控看板</w:t>
      </w:r>
    </w:p>
    <w:p w14:paraId="58C4EEE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功能：实时展示各院区、各科室的DRG盈余率、CMI值、高倍率病例数等核心指标，支持预警和穿透分析。</w:t>
      </w:r>
    </w:p>
    <w:p w14:paraId="05D13BAE">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模块二：学科画像动态系统</w:t>
      </w:r>
    </w:p>
    <w:p w14:paraId="6E1141C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功能：自动计算各学科的CMI和边际贡献，动态更新四象限定位，为CAPEX配置提供决策依据。</w:t>
      </w:r>
    </w:p>
    <w:p w14:paraId="7747DA4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模块三：绩效核算自动化平台</w:t>
      </w:r>
    </w:p>
    <w:p w14:paraId="194E6A3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功能：自动采集RBRVS点数、DRG盈余数据，自动计算绩效分配，减少人工干预，提高公平性。</w:t>
      </w:r>
    </w:p>
    <w:p w14:paraId="59C65EE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val="en-US" w:eastAsia="zh-CN"/>
        </w:rPr>
      </w:pPr>
      <w:r>
        <w:rPr>
          <w:rFonts w:hint="eastAsia" w:ascii="Times New Roman" w:hAnsi="Times New Roman" w:eastAsia="宋体" w:cs="Times New Roman"/>
          <w:b w:val="0"/>
          <w:i w:val="0"/>
          <w:kern w:val="0"/>
          <w:sz w:val="24"/>
          <w:szCs w:val="22"/>
          <w:lang w:eastAsia="en-US"/>
        </w:rPr>
        <w:t>已落地成果验证。 H1在试点中投入约60万元采购HIS成本核算模块，实现单病种成本追踪自动化（第五章5.5.2节）。这一投入在3个月内产生回报——通过编码准确率从76%提升至89%，减少了因编码错误导致的低编低报损失。数字化工具的低成本、高杠杆特征，在H1试点中已得到验证</w:t>
      </w:r>
      <w:r>
        <w:rPr>
          <w:rFonts w:hint="eastAsia" w:cs="Times New Roman"/>
          <w:b w:val="0"/>
          <w:i w:val="0"/>
          <w:kern w:val="0"/>
          <w:sz w:val="24"/>
          <w:szCs w:val="22"/>
          <w:lang w:eastAsia="zh-CN"/>
        </w:rPr>
        <w:t>。</w:t>
      </w:r>
    </w:p>
    <w:p w14:paraId="35D9E01E">
      <w:pPr>
        <w:pStyle w:val="3"/>
        <w:bidi w:val="0"/>
        <w:rPr>
          <w:lang w:val="en-US" w:eastAsia="en-US"/>
        </w:rPr>
      </w:pPr>
      <w:bookmarkStart w:id="155" w:name="_Toc21414"/>
      <w:bookmarkStart w:id="156" w:name="_Toc2768"/>
      <w:r>
        <w:rPr>
          <w:rFonts w:hint="eastAsia"/>
          <w:lang w:val="en-US" w:eastAsia="en-US"/>
        </w:rPr>
        <w:t>运营透明度与PE估值修复</w:t>
      </w:r>
      <w:bookmarkEnd w:id="155"/>
      <w:bookmarkEnd w:id="156"/>
    </w:p>
    <w:p w14:paraId="6A025FAD">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核心命题：对于</w:t>
      </w:r>
      <w:r>
        <w:rPr>
          <w:rFonts w:hint="eastAsia" w:cs="Times New Roman"/>
          <w:b/>
          <w:i w:val="0"/>
          <w:kern w:val="0"/>
          <w:sz w:val="24"/>
          <w:szCs w:val="22"/>
          <w:lang w:eastAsia="zh-CN"/>
        </w:rPr>
        <w:t>A医疗集团</w:t>
      </w:r>
      <w:r>
        <w:rPr>
          <w:rFonts w:hint="eastAsia" w:ascii="Times New Roman" w:hAnsi="Times New Roman" w:eastAsia="宋体" w:cs="Times New Roman"/>
          <w:b/>
          <w:i w:val="0"/>
          <w:kern w:val="0"/>
          <w:sz w:val="24"/>
          <w:szCs w:val="22"/>
          <w:lang w:eastAsia="en-US"/>
        </w:rPr>
        <w:t>而言，透明度本身就是一种溢价。</w:t>
      </w:r>
    </w:p>
    <w:p w14:paraId="791FBF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从资本市场视角审视</w:t>
      </w:r>
      <w:r>
        <w:rPr>
          <w:rFonts w:hint="eastAsia" w:ascii="Times New Roman" w:hAnsi="Times New Roman" w:eastAsia="宋体" w:cs="Times New Roman"/>
          <w:b w:val="0"/>
          <w:i w:val="0"/>
          <w:kern w:val="0"/>
          <w:sz w:val="24"/>
          <w:szCs w:val="22"/>
          <w:lang w:eastAsia="en-US"/>
        </w:rPr>
        <w:t>，</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当前面临的估值折价问题，根源在于</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利润质量存疑</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3E96BEA">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质疑一：医保政策冲击的不确定性。</w:t>
      </w:r>
      <w:r>
        <w:rPr>
          <w:rFonts w:hint="eastAsia" w:ascii="Times New Roman" w:hAnsi="Times New Roman" w:eastAsia="宋体" w:cs="Times New Roman"/>
          <w:b w:val="0"/>
          <w:i w:val="0"/>
          <w:kern w:val="0"/>
          <w:sz w:val="24"/>
          <w:szCs w:val="22"/>
          <w:lang w:eastAsia="en-US"/>
        </w:rPr>
        <w:t xml:space="preserve"> 投资者担心DRG/DIP改革将持续侵蚀医疗板块利润，但缺乏量化评估依据。</w:t>
      </w:r>
    </w:p>
    <w:p w14:paraId="55A58CD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质疑二：供应链利润的可持续性。</w:t>
      </w:r>
      <w:r>
        <w:rPr>
          <w:rFonts w:hint="eastAsia" w:ascii="Times New Roman" w:hAnsi="Times New Roman" w:eastAsia="宋体" w:cs="Times New Roman"/>
          <w:b w:val="0"/>
          <w:i w:val="0"/>
          <w:kern w:val="0"/>
          <w:sz w:val="24"/>
          <w:szCs w:val="22"/>
          <w:lang w:eastAsia="en-US"/>
        </w:rPr>
        <w:t xml:space="preserve"> 投资者担心</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和账期收益是</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一次性红利</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，而非可持续的盈利能力。</w:t>
      </w:r>
    </w:p>
    <w:p w14:paraId="23AADF1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质疑三：运营</w:t>
      </w:r>
      <w:r>
        <w:rPr>
          <w:rFonts w:hint="eastAsia" w:cs="Times New Roman"/>
          <w:b/>
          <w:i w:val="0"/>
          <w:kern w:val="0"/>
          <w:sz w:val="24"/>
          <w:szCs w:val="22"/>
          <w:lang w:eastAsia="zh-CN"/>
        </w:rPr>
        <w:t>数据</w:t>
      </w:r>
      <w:r>
        <w:rPr>
          <w:rFonts w:hint="eastAsia" w:ascii="Times New Roman" w:hAnsi="Times New Roman" w:eastAsia="宋体" w:cs="Times New Roman"/>
          <w:b/>
          <w:i w:val="0"/>
          <w:kern w:val="0"/>
          <w:sz w:val="24"/>
          <w:szCs w:val="22"/>
          <w:lang w:eastAsia="en-US"/>
        </w:rPr>
        <w:t>不透明。</w:t>
      </w:r>
      <w:r>
        <w:rPr>
          <w:rFonts w:hint="eastAsia" w:ascii="Times New Roman" w:hAnsi="Times New Roman" w:eastAsia="宋体" w:cs="Times New Roman"/>
          <w:b w:val="0"/>
          <w:i w:val="0"/>
          <w:kern w:val="0"/>
          <w:sz w:val="24"/>
          <w:szCs w:val="22"/>
          <w:lang w:eastAsia="en-US"/>
        </w:rPr>
        <w:t xml:space="preserve"> 现有信息披露以合并报表为主，分板块、分院区的运营数据不够透明，投资者难以评估真实经营状况。</w:t>
      </w:r>
    </w:p>
    <w:p w14:paraId="2803B37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本研究认为，上述策略和机制的实施，将从三个维度修复PE估值：</w:t>
      </w:r>
    </w:p>
    <w:p w14:paraId="7721D842">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维度一：提升</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利润含金量</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（Cash Earnings Quality）</w:t>
      </w:r>
    </w:p>
    <w:p w14:paraId="6A25D26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通过</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的学科重构，淘汰第四象限的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亏损学科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，使剩余业务的每一分钱收入都能带来正向现金流。</w:t>
      </w:r>
      <w:r>
        <w:rPr>
          <w:rFonts w:hint="eastAsia" w:ascii="Times New Roman" w:hAnsi="Times New Roman" w:eastAsia="宋体" w:cs="Times New Roman"/>
          <w:b w:val="0"/>
          <w:bCs/>
          <w:i w:val="0"/>
          <w:kern w:val="0"/>
          <w:sz w:val="24"/>
          <w:szCs w:val="22"/>
          <w:lang w:eastAsia="en-US"/>
        </w:rPr>
        <w:t>利润不再是</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纸面数字</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，而是</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真金白银</w:t>
      </w:r>
      <w:r>
        <w:rPr>
          <w:rFonts w:hint="eastAsia" w:eastAsia="宋体" w:cs="Times New Roman"/>
          <w:b w:val="0"/>
          <w:bCs/>
          <w:i w:val="0"/>
          <w:kern w:val="0"/>
          <w:sz w:val="24"/>
          <w:szCs w:val="22"/>
          <w:lang w:eastAsia="zh-CN"/>
        </w:rPr>
        <w:t>”</w:t>
      </w:r>
      <w:r>
        <w:rPr>
          <w:rFonts w:hint="eastAsia" w:ascii="Times New Roman" w:hAnsi="Times New Roman" w:eastAsia="宋体" w:cs="Times New Roman"/>
          <w:b w:val="0"/>
          <w:bCs/>
          <w:i w:val="0"/>
          <w:kern w:val="0"/>
          <w:sz w:val="24"/>
          <w:szCs w:val="22"/>
          <w:lang w:eastAsia="en-US"/>
        </w:rPr>
        <w:t>。</w:t>
      </w:r>
    </w:p>
    <w:p w14:paraId="596322B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维度二：增强</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盈利可预测性</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（Earnings Predictability）</w:t>
      </w:r>
    </w:p>
    <w:p w14:paraId="477267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通过</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2+N</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账期管理和阶梯化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返还机制，使供应链利润和医疗板块利润的边界更加清晰、可预测。投资者可以分别评估两个板块的盈利能力，降低估值不确定性。</w:t>
      </w:r>
    </w:p>
    <w:p w14:paraId="5123CBB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维度三：改善</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运营透明度</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（Operational Transparency）</w:t>
      </w:r>
    </w:p>
    <w:p w14:paraId="7CC038F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建议</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在</w:t>
      </w:r>
      <w:r>
        <w:rPr>
          <w:rFonts w:hint="eastAsia" w:cs="Times New Roman"/>
          <w:b w:val="0"/>
          <w:i w:val="0"/>
          <w:kern w:val="0"/>
          <w:sz w:val="24"/>
          <w:szCs w:val="22"/>
          <w:lang w:val="en-US" w:eastAsia="zh-CN"/>
        </w:rPr>
        <w:t>公开文件</w:t>
      </w:r>
      <w:r>
        <w:rPr>
          <w:rFonts w:hint="eastAsia" w:ascii="Times New Roman" w:hAnsi="Times New Roman" w:eastAsia="宋体" w:cs="Times New Roman"/>
          <w:b w:val="0"/>
          <w:i w:val="0"/>
          <w:kern w:val="0"/>
          <w:sz w:val="24"/>
          <w:szCs w:val="22"/>
          <w:lang w:eastAsia="en-US"/>
        </w:rPr>
        <w:t>中增加以下内容：</w:t>
      </w:r>
    </w:p>
    <w:p w14:paraId="066B3B1B">
      <w:pPr>
        <w:widowControl/>
        <w:numPr>
          <w:ilvl w:val="0"/>
          <w:numId w:val="10"/>
        </w:numPr>
        <w:spacing w:before="0" w:after="0" w:line="400" w:lineRule="exact"/>
        <w:ind w:left="840" w:leftChars="0" w:hanging="42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分板块（医疗/医药）的毛利率和营业利润率</w:t>
      </w:r>
    </w:p>
    <w:p w14:paraId="4975597F">
      <w:pPr>
        <w:widowControl/>
        <w:numPr>
          <w:ilvl w:val="0"/>
          <w:numId w:val="10"/>
        </w:numPr>
        <w:spacing w:before="0" w:after="0" w:line="400" w:lineRule="exact"/>
        <w:ind w:left="840" w:leftChars="0" w:hanging="42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医疗板块的平均CMI值和医保盈余率</w:t>
      </w:r>
    </w:p>
    <w:p w14:paraId="5131CC9D">
      <w:pPr>
        <w:widowControl/>
        <w:numPr>
          <w:ilvl w:val="0"/>
          <w:numId w:val="10"/>
        </w:numPr>
        <w:spacing w:before="0" w:after="0" w:line="400" w:lineRule="exact"/>
        <w:ind w:left="840" w:leftChars="0" w:hanging="42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供应链</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收入和账期结构</w:t>
      </w:r>
    </w:p>
    <w:p w14:paraId="2C22917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i w:val="0"/>
          <w:kern w:val="0"/>
          <w:sz w:val="24"/>
          <w:szCs w:val="22"/>
          <w:lang w:eastAsia="en-US"/>
        </w:rPr>
        <w:t>当</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政策黑箱</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被转化为</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透明漏斗</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时，资本市场的估值折价有望显著收窄。</w:t>
      </w:r>
      <w:r>
        <w:rPr>
          <w:rFonts w:hint="eastAsia" w:ascii="Times New Roman" w:hAnsi="Times New Roman" w:eastAsia="宋体" w:cs="Times New Roman"/>
          <w:b w:val="0"/>
          <w:i w:val="0"/>
          <w:kern w:val="0"/>
          <w:sz w:val="24"/>
          <w:szCs w:val="22"/>
          <w:lang w:eastAsia="en-US"/>
        </w:rPr>
        <w:t xml:space="preserve"> 根据可比公司分析，若</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能够实现上述透明度改善，其企业 PE 估值有望从当前水平修复至医疗服务行业平均水平，对应市值提升</w:t>
      </w:r>
      <w:r>
        <w:rPr>
          <w:rFonts w:hint="eastAsia" w:cs="Times New Roman"/>
          <w:b w:val="0"/>
          <w:i w:val="0"/>
          <w:kern w:val="0"/>
          <w:sz w:val="24"/>
          <w:szCs w:val="22"/>
          <w:lang w:eastAsia="zh-CN"/>
        </w:rPr>
        <w:t>25%—50%</w:t>
      </w:r>
      <w:r>
        <w:rPr>
          <w:rFonts w:hint="eastAsia" w:ascii="Times New Roman" w:hAnsi="Times New Roman" w:eastAsia="宋体" w:cs="Times New Roman"/>
          <w:b w:val="0"/>
          <w:i w:val="0"/>
          <w:kern w:val="0"/>
          <w:sz w:val="24"/>
          <w:szCs w:val="22"/>
          <w:lang w:eastAsia="en-US"/>
        </w:rPr>
        <w:t>。</w:t>
      </w:r>
    </w:p>
    <w:p w14:paraId="554FB702">
      <w:pPr>
        <w:pStyle w:val="12"/>
        <w:bidi w:val="0"/>
        <w:rPr>
          <w:lang w:eastAsia="en-US"/>
        </w:rPr>
      </w:pPr>
      <w:r>
        <w:t>表 6.3 PE估值修复路径</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575"/>
        <w:gridCol w:w="1903"/>
      </w:tblGrid>
      <w:tr w14:paraId="602C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C13310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修复维度</w:t>
            </w:r>
          </w:p>
        </w:tc>
        <w:tc>
          <w:tcPr>
            <w:tcW w:w="2239" w:type="dxa"/>
          </w:tcPr>
          <w:p w14:paraId="1AB1B01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当前状态</w:t>
            </w:r>
          </w:p>
        </w:tc>
        <w:tc>
          <w:tcPr>
            <w:tcW w:w="2575" w:type="dxa"/>
          </w:tcPr>
          <w:p w14:paraId="2B8380A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目标状态</w:t>
            </w:r>
          </w:p>
        </w:tc>
        <w:tc>
          <w:tcPr>
            <w:tcW w:w="1903" w:type="dxa"/>
          </w:tcPr>
          <w:p w14:paraId="53CACD9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估值影响</w:t>
            </w:r>
          </w:p>
        </w:tc>
      </w:tr>
      <w:tr w14:paraId="0682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3DA0BD8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利润含金量</w:t>
            </w:r>
          </w:p>
        </w:tc>
        <w:tc>
          <w:tcPr>
            <w:tcW w:w="2239" w:type="dxa"/>
          </w:tcPr>
          <w:p w14:paraId="3D93C64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含亏损学科</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虚胖</w:t>
            </w:r>
            <w:r>
              <w:rPr>
                <w:rFonts w:hint="eastAsia" w:eastAsia="宋体" w:cs="Times New Roman"/>
                <w:b w:val="0"/>
                <w:i w:val="0"/>
                <w:kern w:val="0"/>
                <w:sz w:val="22"/>
                <w:szCs w:val="22"/>
                <w:lang w:eastAsia="zh-CN"/>
              </w:rPr>
              <w:t>”</w:t>
            </w:r>
          </w:p>
        </w:tc>
        <w:tc>
          <w:tcPr>
            <w:tcW w:w="2575" w:type="dxa"/>
          </w:tcPr>
          <w:p w14:paraId="6A716D0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剔除亏损、聚焦盈利</w:t>
            </w:r>
          </w:p>
        </w:tc>
        <w:tc>
          <w:tcPr>
            <w:tcW w:w="1903" w:type="dxa"/>
          </w:tcPr>
          <w:p w14:paraId="221C32A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PE +2-3倍</w:t>
            </w:r>
          </w:p>
        </w:tc>
      </w:tr>
      <w:tr w14:paraId="33374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0938DAC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盈利可预测性</w:t>
            </w:r>
          </w:p>
        </w:tc>
        <w:tc>
          <w:tcPr>
            <w:tcW w:w="2239" w:type="dxa"/>
          </w:tcPr>
          <w:p w14:paraId="3F7E081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板块边界模糊</w:t>
            </w:r>
          </w:p>
        </w:tc>
        <w:tc>
          <w:tcPr>
            <w:tcW w:w="2575" w:type="dxa"/>
          </w:tcPr>
          <w:p w14:paraId="3DDBC77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分板块清晰披露</w:t>
            </w:r>
          </w:p>
        </w:tc>
        <w:tc>
          <w:tcPr>
            <w:tcW w:w="1903" w:type="dxa"/>
          </w:tcPr>
          <w:p w14:paraId="32C3193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PE +1-2倍</w:t>
            </w:r>
          </w:p>
        </w:tc>
      </w:tr>
      <w:tr w14:paraId="60CFC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475E121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运营透明度</w:t>
            </w:r>
          </w:p>
        </w:tc>
        <w:tc>
          <w:tcPr>
            <w:tcW w:w="2239" w:type="dxa"/>
          </w:tcPr>
          <w:p w14:paraId="787CE32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仅披露合并数据</w:t>
            </w:r>
          </w:p>
        </w:tc>
        <w:tc>
          <w:tcPr>
            <w:tcW w:w="2575" w:type="dxa"/>
          </w:tcPr>
          <w:p w14:paraId="6AB69B6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增加核心运营指标</w:t>
            </w:r>
          </w:p>
        </w:tc>
        <w:tc>
          <w:tcPr>
            <w:tcW w:w="1903" w:type="dxa"/>
          </w:tcPr>
          <w:p w14:paraId="203FC6D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PE +1-2倍</w:t>
            </w:r>
          </w:p>
        </w:tc>
      </w:tr>
      <w:tr w14:paraId="36DB6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01C3F54F">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合计</w:t>
            </w:r>
          </w:p>
        </w:tc>
        <w:tc>
          <w:tcPr>
            <w:tcW w:w="2239" w:type="dxa"/>
          </w:tcPr>
          <w:p w14:paraId="6F4445C3">
            <w:pPr>
              <w:widowControl/>
              <w:spacing w:after="0" w:line="240" w:lineRule="auto"/>
              <w:ind w:firstLine="0" w:firstLineChars="0"/>
              <w:jc w:val="center"/>
              <w:textAlignment w:val="auto"/>
              <w:rPr>
                <w:rFonts w:hint="default" w:ascii="Cambria" w:hAnsi="Cambria" w:eastAsia="宋体" w:cs="Times New Roman"/>
                <w:b/>
                <w:bCs/>
                <w:kern w:val="0"/>
                <w:sz w:val="22"/>
                <w:szCs w:val="22"/>
                <w:lang w:val="en-US" w:eastAsia="zh-CN"/>
              </w:rPr>
            </w:pPr>
            <w:r>
              <w:rPr>
                <w:rFonts w:hint="eastAsia" w:cs="Times New Roman"/>
                <w:b/>
                <w:bCs/>
                <w:i w:val="0"/>
                <w:kern w:val="0"/>
                <w:sz w:val="22"/>
                <w:szCs w:val="22"/>
                <w:lang w:val="en-US" w:eastAsia="zh-CN"/>
              </w:rPr>
              <w:t>PE当前水平</w:t>
            </w:r>
          </w:p>
        </w:tc>
        <w:tc>
          <w:tcPr>
            <w:tcW w:w="2575" w:type="dxa"/>
          </w:tcPr>
          <w:p w14:paraId="58F9D8EE">
            <w:pPr>
              <w:widowControl/>
              <w:spacing w:after="0" w:line="240" w:lineRule="auto"/>
              <w:ind w:firstLine="0" w:firstLineChars="0"/>
              <w:jc w:val="center"/>
              <w:textAlignment w:val="auto"/>
              <w:rPr>
                <w:rFonts w:hint="default" w:ascii="Cambria" w:hAnsi="Cambria" w:eastAsia="宋体" w:cs="Times New Roman"/>
                <w:b/>
                <w:bCs/>
                <w:kern w:val="0"/>
                <w:sz w:val="22"/>
                <w:szCs w:val="22"/>
                <w:lang w:val="en-US" w:eastAsia="zh-CN"/>
              </w:rPr>
            </w:pPr>
            <w:r>
              <w:rPr>
                <w:rFonts w:hint="eastAsia" w:ascii="Times New Roman" w:hAnsi="Times New Roman" w:eastAsia="宋体" w:cs="Times New Roman"/>
                <w:b/>
                <w:bCs/>
                <w:i w:val="0"/>
                <w:kern w:val="0"/>
                <w:sz w:val="22"/>
                <w:szCs w:val="22"/>
                <w:lang w:eastAsia="en-US"/>
              </w:rPr>
              <w:t>PE</w:t>
            </w:r>
            <w:r>
              <w:rPr>
                <w:rFonts w:hint="eastAsia" w:cs="Times New Roman"/>
                <w:b/>
                <w:bCs/>
                <w:i w:val="0"/>
                <w:kern w:val="0"/>
                <w:sz w:val="22"/>
                <w:szCs w:val="22"/>
                <w:lang w:val="en-US" w:eastAsia="zh-CN"/>
              </w:rPr>
              <w:t>医疗行业平均水平</w:t>
            </w:r>
          </w:p>
        </w:tc>
        <w:tc>
          <w:tcPr>
            <w:tcW w:w="1903" w:type="dxa"/>
          </w:tcPr>
          <w:p w14:paraId="2C5111CA">
            <w:pPr>
              <w:widowControl/>
              <w:spacing w:after="0" w:line="240" w:lineRule="auto"/>
              <w:ind w:firstLine="0" w:firstLineChars="0"/>
              <w:jc w:val="center"/>
              <w:textAlignment w:val="auto"/>
              <w:rPr>
                <w:rFonts w:ascii="Cambria" w:hAnsi="Cambria" w:eastAsia="宋体" w:cs="Times New Roman"/>
                <w:b/>
                <w:bCs/>
                <w:kern w:val="0"/>
                <w:sz w:val="22"/>
                <w:szCs w:val="22"/>
                <w:lang w:eastAsia="en-US"/>
              </w:rPr>
            </w:pPr>
            <w:r>
              <w:rPr>
                <w:rFonts w:hint="eastAsia" w:ascii="Times New Roman" w:hAnsi="Times New Roman" w:eastAsia="宋体" w:cs="Times New Roman"/>
                <w:b/>
                <w:bCs/>
                <w:i w:val="0"/>
                <w:kern w:val="0"/>
                <w:sz w:val="22"/>
                <w:szCs w:val="22"/>
                <w:lang w:eastAsia="en-US"/>
              </w:rPr>
              <w:t>+</w:t>
            </w:r>
            <w:r>
              <w:rPr>
                <w:rFonts w:hint="eastAsia" w:cs="Times New Roman"/>
                <w:b/>
                <w:bCs/>
                <w:i w:val="0"/>
                <w:kern w:val="0"/>
                <w:sz w:val="22"/>
                <w:szCs w:val="22"/>
                <w:lang w:eastAsia="zh-CN"/>
              </w:rPr>
              <w:t>25%—50%</w:t>
            </w:r>
          </w:p>
        </w:tc>
      </w:tr>
    </w:tbl>
    <w:p w14:paraId="1183CB75">
      <w:pPr>
        <w:pStyle w:val="19"/>
        <w:bidi w:val="0"/>
        <w:rPr>
          <w:lang w:eastAsia="en-US"/>
        </w:rPr>
      </w:pPr>
      <w:r>
        <w:rPr>
          <w:rFonts w:hint="eastAsia"/>
          <w:lang w:eastAsia="en-US"/>
        </w:rPr>
        <w:t>注：上述PE估值修复测算基于可比公司分析和行业经验，实际修复效果受宏观市场环境、行业政策变化等多重因素影响。</w:t>
      </w:r>
    </w:p>
    <w:p w14:paraId="6F4EF51C">
      <w:pPr>
        <w:pStyle w:val="3"/>
        <w:bidi w:val="0"/>
        <w:rPr>
          <w:lang w:val="en-US" w:eastAsia="en-US"/>
        </w:rPr>
      </w:pPr>
      <w:bookmarkStart w:id="157" w:name="_Toc14818"/>
      <w:bookmarkStart w:id="158" w:name="_Toc5625"/>
      <w:r>
        <w:rPr>
          <w:lang w:val="en-US" w:eastAsia="en-US"/>
        </w:rPr>
        <w:t>实施路径与阶段性落地成果</w:t>
      </w:r>
      <w:bookmarkEnd w:id="157"/>
    </w:p>
    <w:bookmarkEnd w:id="158"/>
    <w:p w14:paraId="46FB3F13">
      <w:pPr>
        <w:pStyle w:val="4"/>
        <w:bidi w:val="0"/>
        <w:rPr>
          <w:lang w:val="en-US" w:eastAsia="en-US"/>
        </w:rPr>
      </w:pPr>
      <w:bookmarkStart w:id="159" w:name="_Toc20796"/>
      <w:bookmarkStart w:id="160" w:name="_Toc31034"/>
      <w:r>
        <w:rPr>
          <w:rFonts w:hint="eastAsia"/>
          <w:lang w:val="en-US" w:eastAsia="en-US"/>
        </w:rPr>
        <w:t>三阶段推进设计</w:t>
      </w:r>
      <w:bookmarkEnd w:id="159"/>
    </w:p>
    <w:p w14:paraId="3C0B3B81">
      <w:pPr>
        <w:rPr>
          <w:rFonts w:hint="eastAsia"/>
          <w:lang w:val="en-US" w:eastAsia="en-US"/>
        </w:rPr>
      </w:pPr>
      <w:r>
        <w:t>基于H1试点验证的“3-6-12”时滞规律（第五章5.5.3节），本研究设计“试点启动—全面推广—深化优化”的三阶段路径（图 6.2）。</w:t>
      </w:r>
    </w:p>
    <w:p w14:paraId="4F7BC9A1">
      <w:pPr>
        <w:pStyle w:val="12"/>
        <w:bidi w:val="0"/>
        <w:rPr>
          <w:rFonts w:hint="eastAsia"/>
          <w:lang w:val="en-US" w:eastAsia="en-US"/>
        </w:rPr>
      </w:pPr>
      <w:r>
        <w:t>图 6.2: 三阶段实施路径与关键里程碑</w:t>
      </w:r>
    </w:p>
    <w:p w14:paraId="431590A3">
      <w:pPr>
        <w:rPr>
          <w:rFonts w:hint="eastAsia"/>
          <w:lang w:val="en-US" w:eastAsia="en-US"/>
        </w:rPr>
      </w:pPr>
    </w:p>
    <w:p w14:paraId="3948667D">
      <w:pPr>
        <w:spacing w:line="240" w:lineRule="auto"/>
        <w:ind w:firstLine="0" w:firstLineChars="0"/>
        <w:rPr>
          <w:rFonts w:hint="eastAsia" w:eastAsia="宋体"/>
          <w:lang w:val="en-US" w:eastAsia="zh-CN"/>
        </w:rPr>
      </w:pPr>
    </w:p>
    <w:bookmarkEnd w:id="160"/>
    <w:p w14:paraId="5B5A386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第一阶段（2024年1月</w:t>
      </w:r>
      <w:r>
        <w:rPr>
          <w:rFonts w:hint="eastAsia" w:cs="Times New Roman"/>
          <w:b/>
          <w:bCs/>
          <w:i w:val="0"/>
          <w:kern w:val="0"/>
          <w:sz w:val="24"/>
          <w:szCs w:val="22"/>
          <w:lang w:eastAsia="zh-CN"/>
        </w:rPr>
        <w:t>—</w:t>
      </w:r>
      <w:r>
        <w:rPr>
          <w:rFonts w:hint="eastAsia" w:ascii="Times New Roman" w:hAnsi="Times New Roman" w:eastAsia="宋体" w:cs="Times New Roman"/>
          <w:b/>
          <w:bCs/>
          <w:i w:val="0"/>
          <w:kern w:val="0"/>
          <w:sz w:val="24"/>
          <w:szCs w:val="22"/>
          <w:lang w:eastAsia="en-US"/>
        </w:rPr>
        <w:t>2024年12月）</w:t>
      </w:r>
      <w:r>
        <w:rPr>
          <w:rFonts w:hint="eastAsia" w:ascii="Times New Roman" w:hAnsi="Times New Roman" w:eastAsia="宋体" w:cs="Times New Roman"/>
          <w:b w:val="0"/>
          <w:i w:val="0"/>
          <w:kern w:val="0"/>
          <w:sz w:val="24"/>
          <w:szCs w:val="22"/>
          <w:lang w:eastAsia="en-US"/>
        </w:rPr>
        <w:t>：试点启动。 选择H1作为综合试点，率先实施精细化管理改革。完成学科画像诊断，识别象限</w:t>
      </w:r>
      <w:r>
        <w:rPr>
          <w:rFonts w:hint="eastAsia" w:cs="Times New Roman"/>
          <w:b w:val="0"/>
          <w:i w:val="0"/>
          <w:kern w:val="0"/>
          <w:sz w:val="24"/>
          <w:szCs w:val="22"/>
          <w:lang w:eastAsia="zh-CN"/>
        </w:rPr>
        <w:t>Ⅳ“</w:t>
      </w:r>
      <w:r>
        <w:rPr>
          <w:rFonts w:hint="eastAsia" w:ascii="Times New Roman" w:hAnsi="Times New Roman" w:eastAsia="宋体" w:cs="Times New Roman"/>
          <w:b w:val="0"/>
          <w:i w:val="0"/>
          <w:kern w:val="0"/>
          <w:sz w:val="24"/>
          <w:szCs w:val="22"/>
          <w:lang w:eastAsia="en-US"/>
        </w:rPr>
        <w:t>出血点</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。启动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2+N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账期管理模式试点。</w:t>
      </w:r>
    </w:p>
    <w:p w14:paraId="016B2EC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第二阶段（2024年下半年-2025</w:t>
      </w:r>
      <w:r>
        <w:rPr>
          <w:rFonts w:hint="eastAsia" w:ascii="Times New Roman" w:hAnsi="Times New Roman" w:eastAsia="宋体" w:cs="Times New Roman"/>
          <w:b w:val="0"/>
          <w:bCs w:val="0"/>
          <w:i w:val="0"/>
          <w:kern w:val="0"/>
          <w:sz w:val="24"/>
          <w:szCs w:val="22"/>
          <w:lang w:eastAsia="en-US"/>
        </w:rPr>
        <w:t>年）：</w:t>
      </w:r>
      <w:r>
        <w:rPr>
          <w:rFonts w:hint="eastAsia" w:ascii="Times New Roman" w:hAnsi="Times New Roman" w:eastAsia="宋体" w:cs="Times New Roman"/>
          <w:b w:val="0"/>
          <w:i w:val="0"/>
          <w:kern w:val="0"/>
          <w:sz w:val="24"/>
          <w:szCs w:val="22"/>
          <w:lang w:eastAsia="en-US"/>
        </w:rPr>
        <w:t>经验推广。 将H1试点经验推广至集团其他院区。全面实施阶梯化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返还机制。建立特评病种申报机制。</w:t>
      </w:r>
    </w:p>
    <w:p w14:paraId="3E859271">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bCs/>
          <w:i w:val="0"/>
          <w:kern w:val="0"/>
          <w:sz w:val="24"/>
          <w:szCs w:val="22"/>
          <w:lang w:eastAsia="en-US"/>
        </w:rPr>
        <w:t>第三阶段（2025年下半年</w:t>
      </w:r>
      <w:r>
        <w:rPr>
          <w:rFonts w:hint="eastAsia" w:cs="Times New Roman"/>
          <w:b/>
          <w:bCs/>
          <w:i w:val="0"/>
          <w:kern w:val="0"/>
          <w:sz w:val="24"/>
          <w:szCs w:val="22"/>
          <w:lang w:eastAsia="zh-CN"/>
        </w:rPr>
        <w:t>－</w:t>
      </w:r>
      <w:r>
        <w:rPr>
          <w:rFonts w:hint="eastAsia" w:ascii="Times New Roman" w:hAnsi="Times New Roman" w:eastAsia="宋体" w:cs="Times New Roman"/>
          <w:b/>
          <w:bCs/>
          <w:i w:val="0"/>
          <w:kern w:val="0"/>
          <w:sz w:val="24"/>
          <w:szCs w:val="22"/>
          <w:lang w:eastAsia="en-US"/>
        </w:rPr>
        <w:t>持续）：</w:t>
      </w:r>
      <w:r>
        <w:rPr>
          <w:rFonts w:hint="eastAsia" w:ascii="Times New Roman" w:hAnsi="Times New Roman" w:eastAsia="宋体" w:cs="Times New Roman"/>
          <w:b w:val="0"/>
          <w:i w:val="0"/>
          <w:kern w:val="0"/>
          <w:sz w:val="24"/>
          <w:szCs w:val="22"/>
          <w:lang w:eastAsia="en-US"/>
        </w:rPr>
        <w:t>深化优化。 根据运行数据优化机制参数。推动数字化平台全面上线。完善信息披露机制。</w:t>
      </w:r>
    </w:p>
    <w:p w14:paraId="563D9E88">
      <w:pPr>
        <w:pStyle w:val="4"/>
        <w:bidi w:val="0"/>
        <w:rPr>
          <w:lang w:val="en-US" w:eastAsia="en-US"/>
        </w:rPr>
      </w:pPr>
      <w:bookmarkStart w:id="161" w:name="_Toc3184"/>
      <w:r>
        <w:rPr>
          <w:rFonts w:hint="eastAsia"/>
          <w:lang w:val="en-US" w:eastAsia="en-US"/>
        </w:rPr>
        <w:t>阶段性落地成果验证</w:t>
      </w:r>
      <w:bookmarkEnd w:id="161"/>
    </w:p>
    <w:p w14:paraId="629978EC">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与传统研究仅提出方案不同，本研究的优化策略已在</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部分落地实施，可通过第四章锁定版数据直接验证阶段性成果。</w:t>
      </w:r>
    </w:p>
    <w:p w14:paraId="23FBC8A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成果一：试点院区已接近盈亏平衡。 第四章数据显示，H1医院最近6个月盈余率均值为-0.1%，较干预后最低点改善超过23个百分点，较干预前均值（-8.8%）改善8.7个百分点，已基本实现盈亏平衡。这一成果直接验证了第五章策略设计的有效性。</w:t>
      </w:r>
    </w:p>
    <w:p w14:paraId="06E1DF2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成果二：管理干预效应经ITS回归统计验证。 第四章ITS分析显示，三家医院干预后均呈现V型恢复轨迹——H1最近3个月均值-0.5%，H2为-1.9%，H3为-4.2%，均较各自干预后最低点大幅改善。其中H2和H3的斜率变化（β₃）在统计上显著为正（H2: β₃=+1.03, p=0.025; H3: β₃=+0.69, p=0.032），证实管理干预产生了持续的正向改善效应</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71B7B2D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成果三：经验推广已初步见效。 第五章5.5.5节记录，截至数据截止日，H1试点经验已推广至集团</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eastAsia="en-US"/>
        </w:rPr>
        <w:t>医院。第</w:t>
      </w:r>
      <w:r>
        <w:t>一批推广医院（启动后12个月）平均改善5.1个百分点，第三批推广医院（启动后6个月）平均改善2.6个百分点，改善幅度与启动时间呈正相关。</w:t>
      </w:r>
      <w:r>
        <w:rPr>
          <w:rFonts w:hint="eastAsia" w:ascii="Times New Roman" w:hAnsi="Times New Roman" w:eastAsia="宋体" w:cs="Times New Roman"/>
          <w:b w:val="0"/>
          <w:i w:val="0"/>
          <w:kern w:val="0"/>
          <w:sz w:val="24"/>
          <w:szCs w:val="22"/>
          <w:lang w:eastAsia="en-US"/>
        </w:rPr>
        <w:t>三家样本医院加权盈余率从干预前的-9.3%改善至最近3个月的-2.0%，改善7.3个百分点。</w:t>
      </w:r>
    </w:p>
    <w:p w14:paraId="3CC561D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成果四：核心管理指标全面改善。 以H1为例（第五章表 5.4），集采执行率从28%提升至42%（+14pp），临床路径覆盖率从45%提升至75%（+30pp），DRG编码准确率从76%提升至89%（+13pp），药耗占比从38%下降至29%（-9pp）。这些运营指标的改善是盈余率改善的微观基础。</w:t>
      </w:r>
    </w:p>
    <w:p w14:paraId="0E67A088">
      <w:pPr>
        <w:pStyle w:val="12"/>
        <w:bidi w:val="0"/>
        <w:rPr>
          <w:rFonts w:hint="eastAsia"/>
          <w:lang w:eastAsia="en-US"/>
        </w:rPr>
      </w:pPr>
      <w:r>
        <w:t>表 6.4 三院阶段性落地成果汇总</w:t>
      </w:r>
    </w:p>
    <w:tbl>
      <w:tblPr>
        <w:tblStyle w:val="3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2674"/>
        <w:gridCol w:w="886"/>
        <w:gridCol w:w="1419"/>
        <w:gridCol w:w="1419"/>
        <w:gridCol w:w="1574"/>
      </w:tblGrid>
      <w:tr w14:paraId="72A23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CBECE5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指标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B5813CD">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H1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06A99D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H2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00AB1B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H3</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B52E8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数据来源</w:t>
            </w:r>
          </w:p>
        </w:tc>
      </w:tr>
      <w:tr w14:paraId="63C80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A187BC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干预前盈余率均值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B03E71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-8.8%</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CC43D6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-2.4%</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8602F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-20.4%</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0C9E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第四章ITS数据</w:t>
            </w:r>
          </w:p>
        </w:tc>
      </w:tr>
      <w:tr w14:paraId="5B530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B80996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干预后最低点</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3584D0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-24.1%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A331F41">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-46.2%</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0300B61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-30.2%</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11EED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第四章ITS数据</w:t>
            </w:r>
          </w:p>
        </w:tc>
      </w:tr>
      <w:tr w14:paraId="11335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BBCA64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最近6月均值</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626F0AF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-0.1%</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7DBE14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-0.7%</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598E531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-3.4%</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720F1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第四章ITS数据</w:t>
            </w:r>
          </w:p>
        </w:tc>
      </w:tr>
      <w:tr w14:paraId="15D2C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195720E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改善幅度（最低→近6月）</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7CFA78F">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+24.0pp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ABFEDE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+45.5pp</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41AE2F3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+26.8pp</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C5A12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计算值</w:t>
            </w:r>
          </w:p>
        </w:tc>
      </w:tr>
      <w:tr w14:paraId="6313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3C87A24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β₃（月度恢复斜率）</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44D031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+0.21(ns)</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27D1B1A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+1.03*(p=.025)</w:t>
            </w:r>
          </w:p>
        </w:tc>
        <w:tc>
          <w:tcPr>
            <w:tcW w:w="0" w:type="auto"/>
            <w:tcBorders>
              <w:top w:val="single" w:color="000000" w:sz="4" w:space="0"/>
              <w:left w:val="single" w:color="000000" w:sz="4" w:space="0"/>
              <w:bottom w:val="single" w:color="000000" w:sz="4" w:space="0"/>
              <w:right w:val="single" w:color="000000" w:sz="4" w:space="0"/>
            </w:tcBorders>
            <w:shd w:val="clear" w:color="auto" w:fill="FFFFFF"/>
            <w:vAlign w:val="center"/>
          </w:tcPr>
          <w:p w14:paraId="7E6D0A01">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+0.69*(p=.032)</w:t>
            </w:r>
          </w:p>
        </w:tc>
        <w:tc>
          <w:tcPr>
            <w:tcW w:w="15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A9530C">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val="en-US" w:eastAsia="zh-CN"/>
              </w:rPr>
              <w:t>第四章ITS回归</w:t>
            </w:r>
          </w:p>
        </w:tc>
      </w:tr>
    </w:tbl>
    <w:p w14:paraId="01F7BC23">
      <w:pPr>
        <w:pStyle w:val="19"/>
        <w:bidi w:val="0"/>
        <w:rPr>
          <w:rFonts w:hint="eastAsia"/>
          <w:lang w:eastAsia="en-US"/>
        </w:rPr>
      </w:pPr>
      <w:r>
        <w:rPr>
          <w:rFonts w:hint="eastAsia"/>
          <w:lang w:eastAsia="en-US"/>
        </w:rPr>
        <w:t>数据来源：第四章ITS数据集（2022年</w:t>
      </w:r>
      <w:r>
        <w:rPr>
          <w:rFonts w:hint="eastAsia"/>
          <w:lang w:val="en-US" w:eastAsia="zh-CN"/>
        </w:rPr>
        <w:t>1</w:t>
      </w:r>
      <w:r>
        <w:rPr>
          <w:rFonts w:hint="eastAsia"/>
          <w:lang w:eastAsia="en-US"/>
        </w:rPr>
        <w:t>月-2025年11月，n=4</w:t>
      </w:r>
      <w:r>
        <w:rPr>
          <w:rFonts w:hint="eastAsia"/>
          <w:lang w:val="en-US" w:eastAsia="zh-CN"/>
        </w:rPr>
        <w:t>7, H3 n=46</w:t>
      </w:r>
      <w:r>
        <w:rPr>
          <w:rFonts w:hint="eastAsia"/>
          <w:lang w:eastAsia="en-US"/>
        </w:rPr>
        <w:t>）</w:t>
      </w:r>
    </w:p>
    <w:p w14:paraId="046A76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上述成果表明，本研究提出的优化策略并非</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纸上谈兵</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，而是经过实际验证的管理方案。尽管各院区的改善进度因起点不同而有所差异（H1最快接近平衡、H3改善幅度最大但仍有差距），但三院均呈现明确的正向改善趋势，证实了</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组织赋能+激励重构+数字化支撑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三位一体保障体系的实效性。</w:t>
      </w:r>
    </w:p>
    <w:p w14:paraId="32027907">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7F3B30FE">
      <w:pPr>
        <w:pStyle w:val="3"/>
        <w:bidi w:val="0"/>
        <w:rPr>
          <w:lang w:val="en-US" w:eastAsia="en-US"/>
        </w:rPr>
      </w:pPr>
      <w:bookmarkStart w:id="162" w:name="_Toc5395"/>
      <w:bookmarkStart w:id="163" w:name="_Toc19004"/>
      <w:r>
        <w:rPr>
          <w:rFonts w:hint="eastAsia"/>
          <w:lang w:val="en-US" w:eastAsia="en-US"/>
        </w:rPr>
        <w:t>本章小结</w:t>
      </w:r>
      <w:bookmarkEnd w:id="162"/>
      <w:bookmarkEnd w:id="163"/>
    </w:p>
    <w:p w14:paraId="01C45B86">
      <w:pPr>
        <w:rPr>
          <w:rFonts w:hint="eastAsia" w:ascii="Times New Roman" w:hAnsi="Times New Roman" w:eastAsia="宋体" w:cs="Times New Roman"/>
          <w:b w:val="0"/>
          <w:i w:val="0"/>
          <w:kern w:val="0"/>
          <w:sz w:val="24"/>
          <w:szCs w:val="22"/>
          <w:lang w:eastAsia="en-US"/>
        </w:rPr>
      </w:pPr>
      <w:r>
        <w:rPr>
          <w:rFonts w:hint="eastAsia" w:cs="Times New Roman"/>
          <w:b w:val="0"/>
          <w:i w:val="0"/>
          <w:kern w:val="0"/>
          <w:sz w:val="24"/>
          <w:szCs w:val="22"/>
          <w:lang w:val="en-US" w:eastAsia="zh-CN"/>
        </w:rPr>
        <w:t>本</w:t>
      </w:r>
      <w:r>
        <w:rPr>
          <w:rFonts w:hint="eastAsia" w:ascii="Times New Roman" w:hAnsi="Times New Roman" w:eastAsia="宋体" w:cs="Times New Roman"/>
          <w:b w:val="0"/>
          <w:i w:val="0"/>
          <w:kern w:val="0"/>
          <w:sz w:val="24"/>
          <w:szCs w:val="22"/>
          <w:lang w:eastAsia="en-US"/>
        </w:rPr>
        <w:t>章围绕第五章优化策略的落地实施，设计了系统性管理保障措施，并以实际运行数据验证了阶段性成效。</w:t>
      </w:r>
    </w:p>
    <w:p w14:paraId="2A0918AA">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组织保障方面，推动集团总部从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管控中心</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赋能中心</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Teece, 2014, Dynamic and Ordinary Capabilities</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，H1试点中</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授权+赋能</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模式的响应速度显著优于H3的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管控+观望</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模式，赋能中心的雏形已在H1经验推广中初步验证。</w:t>
      </w:r>
    </w:p>
    <w:p w14:paraId="611096ED">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激励保障方面，设计</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RBRVS+DRG盈余留用</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复合绩效体系</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7</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，H1试点中30%成本节约返还科室的实践已验证激励逻辑的有效性——骨科获得84万元奖金增量后主动控费积极性显著提升，H1最近6个月盈余率已达-0.1%。同时建立特评病种申报机制</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Beauchamp and Childress, 2013, Principles of Biomedical Ethics</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保护医学伦理底线。</w:t>
      </w:r>
    </w:p>
    <w:p w14:paraId="73D60622">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数字化保障方面，H1投入60万元的HIS成本核算模块已验证数字化工具的高杠杆效应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Chen et al., 2012, Business Intelligence and Analytics</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。运营透明度的改善将从利润含金量、盈利可预测性和信息披露三个维度修复资本市场估值</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Healy and Palepu, 2012, Business Analysis and Valuation</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1FA4465D">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阶段性落地成果方面，三家样本医院的锁定版数据直接验证了改善效果：加权盈余率从干预前的-9.3%改善至最近3个月的-2.0%，改善7.3个百分点；H2和H3的ITS月度恢复斜率在统计上显著为正。策略已推广至</w:t>
      </w:r>
      <w:r>
        <w:rPr>
          <w:rFonts w:hint="eastAsia" w:cs="Times New Roman"/>
          <w:b w:val="0"/>
          <w:i w:val="0"/>
          <w:kern w:val="0"/>
          <w:sz w:val="24"/>
          <w:szCs w:val="22"/>
          <w:lang w:val="en-US" w:eastAsia="zh-CN"/>
        </w:rPr>
        <w:t>十余家</w:t>
      </w:r>
      <w:r>
        <w:rPr>
          <w:rFonts w:hint="eastAsia" w:ascii="Times New Roman" w:hAnsi="Times New Roman" w:eastAsia="宋体" w:cs="Times New Roman"/>
          <w:b w:val="0"/>
          <w:i w:val="0"/>
          <w:kern w:val="0"/>
          <w:sz w:val="24"/>
          <w:szCs w:val="22"/>
          <w:lang w:eastAsia="en-US"/>
        </w:rPr>
        <w:t>医院且均呈现改善趋势，证实了方案的可复制性和实效性。定性验证方面，15位科主任访谈显示复合绩效模型总体接受度均分3.80/5（正向率66.7%），盈余留用控费激励均分3.87/5（正向率73.3%），特评机制降低顾虑均分4.20/5（正向率86.7%）。定量实证与定性验证的三角互证表明，管理保障体系在理论逻辑和临床接受度上均具备落地条件。</w:t>
      </w:r>
    </w:p>
    <w:p w14:paraId="36910217">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本研究提出的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委托代理-三位一体</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管理体系，已通过</w:t>
      </w:r>
      <w:r>
        <w:rPr>
          <w:rFonts w:hint="eastAsia" w:cs="Times New Roman"/>
          <w:b w:val="0"/>
          <w:i w:val="0"/>
          <w:kern w:val="0"/>
          <w:sz w:val="24"/>
          <w:szCs w:val="22"/>
          <w:lang w:val="en-US" w:eastAsia="zh-CN"/>
        </w:rPr>
        <w:t>多家</w:t>
      </w:r>
      <w:r>
        <w:rPr>
          <w:rFonts w:hint="eastAsia" w:ascii="Times New Roman" w:hAnsi="Times New Roman" w:eastAsia="宋体" w:cs="Times New Roman"/>
          <w:b w:val="0"/>
          <w:i w:val="0"/>
          <w:kern w:val="0"/>
          <w:sz w:val="24"/>
          <w:szCs w:val="22"/>
          <w:lang w:eastAsia="en-US"/>
        </w:rPr>
        <w:t>医院试点验证，其核心机制（如CMI阶梯式激励）可快速复制至同类县域医疗集团，为医保支付改革背景下的医院高质量发展提供可操作路径。</w:t>
      </w:r>
    </w:p>
    <w:p w14:paraId="1B6D4CDC">
      <w:pPr>
        <w:rPr>
          <w:rFonts w:hAnsi="黑体"/>
          <w:b/>
          <w:sz w:val="32"/>
          <w:szCs w:val="32"/>
        </w:rPr>
      </w:pPr>
      <w:r>
        <w:rPr>
          <w:rFonts w:hint="eastAsia" w:ascii="Times New Roman" w:hAnsi="Times New Roman" w:eastAsia="宋体" w:cs="Times New Roman"/>
          <w:b w:val="0"/>
          <w:i w:val="0"/>
          <w:kern w:val="0"/>
          <w:sz w:val="24"/>
          <w:szCs w:val="22"/>
          <w:lang w:eastAsia="en-US"/>
        </w:rPr>
        <w:t>本章与第五章共同构成</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医疗收入质量优化的完整方案体系——第五章解决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做什么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，本章解决</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怎么做</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并以实际数据回答</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做到了什么</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。第七章将对全文进行总结并讨论研究局限与展望。</w:t>
      </w:r>
    </w:p>
    <w:p w14:paraId="0E5383FA">
      <w:pPr>
        <w:rPr>
          <w:rFonts w:hAnsi="黑体"/>
          <w:b/>
          <w:sz w:val="32"/>
          <w:szCs w:val="32"/>
        </w:rPr>
      </w:pPr>
    </w:p>
    <w:p w14:paraId="1EF96C74">
      <w:pPr>
        <w:rPr>
          <w:rFonts w:hAnsi="黑体"/>
          <w:b/>
          <w:sz w:val="32"/>
          <w:szCs w:val="32"/>
        </w:rPr>
      </w:pPr>
      <w:r>
        <w:rPr>
          <w:rFonts w:hAnsi="黑体"/>
          <w:b/>
          <w:sz w:val="32"/>
          <w:szCs w:val="32"/>
        </w:rPr>
        <w:br w:type="page"/>
      </w:r>
    </w:p>
    <w:p w14:paraId="045FEC37">
      <w:pPr>
        <w:pStyle w:val="2"/>
        <w:bidi w:val="0"/>
        <w:rPr>
          <w:lang w:val="en-US" w:eastAsia="en-US"/>
        </w:rPr>
      </w:pPr>
      <w:bookmarkStart w:id="164" w:name="_Toc13017"/>
      <w:bookmarkStart w:id="165" w:name="_Toc10515"/>
      <w:r>
        <w:rPr>
          <w:rFonts w:hint="eastAsia"/>
          <w:lang w:val="en-US" w:eastAsia="en-US"/>
        </w:rPr>
        <w:t>结论与展望</w:t>
      </w:r>
      <w:bookmarkEnd w:id="164"/>
      <w:bookmarkEnd w:id="165"/>
    </w:p>
    <w:p w14:paraId="47309090">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本研究以A医疗集团为案例，运用间断时间序列分析（ITS）、CMI二次回归、灰色关联度分析（GRA）和滚动窗口分析等计量方法，系统研究了DRG/DIP医保支付方式改革背景下非公医疗集团医疗收入质量的影响因素与优化路径。通过对三家代表性医院的深度剖析，并在H1试点中实现了策略落地验证，形成了“问题识别→实证分析→策略设计→落地验证”的完整研究闭环（图 7.1）。</w:t>
      </w:r>
    </w:p>
    <w:p w14:paraId="6B1D88AD">
      <w:pPr>
        <w:pStyle w:val="12"/>
        <w:bidi w:val="0"/>
        <w:rPr>
          <w:rFonts w:hint="eastAsia"/>
          <w:lang w:val="en-US" w:eastAsia="zh-CN"/>
        </w:rPr>
      </w:pPr>
      <w:r>
        <w:t>图 7.1: 全文研究逻辑闭环：从问题识别到落地验证</w:t>
      </w:r>
    </w:p>
    <w:p w14:paraId="7595B4C3">
      <w:pPr>
        <w:pStyle w:val="3"/>
        <w:bidi w:val="0"/>
        <w:rPr>
          <w:lang w:val="en-US" w:eastAsia="en-US"/>
        </w:rPr>
      </w:pPr>
      <w:bookmarkStart w:id="166" w:name="_Toc20619"/>
      <w:r>
        <w:rPr>
          <w:rFonts w:hint="eastAsia" w:eastAsia="黑体"/>
          <w:lang w:val="en-US" w:eastAsia="zh-CN"/>
        </w:rPr>
        <w:drawing>
          <wp:anchor distT="0" distB="0" distL="114300" distR="114300" simplePos="0" relativeHeight="251659264" behindDoc="1" locked="0" layoutInCell="1" allowOverlap="1">
            <wp:simplePos x="0" y="0"/>
            <wp:positionH relativeFrom="column">
              <wp:posOffset>-622935</wp:posOffset>
            </wp:positionH>
            <wp:positionV relativeFrom="paragraph">
              <wp:posOffset>12065</wp:posOffset>
            </wp:positionV>
            <wp:extent cx="7084060" cy="4407535"/>
            <wp:effectExtent l="0" t="0" r="2540" b="12065"/>
            <wp:wrapTight wrapText="bothSides">
              <wp:wrapPolygon>
                <wp:start x="0" y="0"/>
                <wp:lineTo x="0" y="21472"/>
                <wp:lineTo x="21550" y="21472"/>
                <wp:lineTo x="21550" y="0"/>
                <wp:lineTo x="0" y="0"/>
              </wp:wrapPolygon>
            </wp:wrapTight>
            <wp:docPr id="17" name="图片 17" descr="fig7_1_research_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7_1_research_logic"/>
                    <pic:cNvPicPr>
                      <a:picLocks noChangeAspect="1"/>
                    </pic:cNvPicPr>
                  </pic:nvPicPr>
                  <pic:blipFill>
                    <a:blip r:embed="rId31"/>
                    <a:stretch>
                      <a:fillRect/>
                    </a:stretch>
                  </pic:blipFill>
                  <pic:spPr>
                    <a:xfrm>
                      <a:off x="0" y="0"/>
                      <a:ext cx="7084060" cy="4407535"/>
                    </a:xfrm>
                    <a:prstGeom prst="rect">
                      <a:avLst/>
                    </a:prstGeom>
                  </pic:spPr>
                </pic:pic>
              </a:graphicData>
            </a:graphic>
          </wp:anchor>
        </w:drawing>
      </w:r>
      <w:r>
        <w:rPr>
          <w:rFonts w:hint="eastAsia"/>
          <w:lang w:val="en-US" w:eastAsia="en-US"/>
        </w:rPr>
        <w:t>研究结论</w:t>
      </w:r>
      <w:bookmarkEnd w:id="166"/>
    </w:p>
    <w:p w14:paraId="77F50806">
      <w:pPr>
        <w:pStyle w:val="4"/>
        <w:bidi w:val="0"/>
        <w:rPr>
          <w:lang w:val="en-US" w:eastAsia="en-US"/>
        </w:rPr>
      </w:pPr>
      <w:bookmarkStart w:id="167" w:name="_Toc10264"/>
      <w:r>
        <w:rPr>
          <w:rFonts w:hint="eastAsia"/>
          <w:lang w:val="en-US" w:eastAsia="en-US"/>
        </w:rPr>
        <w:t>核心发现一：CMI阈值效应与U型曲线</w:t>
      </w:r>
      <w:bookmarkEnd w:id="167"/>
    </w:p>
    <w:p w14:paraId="2E7D72A3">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实证发现，在DRG/DIP支付环境下，CMI（病例组合指数）与医保盈余率之间呈现U型关系而非传统认知中的线性正相关。第四章CMI二次回归识别出阈值CMI*=1.27（二次项系数γ₂=+361.81），当CMI处于该阈值附近时盈余率降至最低点，CMI偏离阈值越远（无论高于或低于）盈余率越高</w:t>
      </w:r>
      <w:r>
        <w:rPr>
          <w:rStyle w:val="51"/>
          <w:rFonts w:hint="default"/>
        </w:rPr>
        <w:t>[1</w:t>
      </w:r>
      <w:r>
        <w:rPr>
          <w:rStyle w:val="51"/>
          <w:rFonts w:hint="eastAsia"/>
          <w:lang w:val="en-US" w:eastAsia="zh-CN"/>
        </w:rPr>
        <w:t>1</w:t>
      </w:r>
      <w:r>
        <w:rPr>
          <w:rStyle w:val="51"/>
          <w:rFonts w:hint="default"/>
        </w:rPr>
        <w:t>]</w:t>
      </w:r>
      <w:r>
        <w:rPr>
          <w:rFonts w:hint="eastAsia" w:ascii="Times New Roman" w:hAnsi="Times New Roman" w:eastAsia="宋体" w:cs="Times New Roman"/>
          <w:b w:val="0"/>
          <w:i w:val="0"/>
          <w:kern w:val="0"/>
          <w:sz w:val="24"/>
          <w:szCs w:val="22"/>
          <w:lang w:eastAsia="en-US"/>
        </w:rPr>
        <w:t>。</w:t>
      </w:r>
    </w:p>
    <w:p w14:paraId="4A41382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这一发现的管理含义是：技术难度居中（CMI≈1.27）的科室是</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最危险</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的——DRG/DIP分值补偿恰好不足以覆盖成本跃升，形成</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CMI陷阱</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。H3医院整体CMI高于H1但盈余率显著更差，正是陷入此区间的典型案例。第五章据此提出的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四象限学科画像模型</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以CMI*=1.27为纵轴分界线，为学科资源配置提供了实证依据</w:t>
      </w:r>
      <w:r>
        <w:rPr>
          <w:rStyle w:val="51"/>
          <w:rFonts w:hint="eastAsia"/>
        </w:rPr>
        <w:t>[1</w:t>
      </w:r>
      <w:r>
        <w:rPr>
          <w:rStyle w:val="51"/>
          <w:rFonts w:hint="eastAsia"/>
          <w:lang w:val="en-US" w:eastAsia="zh-CN"/>
        </w:rPr>
        <w:t>2</w:t>
      </w:r>
      <w:r>
        <w:rPr>
          <w:rStyle w:val="51"/>
          <w:rFonts w:hint="eastAsia"/>
        </w:rPr>
        <w:t>]</w:t>
      </w:r>
      <w:r>
        <w:rPr>
          <w:rFonts w:hint="eastAsia" w:ascii="Times New Roman" w:hAnsi="Times New Roman" w:eastAsia="宋体" w:cs="Times New Roman"/>
          <w:b w:val="0"/>
          <w:i w:val="0"/>
          <w:kern w:val="0"/>
          <w:sz w:val="24"/>
          <w:szCs w:val="22"/>
          <w:lang w:eastAsia="en-US"/>
        </w:rPr>
        <w:t>。</w:t>
      </w:r>
    </w:p>
    <w:p w14:paraId="06C7E378">
      <w:pPr>
        <w:pStyle w:val="4"/>
        <w:bidi w:val="0"/>
        <w:rPr>
          <w:lang w:val="en-US" w:eastAsia="en-US"/>
        </w:rPr>
      </w:pPr>
      <w:bookmarkStart w:id="168" w:name="_Toc10685"/>
      <w:bookmarkStart w:id="169" w:name="_Toc1130"/>
      <w:r>
        <w:rPr>
          <w:rFonts w:hint="eastAsia"/>
          <w:lang w:val="en-US" w:eastAsia="en-US"/>
        </w:rPr>
        <w:t>核心发现二：供应链</w:t>
      </w:r>
      <w:r>
        <w:rPr>
          <w:rFonts w:hint="eastAsia"/>
          <w:lang w:val="en-US" w:eastAsia="zh-CN"/>
        </w:rPr>
        <w:t>“</w:t>
      </w:r>
      <w:r>
        <w:rPr>
          <w:rFonts w:hint="eastAsia"/>
          <w:lang w:val="en-US" w:eastAsia="en-US"/>
        </w:rPr>
        <w:t>蓄水池</w:t>
      </w:r>
      <w:r>
        <w:rPr>
          <w:rFonts w:hint="eastAsia"/>
          <w:lang w:val="en-US" w:eastAsia="zh-CN"/>
        </w:rPr>
        <w:t>”</w:t>
      </w:r>
      <w:r>
        <w:rPr>
          <w:rFonts w:hint="eastAsia"/>
          <w:lang w:val="en-US" w:eastAsia="en-US"/>
        </w:rPr>
        <w:t>效应的双刃性</w:t>
      </w:r>
      <w:bookmarkEnd w:id="168"/>
      <w:bookmarkEnd w:id="169"/>
    </w:p>
    <w:p w14:paraId="338BAE6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本研究深入剖析了</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供应链协同的</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双刃剑</w:t>
      </w:r>
      <w:r>
        <w:rPr>
          <w:rFonts w:hint="eastAsia" w:eastAsia="宋体"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效应</w:t>
      </w:r>
      <w:r>
        <w:rPr>
          <w:rFonts w:hint="eastAsia" w:ascii="Times New Roman" w:hAnsi="Times New Roman" w:eastAsia="宋体" w:cs="Times New Roman"/>
          <w:b w:val="0"/>
          <w:i w:val="0"/>
          <w:kern w:val="0"/>
          <w:sz w:val="24"/>
          <w:szCs w:val="22"/>
          <w:lang w:eastAsia="en-US"/>
        </w:rPr>
        <w:t>：</w:t>
      </w:r>
    </w:p>
    <w:p w14:paraId="0460C5A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正面效应（集团视角）</w:t>
      </w:r>
      <w:r>
        <w:rPr>
          <w:rFonts w:hint="eastAsia" w:ascii="Times New Roman" w:hAnsi="Times New Roman" w:eastAsia="宋体" w:cs="Times New Roman"/>
          <w:b w:val="0"/>
          <w:i w:val="0"/>
          <w:kern w:val="0"/>
          <w:sz w:val="24"/>
          <w:szCs w:val="22"/>
          <w:lang w:eastAsia="en-US"/>
        </w:rPr>
        <w:t>：供应链平台通过</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收缴、账期延长带来的资金收益等方式，为集团提供了稳定的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利润蓄水池</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，在医保政策冲击下发挥了重要的缓冲作用。灰色关联度分析表明，</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收缴额与集团净利润的</w:t>
      </w:r>
      <w:r>
        <w:rPr>
          <w:rFonts w:hint="eastAsia" w:cs="Times New Roman"/>
          <w:b w:val="0"/>
          <w:i w:val="0"/>
          <w:kern w:val="0"/>
          <w:sz w:val="24"/>
          <w:szCs w:val="22"/>
          <w:lang w:eastAsia="zh-CN"/>
        </w:rPr>
        <w:t>中等偏强关联度（γ=0.692）</w:t>
      </w:r>
      <w:r>
        <w:rPr>
          <w:rFonts w:hint="eastAsia" w:ascii="Times New Roman" w:hAnsi="Times New Roman" w:eastAsia="宋体" w:cs="Times New Roman"/>
          <w:b w:val="0"/>
          <w:i w:val="0"/>
          <w:kern w:val="0"/>
          <w:sz w:val="24"/>
          <w:szCs w:val="22"/>
          <w:lang w:eastAsia="en-US"/>
        </w:rPr>
        <w:t>，是集团财务稳定的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压舱石</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3DF46A57">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负面效应（院区视角）</w:t>
      </w:r>
      <w:r>
        <w:rPr>
          <w:rFonts w:hint="eastAsia" w:ascii="Times New Roman" w:hAnsi="Times New Roman" w:eastAsia="宋体" w:cs="Times New Roman"/>
          <w:b w:val="0"/>
          <w:i w:val="0"/>
          <w:kern w:val="0"/>
          <w:sz w:val="24"/>
          <w:szCs w:val="22"/>
          <w:lang w:eastAsia="en-US"/>
        </w:rPr>
        <w:t>：供应链协同的收益本质上来源于对院区利润的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再分配</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侵蚀院区采购成本，账期延长转嫁资金压力。测算显示，供应链协同的净效应在院区层</w:t>
      </w:r>
      <w:r>
        <w:rPr>
          <w:rFonts w:hint="eastAsia" w:ascii="Times New Roman" w:hAnsi="Times New Roman" w:eastAsia="宋体" w:cs="Times New Roman"/>
          <w:b w:val="0"/>
          <w:bCs w:val="0"/>
          <w:i w:val="0"/>
          <w:kern w:val="0"/>
          <w:sz w:val="24"/>
          <w:szCs w:val="22"/>
          <w:lang w:eastAsia="en-US"/>
        </w:rPr>
        <w:t>面趋近于零甚至为负。</w:t>
      </w:r>
    </w:p>
    <w:p w14:paraId="4B0AEFB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核心洞察</w:t>
      </w:r>
      <w:r>
        <w:rPr>
          <w:rFonts w:hint="eastAsia" w:ascii="Times New Roman" w:hAnsi="Times New Roman" w:eastAsia="宋体" w:cs="Times New Roman"/>
          <w:b w:val="0"/>
          <w:i w:val="0"/>
          <w:kern w:val="0"/>
          <w:sz w:val="24"/>
          <w:szCs w:val="22"/>
          <w:lang w:eastAsia="en-US"/>
        </w:rPr>
        <w:t>：供应链</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蓄水池</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不是价值创造，而是利益再分配；不是做大蛋糕，而是切分蛋糕</w:t>
      </w:r>
      <w:r>
        <w:rPr>
          <w:rFonts w:hint="eastAsia" w:cs="Times New Roman"/>
          <w:b/>
          <w:i w:val="0"/>
          <w:kern w:val="0"/>
          <w:sz w:val="24"/>
          <w:szCs w:val="22"/>
          <w:lang w:eastAsia="zh-CN"/>
        </w:rPr>
        <w:t>（</w:t>
      </w:r>
      <w:r>
        <w:rPr>
          <w:rFonts w:hint="eastAsia" w:ascii="Times New Roman" w:hAnsi="Times New Roman" w:eastAsia="宋体" w:cs="Times New Roman"/>
          <w:b/>
          <w:i w:val="0"/>
          <w:kern w:val="0"/>
          <w:sz w:val="24"/>
          <w:szCs w:val="22"/>
          <w:lang w:eastAsia="en-US"/>
        </w:rPr>
        <w:t>Petersen and Rajan, 2011, Trade Credit and the Supply Chain</w:t>
      </w:r>
      <w:r>
        <w:rPr>
          <w:rFonts w:hint="eastAsia"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。过度依赖供应链利润，可能掩盖医疗板块效率改善的紧迫性，延缓院区改革动力。</w:t>
      </w:r>
    </w:p>
    <w:p w14:paraId="4D11AD31">
      <w:pPr>
        <w:pStyle w:val="4"/>
        <w:bidi w:val="0"/>
        <w:rPr>
          <w:lang w:val="en-US" w:eastAsia="en-US"/>
        </w:rPr>
      </w:pPr>
      <w:bookmarkStart w:id="170" w:name="_Toc32329"/>
      <w:r>
        <w:rPr>
          <w:rFonts w:hint="eastAsia"/>
          <w:lang w:val="en-US" w:eastAsia="en-US"/>
        </w:rPr>
        <w:t xml:space="preserve"> </w:t>
      </w:r>
      <w:bookmarkStart w:id="171" w:name="_Toc30045"/>
      <w:r>
        <w:rPr>
          <w:rFonts w:hint="eastAsia"/>
          <w:lang w:val="en-US" w:eastAsia="en-US"/>
        </w:rPr>
        <w:t>核心发现三：管理能力决定改革命运</w:t>
      </w:r>
      <w:bookmarkEnd w:id="170"/>
      <w:bookmarkEnd w:id="171"/>
    </w:p>
    <w:p w14:paraId="5AF98EA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本研究通过H1与H3的对比分析，揭示了管理执行力（而非技术难度）是决定医院在DRG/DIP改革中命运的关键变量</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Teece, 2014, The Foundations of Enterprise Performance</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01042EE8">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第四章ITS回归显示，三家医院在干预后均经历显著的即时冲击（H1: β₂=−11.50, p=0.001; H2: β₂=−18.36, p=0.003; H3: β₂=−8.29, p=0.050），但恢复轨迹截然不同：H1在约2个月内完成恢复（滚动窗口W26转正），H3需约5个月（W29），H2需约6个月（W30）。恢复速度的差异直接对应管理响应速度——H1院长在2024年1月即成立精细化管理工作组，而H3观望6个月后才被动启动。</w:t>
      </w:r>
    </w:p>
    <w:p w14:paraId="7FA608A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ascii="Times New Roman" w:hAnsi="Times New Roman"/>
          <w:sz w:val="24"/>
        </w:rPr>
        <w:t>落地验证：截至数据截止日（2025年11月），H1盈余率最近6个月均值已达−0.1%，接近盈亏平衡，较干预前均值（−8.8%）改善8.7个百分点。H1的成功经验已推广至集团十余家医院，平均改善4.2个百分点（第五章5.5.5节）。三家样本医院加权盈余率从干预前的−9.3%改善至最近6个月的−1.2%，改善8.2个百分点。图 7.2直观呈现了三院的多维改善成果。</w:t>
      </w:r>
    </w:p>
    <w:p w14:paraId="4C4B6C6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p>
    <w:p w14:paraId="6E9A7762">
      <w:pPr>
        <w:pStyle w:val="12"/>
        <w:bidi w:val="0"/>
        <w:rPr>
          <w:rFonts w:hint="eastAsia"/>
          <w:lang w:eastAsia="en-US"/>
        </w:rPr>
      </w:pPr>
      <w:r>
        <w:rPr>
          <w:rFonts w:ascii="Times New Roman" w:hAnsi="Times New Roman"/>
          <w:sz w:val="24"/>
        </w:rPr>
        <w:t>图 7.2: 三院管理改善成果雷达图</w:t>
      </w:r>
    </w:p>
    <w:p w14:paraId="18C050D2">
      <w:pPr>
        <w:widowControl/>
        <w:spacing w:before="0" w:after="0" w:line="240" w:lineRule="auto"/>
        <w:ind w:firstLine="0" w:firstLineChars="0"/>
        <w:jc w:val="both"/>
        <w:textAlignment w:val="auto"/>
        <w:rPr>
          <w:rFonts w:hint="eastAsia" w:ascii="Times New Roman" w:hAnsi="Times New Roman" w:eastAsia="宋体" w:cs="Times New Roman"/>
          <w:b w:val="0"/>
          <w:i w:val="0"/>
          <w:kern w:val="0"/>
          <w:sz w:val="24"/>
          <w:szCs w:val="22"/>
          <w:lang w:eastAsia="zh-CN"/>
        </w:rPr>
      </w:pPr>
    </w:p>
    <w:p w14:paraId="5D6DCE0B">
      <w:pPr>
        <w:pStyle w:val="3"/>
        <w:bidi w:val="0"/>
        <w:ind w:left="575" w:hanging="575"/>
        <w:rPr>
          <w:rFonts w:hint="eastAsia" w:cs="Times New Roman"/>
          <w:b/>
          <w:bCs/>
          <w:lang w:val="en-US" w:eastAsia="en-US"/>
        </w:rPr>
      </w:pPr>
      <w:bookmarkStart w:id="172" w:name="_Toc17833"/>
      <w:bookmarkStart w:id="173" w:name="_Toc9350"/>
      <w:r>
        <w:rPr>
          <w:rFonts w:hint="eastAsia" w:cs="Times New Roman"/>
          <w:b/>
          <w:bCs/>
          <w:lang w:val="en-US" w:eastAsia="en-US"/>
        </w:rPr>
        <w:t>管理启示</w:t>
      </w:r>
      <w:bookmarkEnd w:id="172"/>
      <w:bookmarkEnd w:id="173"/>
    </w:p>
    <w:p w14:paraId="40FB8C74">
      <w:pPr>
        <w:pStyle w:val="4"/>
        <w:bidi w:val="0"/>
        <w:rPr>
          <w:lang w:val="en-US" w:eastAsia="en-US"/>
        </w:rPr>
      </w:pPr>
      <w:bookmarkStart w:id="174" w:name="_Toc27264"/>
      <w:bookmarkStart w:id="175" w:name="_Toc5600"/>
      <w:r>
        <w:rPr>
          <w:rFonts w:hint="eastAsia"/>
          <w:lang w:val="en-US" w:eastAsia="en-US"/>
        </w:rPr>
        <w:t>从</w:t>
      </w:r>
      <w:r>
        <w:rPr>
          <w:rFonts w:hint="eastAsia"/>
          <w:lang w:val="en-US" w:eastAsia="zh-CN"/>
        </w:rPr>
        <w:t>“</w:t>
      </w:r>
      <w:r>
        <w:rPr>
          <w:rFonts w:hint="eastAsia"/>
          <w:lang w:val="en-US" w:eastAsia="en-US"/>
        </w:rPr>
        <w:t>规模扩张</w:t>
      </w:r>
      <w:r>
        <w:rPr>
          <w:rFonts w:hint="eastAsia"/>
          <w:lang w:val="en-US" w:eastAsia="zh-CN"/>
        </w:rPr>
        <w:t>”</w:t>
      </w:r>
      <w:r>
        <w:rPr>
          <w:rFonts w:hint="eastAsia"/>
          <w:lang w:val="en-US" w:eastAsia="en-US"/>
        </w:rPr>
        <w:t>到</w:t>
      </w:r>
      <w:r>
        <w:rPr>
          <w:rFonts w:hint="eastAsia"/>
          <w:lang w:val="en-US" w:eastAsia="zh-CN"/>
        </w:rPr>
        <w:t>“</w:t>
      </w:r>
      <w:r>
        <w:rPr>
          <w:rFonts w:hint="eastAsia"/>
          <w:lang w:val="en-US" w:eastAsia="en-US"/>
        </w:rPr>
        <w:t>价值运营</w:t>
      </w:r>
      <w:r>
        <w:rPr>
          <w:rFonts w:hint="eastAsia"/>
          <w:lang w:val="en-US" w:eastAsia="zh-CN"/>
        </w:rPr>
        <w:t>”</w:t>
      </w:r>
      <w:r>
        <w:rPr>
          <w:rFonts w:hint="eastAsia"/>
          <w:lang w:val="en-US" w:eastAsia="en-US"/>
        </w:rPr>
        <w:t>的范式转换</w:t>
      </w:r>
      <w:bookmarkEnd w:id="174"/>
      <w:bookmarkEnd w:id="175"/>
    </w:p>
    <w:p w14:paraId="5CB855D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本研究对非公医疗集团的战略转型具有重要启示意义。在FFS（按项目付费）时代，</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规模扩张</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是医疗集团增长的核心驱动力——更多的床位、更高的门诊量、更复杂的手术意味着更高的收入。然而，DRG/DIP改革从根本上改变了这一逻辑：</w:t>
      </w:r>
      <w:r>
        <w:rPr>
          <w:rFonts w:hint="eastAsia" w:ascii="Times New Roman" w:hAnsi="Times New Roman" w:eastAsia="宋体" w:cs="Times New Roman"/>
          <w:b/>
          <w:i w:val="0"/>
          <w:kern w:val="0"/>
          <w:sz w:val="24"/>
          <w:szCs w:val="22"/>
          <w:lang w:eastAsia="en-US"/>
        </w:rPr>
        <w:t>规模扩张若不伴随成本控制，只会放大亏损</w:t>
      </w:r>
      <w:r>
        <w:rPr>
          <w:rStyle w:val="80"/>
          <w:rFonts w:hint="default" w:ascii="Times New Roman" w:hAnsi="Times New Roman" w:eastAsia="宋体" w:cs="Times New Roman"/>
          <w:sz w:val="24"/>
          <w:szCs w:val="24"/>
          <w:vertAlign w:val="superscript"/>
        </w:rPr>
        <w:t>[1</w:t>
      </w:r>
      <w:r>
        <w:rPr>
          <w:rStyle w:val="80"/>
          <w:rFonts w:hint="eastAsia" w:cs="Times New Roman"/>
          <w:sz w:val="24"/>
          <w:szCs w:val="24"/>
          <w:vertAlign w:val="superscript"/>
          <w:lang w:val="en-US" w:eastAsia="zh-CN"/>
        </w:rPr>
        <w:t>3</w:t>
      </w:r>
      <w:r>
        <w:rPr>
          <w:rStyle w:val="80"/>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w:t>
      </w:r>
    </w:p>
    <w:p w14:paraId="2DE8A860">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非公医疗集团必须完成从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规模导向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到</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价值导向</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的范式转换：</w:t>
      </w:r>
    </w:p>
    <w:p w14:paraId="2E6CA1B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第一，学科建设逻辑重构</w:t>
      </w:r>
      <w:r>
        <w:rPr>
          <w:rFonts w:hint="eastAsia" w:ascii="Times New Roman" w:hAnsi="Times New Roman" w:eastAsia="宋体" w:cs="Times New Roman"/>
          <w:b w:val="0"/>
          <w:i w:val="0"/>
          <w:kern w:val="0"/>
          <w:sz w:val="24"/>
          <w:szCs w:val="22"/>
          <w:lang w:eastAsia="en-US"/>
        </w:rPr>
        <w:t>。从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CMI至上</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边际贡献优先</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，建立四象限学科画像模型，让资源流向真正能创造价值的学科，而非盲目追求技术难度。</w:t>
      </w:r>
    </w:p>
    <w:p w14:paraId="7C21B2DF">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第二，供应链定位重塑</w:t>
      </w:r>
      <w:r>
        <w:rPr>
          <w:rFonts w:hint="eastAsia" w:ascii="Times New Roman" w:hAnsi="Times New Roman" w:eastAsia="宋体" w:cs="Times New Roman"/>
          <w:b w:val="0"/>
          <w:i w:val="0"/>
          <w:kern w:val="0"/>
          <w:sz w:val="24"/>
          <w:szCs w:val="22"/>
          <w:lang w:eastAsia="en-US"/>
        </w:rPr>
        <w:t>。从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利润抽取</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价值共享</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，通过阶梯化</w:t>
      </w:r>
      <w:r>
        <w:rPr>
          <w:rFonts w:hint="eastAsia" w:cs="Times New Roman"/>
          <w:b w:val="0"/>
          <w:i w:val="0"/>
          <w:kern w:val="0"/>
          <w:sz w:val="24"/>
          <w:szCs w:val="22"/>
          <w:lang w:eastAsia="zh-CN"/>
        </w:rPr>
        <w:t>集中管理协同收益</w:t>
      </w:r>
      <w:r>
        <w:rPr>
          <w:rFonts w:hint="eastAsia" w:ascii="Times New Roman" w:hAnsi="Times New Roman" w:eastAsia="宋体" w:cs="Times New Roman"/>
          <w:b w:val="0"/>
          <w:i w:val="0"/>
          <w:kern w:val="0"/>
          <w:sz w:val="24"/>
          <w:szCs w:val="22"/>
          <w:lang w:eastAsia="en-US"/>
        </w:rPr>
        <w:t>返还等机制，实现集团与院区的激励相容，释放院区控费的内生动力。</w:t>
      </w:r>
    </w:p>
    <w:p w14:paraId="094611C3">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第三，绩效体系革新</w:t>
      </w:r>
      <w:r>
        <w:rPr>
          <w:rFonts w:hint="eastAsia" w:ascii="Times New Roman" w:hAnsi="Times New Roman" w:eastAsia="宋体" w:cs="Times New Roman"/>
          <w:b w:val="0"/>
          <w:i w:val="0"/>
          <w:kern w:val="0"/>
          <w:sz w:val="24"/>
          <w:szCs w:val="22"/>
          <w:lang w:eastAsia="en-US"/>
        </w:rPr>
        <w:t>。从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收入提成</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盈余留用</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，建立RBRVS+DRG复合绩效体系，使医生的个人利益与医保控费目标相一致。</w:t>
      </w:r>
    </w:p>
    <w:p w14:paraId="4954F2B9">
      <w:pPr>
        <w:pStyle w:val="4"/>
        <w:bidi w:val="0"/>
        <w:ind w:left="720" w:hanging="720"/>
        <w:rPr>
          <w:rFonts w:hint="eastAsia" w:cs="Times New Roman"/>
          <w:b/>
          <w:bCs/>
          <w:lang w:val="en-US" w:eastAsia="en-US"/>
        </w:rPr>
      </w:pPr>
      <w:bookmarkStart w:id="176" w:name="_Toc32070"/>
      <w:bookmarkStart w:id="177" w:name="_Toc26240"/>
      <w:r>
        <w:rPr>
          <w:rFonts w:hint="eastAsia" w:cs="Times New Roman"/>
          <w:b/>
          <w:bCs/>
          <w:lang w:val="en-US" w:eastAsia="en-US"/>
        </w:rPr>
        <w:t>公司治理视角的估值修复</w:t>
      </w:r>
      <w:bookmarkEnd w:id="176"/>
      <w:bookmarkEnd w:id="177"/>
    </w:p>
    <w:p w14:paraId="1FA11D8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对于</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等非公医疗企业而言，本研究揭示了</w:t>
      </w:r>
      <w:r>
        <w:rPr>
          <w:rFonts w:hint="eastAsia" w:eastAsia="宋体" w:cs="Times New Roman"/>
          <w:b w:val="0"/>
          <w:i w:val="0"/>
          <w:kern w:val="0"/>
          <w:sz w:val="24"/>
          <w:szCs w:val="22"/>
          <w:lang w:eastAsia="zh-CN"/>
        </w:rPr>
        <w:t>“</w:t>
      </w:r>
      <w:r>
        <w:rPr>
          <w:rFonts w:hint="eastAsia" w:ascii="Times New Roman" w:hAnsi="Times New Roman" w:eastAsia="宋体" w:cs="Times New Roman"/>
          <w:b/>
          <w:i w:val="0"/>
          <w:kern w:val="0"/>
          <w:sz w:val="24"/>
          <w:szCs w:val="22"/>
          <w:lang w:eastAsia="en-US"/>
        </w:rPr>
        <w:t>透明度溢价</w:t>
      </w:r>
      <w:r>
        <w:rPr>
          <w:rFonts w:hint="eastAsia" w:eastAsia="宋体" w:cs="Times New Roman"/>
          <w:b/>
          <w:i w:val="0"/>
          <w:kern w:val="0"/>
          <w:sz w:val="24"/>
          <w:szCs w:val="22"/>
          <w:lang w:eastAsia="zh-CN"/>
        </w:rPr>
        <w:t>”</w:t>
      </w:r>
      <w:r>
        <w:rPr>
          <w:rFonts w:hint="eastAsia" w:ascii="Times New Roman" w:hAnsi="Times New Roman" w:eastAsia="宋体" w:cs="Times New Roman"/>
          <w:b w:val="0"/>
          <w:i w:val="0"/>
          <w:kern w:val="0"/>
          <w:sz w:val="24"/>
          <w:szCs w:val="22"/>
          <w:lang w:eastAsia="en-US"/>
        </w:rPr>
        <w:t>的重要性：</w:t>
      </w:r>
    </w:p>
    <w:p w14:paraId="6F569DE8">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当前资本市场对非公医疗板块的估值折价，很大程度上源于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利润质量存疑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——投资者无法清晰区分医疗板块与医药板块的盈利能力，无法评估医保政策冲击的真实影响，无法判断供应链利润的可持续性。</w:t>
      </w:r>
    </w:p>
    <w:p w14:paraId="7C769AB5">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本研究建议的策略体系，将从三个维度修复PE估值：</w:t>
      </w:r>
      <w:r>
        <w:rPr>
          <w:rFonts w:hint="eastAsia" w:ascii="Times New Roman" w:hAnsi="Times New Roman" w:eastAsia="宋体" w:cs="Times New Roman"/>
          <w:b/>
          <w:i w:val="0"/>
          <w:kern w:val="0"/>
          <w:sz w:val="24"/>
          <w:szCs w:val="22"/>
          <w:lang w:eastAsia="en-US"/>
        </w:rPr>
        <w:t>提升利润含金量</w:t>
      </w:r>
      <w:r>
        <w:rPr>
          <w:rFonts w:hint="eastAsia" w:ascii="Times New Roman" w:hAnsi="Times New Roman" w:eastAsia="宋体" w:cs="Times New Roman"/>
          <w:b w:val="0"/>
          <w:i w:val="0"/>
          <w:kern w:val="0"/>
          <w:sz w:val="24"/>
          <w:szCs w:val="22"/>
          <w:lang w:eastAsia="en-US"/>
        </w:rPr>
        <w:t>（剔除亏损学科、聚焦盈利业务）、</w:t>
      </w:r>
      <w:r>
        <w:rPr>
          <w:rFonts w:hint="eastAsia" w:ascii="Times New Roman" w:hAnsi="Times New Roman" w:eastAsia="宋体" w:cs="Times New Roman"/>
          <w:b/>
          <w:i w:val="0"/>
          <w:kern w:val="0"/>
          <w:sz w:val="24"/>
          <w:szCs w:val="22"/>
          <w:lang w:eastAsia="en-US"/>
        </w:rPr>
        <w:t>增强盈利可预测性</w:t>
      </w:r>
      <w:r>
        <w:rPr>
          <w:rFonts w:hint="eastAsia" w:ascii="Times New Roman" w:hAnsi="Times New Roman" w:eastAsia="宋体" w:cs="Times New Roman"/>
          <w:b w:val="0"/>
          <w:i w:val="0"/>
          <w:kern w:val="0"/>
          <w:sz w:val="24"/>
          <w:szCs w:val="22"/>
          <w:lang w:eastAsia="en-US"/>
        </w:rPr>
        <w:t>（分板块清晰披露）、</w:t>
      </w:r>
      <w:r>
        <w:rPr>
          <w:rFonts w:hint="eastAsia" w:ascii="Times New Roman" w:hAnsi="Times New Roman" w:eastAsia="宋体" w:cs="Times New Roman"/>
          <w:b/>
          <w:i w:val="0"/>
          <w:kern w:val="0"/>
          <w:sz w:val="24"/>
          <w:szCs w:val="22"/>
          <w:lang w:eastAsia="en-US"/>
        </w:rPr>
        <w:t>改善运营透明度</w:t>
      </w:r>
      <w:r>
        <w:rPr>
          <w:rFonts w:hint="eastAsia" w:ascii="Times New Roman" w:hAnsi="Times New Roman" w:eastAsia="宋体" w:cs="Times New Roman"/>
          <w:b w:val="0"/>
          <w:i w:val="0"/>
          <w:kern w:val="0"/>
          <w:sz w:val="24"/>
          <w:szCs w:val="22"/>
          <w:lang w:eastAsia="en-US"/>
        </w:rPr>
        <w:t>（增加核心运营指标披露）。当</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政策黑箱</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被转化为</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透明漏斗</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时，资本市场的估值折价有望显著收窄。</w:t>
      </w:r>
    </w:p>
    <w:p w14:paraId="7A842343">
      <w:pPr>
        <w:pStyle w:val="4"/>
        <w:bidi w:val="0"/>
        <w:ind w:left="720" w:hanging="720"/>
        <w:rPr>
          <w:rFonts w:hint="eastAsia" w:cs="Times New Roman"/>
          <w:b/>
          <w:bCs/>
          <w:lang w:val="en-US" w:eastAsia="en-US"/>
        </w:rPr>
      </w:pPr>
      <w:bookmarkStart w:id="178" w:name="_Toc25353"/>
      <w:r>
        <w:rPr>
          <w:rFonts w:hint="eastAsia" w:cs="Times New Roman"/>
          <w:b/>
          <w:bCs/>
          <w:lang w:val="en-US" w:eastAsia="en-US"/>
        </w:rPr>
        <w:t>对行业政策的启示</w:t>
      </w:r>
      <w:bookmarkEnd w:id="178"/>
    </w:p>
    <w:p w14:paraId="64F297EF">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本研究的实证结果对医保政策制定亦有参考价值。CMI阈值效应（U型曲线）提示，DRG/DIP分值设计需关注技术难度中等区间的补偿充分性，避免</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做得难反而亏更多</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的政策性扭曲</w:t>
      </w:r>
      <w:r>
        <w:rPr>
          <w:rFonts w:hint="default" w:ascii="Times New Roman" w:hAnsi="Times New Roman" w:eastAsia="宋体" w:cs="Times New Roman"/>
          <w:kern w:val="2"/>
          <w:sz w:val="24"/>
          <w:szCs w:val="24"/>
          <w:vertAlign w:val="superscript"/>
        </w:rPr>
        <w:t>[2</w:t>
      </w:r>
      <w:r>
        <w:rPr>
          <w:rFonts w:hint="eastAsia" w:cs="Times New Roman"/>
          <w:kern w:val="2"/>
          <w:sz w:val="24"/>
          <w:szCs w:val="24"/>
          <w:vertAlign w:val="superscript"/>
          <w:lang w:val="en-US" w:eastAsia="zh-CN"/>
        </w:rPr>
        <w:t>8</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。同时，H1约2个月的快速恢复表明，配套的管理能力建设（编码培训、临床路径标准化等）是支付方式改革成功的必要条件</w:t>
      </w:r>
      <w:r>
        <w:rPr>
          <w:rStyle w:val="51"/>
          <w:rFonts w:hint="eastAsia"/>
          <w:lang w:eastAsia="en-US"/>
        </w:rPr>
        <w:t>[39]</w:t>
      </w:r>
      <w:r>
        <w:rPr>
          <w:rFonts w:hint="eastAsia" w:ascii="Times New Roman" w:hAnsi="Times New Roman" w:eastAsia="宋体" w:cs="Times New Roman"/>
          <w:b w:val="0"/>
          <w:i w:val="0"/>
          <w:kern w:val="0"/>
          <w:sz w:val="24"/>
          <w:szCs w:val="22"/>
          <w:lang w:eastAsia="en-US"/>
        </w:rPr>
        <w:t>。</w:t>
      </w:r>
    </w:p>
    <w:p w14:paraId="06C8FA54">
      <w:pPr>
        <w:pStyle w:val="3"/>
        <w:numPr>
          <w:ilvl w:val="1"/>
          <w:numId w:val="0"/>
        </w:numPr>
        <w:bidi w:val="0"/>
        <w:ind w:leftChars="0"/>
        <w:rPr>
          <w:rFonts w:hint="eastAsia" w:cs="Times New Roman"/>
          <w:b/>
          <w:bCs/>
          <w:lang w:val="en-US" w:eastAsia="en-US"/>
        </w:rPr>
      </w:pPr>
      <w:bookmarkStart w:id="179" w:name="_Toc10882"/>
    </w:p>
    <w:p w14:paraId="37D36659">
      <w:pPr>
        <w:pStyle w:val="3"/>
        <w:bidi w:val="0"/>
        <w:ind w:left="575" w:hanging="575"/>
        <w:rPr>
          <w:rFonts w:hint="eastAsia" w:cs="Times New Roman"/>
          <w:b/>
          <w:bCs/>
          <w:lang w:val="en-US" w:eastAsia="en-US"/>
        </w:rPr>
      </w:pPr>
      <w:bookmarkStart w:id="180" w:name="_Toc19679"/>
      <w:r>
        <w:rPr>
          <w:rFonts w:hint="eastAsia" w:cs="Times New Roman"/>
          <w:b/>
          <w:bCs/>
          <w:lang w:val="en-US" w:eastAsia="en-US"/>
        </w:rPr>
        <w:t>研究贡献</w:t>
      </w:r>
      <w:bookmarkEnd w:id="180"/>
    </w:p>
    <w:p w14:paraId="2F0E44B7">
      <w:pPr>
        <w:pStyle w:val="4"/>
        <w:bidi w:val="0"/>
        <w:ind w:left="720" w:hanging="720"/>
        <w:rPr>
          <w:rFonts w:hint="eastAsia" w:cs="Times New Roman"/>
          <w:b/>
          <w:bCs/>
          <w:lang w:val="en-US" w:eastAsia="en-US"/>
        </w:rPr>
      </w:pPr>
      <w:bookmarkStart w:id="181" w:name="_Toc12542"/>
      <w:r>
        <w:rPr>
          <w:rFonts w:hint="eastAsia" w:cs="Times New Roman"/>
          <w:b/>
          <w:bCs/>
          <w:lang w:val="en-US" w:eastAsia="en-US"/>
        </w:rPr>
        <w:t>理论贡献</w:t>
      </w:r>
      <w:bookmarkEnd w:id="181"/>
    </w:p>
    <w:p w14:paraId="502B859A">
      <w:pPr>
        <w:numPr>
          <w:ilvl w:val="0"/>
          <w:numId w:val="11"/>
        </w:numPr>
        <w:rPr>
          <w:rFonts w:hint="eastAsia"/>
          <w:lang w:val="en-US" w:eastAsia="en-US"/>
        </w:rPr>
      </w:pPr>
      <w:r>
        <w:rPr>
          <w:rFonts w:hint="eastAsia"/>
          <w:lang w:val="en-US" w:eastAsia="en-US"/>
        </w:rPr>
        <w:t>构建了</w:t>
      </w:r>
      <w:r>
        <w:rPr>
          <w:rFonts w:hint="eastAsia"/>
          <w:lang w:val="en-US" w:eastAsia="zh-CN"/>
        </w:rPr>
        <w:t>“</w:t>
      </w:r>
      <w:r>
        <w:rPr>
          <w:rFonts w:hint="eastAsia"/>
          <w:lang w:val="en-US" w:eastAsia="en-US"/>
        </w:rPr>
        <w:t>委托代理-激励相容</w:t>
      </w:r>
      <w:r>
        <w:rPr>
          <w:rFonts w:hint="eastAsia"/>
          <w:lang w:val="en-US" w:eastAsia="zh-CN"/>
        </w:rPr>
        <w:t>”</w:t>
      </w:r>
      <w:r>
        <w:rPr>
          <w:rFonts w:hint="eastAsia"/>
          <w:lang w:val="en-US" w:eastAsia="en-US"/>
        </w:rPr>
        <w:t>双层分析框架，拓展了医疗集团治理的理论范式</w:t>
      </w:r>
      <w:r>
        <w:rPr>
          <w:rFonts w:hint="default"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4</w:t>
      </w:r>
      <w:r>
        <w:rPr>
          <w:rFonts w:hint="default" w:ascii="Times New Roman" w:hAnsi="Times New Roman" w:eastAsia="宋体" w:cs="Times New Roman"/>
          <w:sz w:val="24"/>
          <w:szCs w:val="24"/>
          <w:vertAlign w:val="superscript"/>
        </w:rPr>
        <w:t>][</w:t>
      </w:r>
      <w:r>
        <w:rPr>
          <w:rFonts w:hint="eastAsia" w:cs="Times New Roman"/>
          <w:sz w:val="24"/>
          <w:szCs w:val="24"/>
          <w:vertAlign w:val="superscript"/>
          <w:lang w:val="en-US" w:eastAsia="zh-CN"/>
        </w:rPr>
        <w:t>49</w:t>
      </w:r>
      <w:r>
        <w:rPr>
          <w:rFonts w:hint="default" w:ascii="Times New Roman" w:hAnsi="Times New Roman" w:eastAsia="宋体" w:cs="Times New Roman"/>
          <w:sz w:val="24"/>
          <w:szCs w:val="24"/>
          <w:vertAlign w:val="superscript"/>
        </w:rPr>
        <w:t>]</w:t>
      </w:r>
      <w:r>
        <w:rPr>
          <w:rFonts w:hint="eastAsia"/>
          <w:lang w:val="en-US" w:eastAsia="en-US"/>
        </w:rPr>
        <w:t>。该框架第一层（诊断层）运用委托代理理论识别出集团</w:t>
      </w:r>
      <w:r>
        <w:rPr>
          <w:rFonts w:hint="eastAsia"/>
          <w:lang w:val="en-US" w:eastAsia="zh-CN"/>
        </w:rPr>
        <w:t>－</w:t>
      </w:r>
      <w:r>
        <w:rPr>
          <w:rFonts w:hint="eastAsia"/>
          <w:lang w:val="en-US" w:eastAsia="en-US"/>
        </w:rPr>
        <w:t>科室治理中的三类代理成本：CMI逆向选择（科室利用信息优势规避高难度病种）、供应链道德风险（集团</w:t>
      </w:r>
      <w:r>
        <w:rPr>
          <w:rFonts w:hint="eastAsia"/>
          <w:lang w:val="en-US" w:eastAsia="zh-CN"/>
        </w:rPr>
        <w:t>－</w:t>
      </w:r>
      <w:r>
        <w:rPr>
          <w:rFonts w:hint="eastAsia"/>
          <w:lang w:val="en-US" w:eastAsia="en-US"/>
        </w:rPr>
        <w:t>院区目标冲突导致的利润转移）与临床监督成本（行为不可观测性）；第二层（治理层）设计激励相容机制将代理成本内部化，通过CMI阶梯激励、账期利益共享、绩效剩余索取权等制度安排实现委托人与代理人目标校准。这一框架不仅填补了委托代理理论在中国非公医疗领域的应用空白，也为DRG/DIP情境下的激励相容设计提供了可操作的范式。</w:t>
      </w:r>
    </w:p>
    <w:p w14:paraId="4E107CDE">
      <w:pPr>
        <w:numPr>
          <w:ilvl w:val="0"/>
          <w:numId w:val="11"/>
        </w:numPr>
        <w:rPr>
          <w:rFonts w:hint="eastAsia"/>
          <w:lang w:val="en-US" w:eastAsia="en-US"/>
        </w:rPr>
      </w:pPr>
      <w:r>
        <w:rPr>
          <w:rFonts w:hint="eastAsia"/>
          <w:lang w:val="en-US" w:eastAsia="en-US"/>
        </w:rPr>
        <w:t>基于上述代理成本识别，首次实证发现了CMI与盈余率的U型关系及阈值效应（CMI=1.27）。传统文献多假设CMI与收益线性正相关，本研究揭示当CMI超过阈值后，代理成本**（成本边际增长约</w:t>
      </w:r>
      <w:r>
        <w:rPr>
          <w:rFonts w:hint="eastAsia"/>
          <w:lang w:val="en-US" w:eastAsia="zh-CN"/>
        </w:rPr>
        <w:t>15%—25%</w:t>
      </w:r>
      <w:r>
        <w:rPr>
          <w:rFonts w:hint="eastAsia"/>
          <w:lang w:val="en-US" w:eastAsia="en-US"/>
        </w:rPr>
        <w:t>）将系统性超过DRG溢价（</w:t>
      </w:r>
      <w:r>
        <w:rPr>
          <w:rFonts w:hint="eastAsia"/>
          <w:lang w:val="en-US" w:eastAsia="zh-CN"/>
        </w:rPr>
        <w:t>8%—10%</w:t>
      </w:r>
      <w:r>
        <w:rPr>
          <w:rFonts w:hint="eastAsia"/>
          <w:lang w:val="en-US" w:eastAsia="en-US"/>
        </w:rPr>
        <w:t>），导致盈余率由正转负。这一发现从委托代理视角解释了</w:t>
      </w:r>
      <w:r>
        <w:rPr>
          <w:rFonts w:hint="eastAsia"/>
          <w:lang w:val="en-US" w:eastAsia="zh-CN"/>
        </w:rPr>
        <w:t>“</w:t>
      </w:r>
      <w:r>
        <w:rPr>
          <w:rFonts w:hint="eastAsia"/>
          <w:lang w:val="en-US" w:eastAsia="en-US"/>
        </w:rPr>
        <w:t>高技术不等于高收益</w:t>
      </w:r>
      <w:r>
        <w:rPr>
          <w:rFonts w:hint="eastAsia"/>
          <w:lang w:val="en-US" w:eastAsia="zh-CN"/>
        </w:rPr>
        <w:t>”</w:t>
      </w:r>
      <w:r>
        <w:rPr>
          <w:rFonts w:hint="eastAsia"/>
          <w:lang w:val="en-US" w:eastAsia="en-US"/>
        </w:rPr>
        <w:t>的悖论，丰富了DRG支付下医院财务行为理论。</w:t>
      </w:r>
    </w:p>
    <w:p w14:paraId="5FF23D60">
      <w:pPr>
        <w:numPr>
          <w:ilvl w:val="0"/>
          <w:numId w:val="11"/>
        </w:numPr>
        <w:rPr>
          <w:rFonts w:hint="eastAsia"/>
          <w:lang w:val="en-US" w:eastAsia="en-US"/>
        </w:rPr>
      </w:pPr>
      <w:r>
        <w:rPr>
          <w:rFonts w:hint="eastAsia"/>
          <w:lang w:val="en-US" w:eastAsia="en-US"/>
        </w:rPr>
        <w:t>构建了</w:t>
      </w:r>
      <w:r>
        <w:rPr>
          <w:rFonts w:hint="eastAsia"/>
          <w:lang w:val="en-US" w:eastAsia="zh-CN"/>
        </w:rPr>
        <w:t>“</w:t>
      </w:r>
      <w:r>
        <w:rPr>
          <w:rFonts w:hint="eastAsia"/>
          <w:lang w:val="en-US" w:eastAsia="en-US"/>
        </w:rPr>
        <w:t>双重干预</w:t>
      </w:r>
      <w:r>
        <w:rPr>
          <w:rFonts w:hint="eastAsia"/>
          <w:lang w:val="en-US" w:eastAsia="zh-CN"/>
        </w:rPr>
        <w:t>”</w:t>
      </w:r>
      <w:r>
        <w:rPr>
          <w:rFonts w:hint="eastAsia"/>
          <w:lang w:val="en-US" w:eastAsia="en-US"/>
        </w:rPr>
        <w:t>分析框架——将外部政策冲击（DRG/DIP全面推行）与内部管理转型（集团统一改革）纳入统一的ITS模型，在方法论上为研究</w:t>
      </w:r>
      <w:r>
        <w:rPr>
          <w:rFonts w:hint="eastAsia"/>
          <w:lang w:val="en-US" w:eastAsia="zh-CN"/>
        </w:rPr>
        <w:t>“</w:t>
      </w:r>
      <w:r>
        <w:rPr>
          <w:rFonts w:hint="eastAsia"/>
          <w:lang w:val="en-US" w:eastAsia="en-US"/>
        </w:rPr>
        <w:t>多重干预叠加效应</w:t>
      </w:r>
      <w:r>
        <w:rPr>
          <w:rFonts w:hint="eastAsia"/>
          <w:lang w:val="en-US" w:eastAsia="zh-CN"/>
        </w:rPr>
        <w:t>”</w:t>
      </w:r>
      <w:r>
        <w:rPr>
          <w:rFonts w:hint="eastAsia"/>
          <w:lang w:val="en-US" w:eastAsia="en-US"/>
        </w:rPr>
        <w:t>提供了可操作范式</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lang w:val="en-US" w:eastAsia="en-US"/>
        </w:rPr>
        <w:t>。</w:t>
      </w:r>
    </w:p>
    <w:p w14:paraId="0A131835">
      <w:pPr>
        <w:rPr>
          <w:rFonts w:hint="eastAsia"/>
          <w:lang w:val="en-US" w:eastAsia="en-US"/>
        </w:rPr>
      </w:pPr>
      <w:r>
        <w:rPr>
          <w:rFonts w:hint="eastAsia"/>
          <w:lang w:val="en-US" w:eastAsia="en-US"/>
        </w:rPr>
        <w:t>第三，提出了</w:t>
      </w:r>
      <w:r>
        <w:rPr>
          <w:rFonts w:hint="eastAsia"/>
          <w:lang w:val="en-US" w:eastAsia="zh-CN"/>
        </w:rPr>
        <w:t>“</w:t>
      </w:r>
      <w:r>
        <w:rPr>
          <w:rFonts w:hint="eastAsia"/>
          <w:lang w:val="en-US" w:eastAsia="en-US"/>
        </w:rPr>
        <w:t>供应链双刃剑</w:t>
      </w:r>
      <w:r>
        <w:rPr>
          <w:rFonts w:hint="eastAsia"/>
          <w:lang w:val="en-US" w:eastAsia="zh-CN"/>
        </w:rPr>
        <w:t>”</w:t>
      </w:r>
      <w:r>
        <w:rPr>
          <w:rFonts w:hint="eastAsia"/>
          <w:lang w:val="en-US" w:eastAsia="en-US"/>
        </w:rPr>
        <w:t>的理论命题并以GRA实证验证，揭示了非公医疗集团</w:t>
      </w:r>
      <w:r>
        <w:rPr>
          <w:rFonts w:hint="eastAsia"/>
          <w:lang w:val="en-US" w:eastAsia="zh-CN"/>
        </w:rPr>
        <w:t>“</w:t>
      </w:r>
      <w:r>
        <w:rPr>
          <w:rFonts w:hint="eastAsia"/>
          <w:lang w:val="en-US" w:eastAsia="en-US"/>
        </w:rPr>
        <w:t>集团获益vs院区侵蚀</w:t>
      </w:r>
      <w:r>
        <w:rPr>
          <w:rFonts w:hint="eastAsia"/>
          <w:lang w:val="en-US" w:eastAsia="zh-CN"/>
        </w:rPr>
        <w:t>”</w:t>
      </w:r>
      <w:r>
        <w:rPr>
          <w:rFonts w:hint="eastAsia"/>
          <w:lang w:val="en-US" w:eastAsia="en-US"/>
        </w:rPr>
        <w:t>的结构性矛盾</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20</w:t>
      </w:r>
      <w:r>
        <w:rPr>
          <w:rFonts w:hint="default" w:ascii="Times New Roman" w:hAnsi="Times New Roman" w:eastAsia="宋体" w:cs="Times New Roman"/>
          <w:kern w:val="2"/>
          <w:sz w:val="24"/>
          <w:szCs w:val="24"/>
          <w:vertAlign w:val="superscript"/>
        </w:rPr>
        <w:t>]</w:t>
      </w:r>
      <w:r>
        <w:rPr>
          <w:rFonts w:hint="eastAsia"/>
          <w:lang w:val="en-US" w:eastAsia="en-US"/>
        </w:rPr>
        <w:t>，丰富了医疗供应链管理文献。</w:t>
      </w:r>
    </w:p>
    <w:p w14:paraId="11C9DC33">
      <w:pPr>
        <w:pStyle w:val="4"/>
        <w:bidi w:val="0"/>
        <w:ind w:left="720" w:hanging="720"/>
        <w:rPr>
          <w:rFonts w:hint="eastAsia" w:cs="Times New Roman"/>
          <w:b/>
          <w:bCs/>
          <w:lang w:val="en-US" w:eastAsia="en-US"/>
        </w:rPr>
      </w:pPr>
      <w:bookmarkStart w:id="182" w:name="_Toc8171"/>
      <w:r>
        <w:rPr>
          <w:rFonts w:hint="eastAsia" w:cs="Times New Roman"/>
          <w:b/>
          <w:bCs/>
          <w:lang w:val="en-US" w:eastAsia="en-US"/>
        </w:rPr>
        <w:t>实践贡献</w:t>
      </w:r>
      <w:bookmarkEnd w:id="182"/>
    </w:p>
    <w:p w14:paraId="67B09BF7">
      <w:pPr>
        <w:rPr>
          <w:rFonts w:hint="eastAsia"/>
          <w:lang w:val="en-US" w:eastAsia="en-US"/>
        </w:rPr>
      </w:pPr>
      <w:r>
        <w:rPr>
          <w:rFonts w:hint="eastAsia"/>
          <w:lang w:val="en-US" w:eastAsia="en-US"/>
        </w:rPr>
        <w:t>第一，本研究的核心策略已在</w:t>
      </w:r>
      <w:r>
        <w:rPr>
          <w:rFonts w:hint="eastAsia"/>
          <w:lang w:val="en-US" w:eastAsia="zh-CN"/>
        </w:rPr>
        <w:t>A医疗集团</w:t>
      </w:r>
      <w:r>
        <w:rPr>
          <w:rFonts w:hint="eastAsia"/>
          <w:lang w:val="en-US" w:eastAsia="en-US"/>
        </w:rPr>
        <w:t>实际落地并产生可量化成效：H1试点院区盈余率从−8.8%改善至−0.1%（近6月均值），</w:t>
      </w:r>
      <w:r>
        <w:rPr>
          <w:rFonts w:hint="eastAsia"/>
          <w:lang w:val="en-US" w:eastAsia="zh-CN"/>
        </w:rPr>
        <w:t>十余家</w:t>
      </w:r>
      <w:r>
        <w:rPr>
          <w:rFonts w:hint="eastAsia"/>
          <w:lang w:val="en-US" w:eastAsia="en-US"/>
        </w:rPr>
        <w:t>推广医院平均改善4.2个百分点。这使本研究超越了传统EMBA论文</w:t>
      </w:r>
      <w:r>
        <w:rPr>
          <w:rFonts w:hint="eastAsia"/>
          <w:lang w:val="en-US" w:eastAsia="zh-CN"/>
        </w:rPr>
        <w:t>“</w:t>
      </w:r>
      <w:r>
        <w:rPr>
          <w:rFonts w:hint="eastAsia"/>
          <w:lang w:val="en-US" w:eastAsia="en-US"/>
        </w:rPr>
        <w:t>提出方案</w:t>
      </w:r>
      <w:r>
        <w:rPr>
          <w:rFonts w:hint="eastAsia"/>
          <w:lang w:val="en-US" w:eastAsia="zh-CN"/>
        </w:rPr>
        <w:t>”</w:t>
      </w:r>
      <w:r>
        <w:rPr>
          <w:rFonts w:hint="eastAsia"/>
          <w:lang w:val="en-US" w:eastAsia="en-US"/>
        </w:rPr>
        <w:t>的范畴，形成了</w:t>
      </w:r>
      <w:r>
        <w:rPr>
          <w:rFonts w:hint="eastAsia"/>
          <w:lang w:val="en-US" w:eastAsia="zh-CN"/>
        </w:rPr>
        <w:t>“</w:t>
      </w:r>
      <w:r>
        <w:rPr>
          <w:rFonts w:hint="eastAsia"/>
          <w:lang w:val="en-US" w:eastAsia="en-US"/>
        </w:rPr>
        <w:t>方案设计+落地验证</w:t>
      </w:r>
      <w:r>
        <w:rPr>
          <w:rFonts w:hint="eastAsia"/>
          <w:lang w:val="en-US" w:eastAsia="zh-CN"/>
        </w:rPr>
        <w:t>”</w:t>
      </w:r>
      <w:r>
        <w:rPr>
          <w:rFonts w:hint="eastAsia"/>
          <w:lang w:val="en-US" w:eastAsia="en-US"/>
        </w:rPr>
        <w:t>的完整闭环。</w:t>
      </w:r>
    </w:p>
    <w:p w14:paraId="3B6946FD">
      <w:pPr>
        <w:rPr>
          <w:rFonts w:hint="eastAsia"/>
          <w:lang w:val="en-US" w:eastAsia="en-US"/>
        </w:rPr>
      </w:pPr>
      <w:r>
        <w:rPr>
          <w:rFonts w:hint="eastAsia"/>
          <w:lang w:val="en-US" w:eastAsia="en-US"/>
        </w:rPr>
        <w:t>第二，研究产出了一套可复制、可推广的管理工具包：四象限学科画像模型、</w:t>
      </w:r>
      <w:r>
        <w:rPr>
          <w:rFonts w:hint="eastAsia"/>
          <w:lang w:val="en-US" w:eastAsia="zh-CN"/>
        </w:rPr>
        <w:t>“</w:t>
      </w:r>
      <w:r>
        <w:rPr>
          <w:rFonts w:hint="eastAsia"/>
          <w:lang w:val="en-US" w:eastAsia="en-US"/>
        </w:rPr>
        <w:t>2+N</w:t>
      </w:r>
      <w:r>
        <w:rPr>
          <w:rFonts w:hint="eastAsia"/>
          <w:lang w:val="en-US" w:eastAsia="zh-CN"/>
        </w:rPr>
        <w:t>”</w:t>
      </w:r>
      <w:r>
        <w:rPr>
          <w:rFonts w:hint="eastAsia"/>
          <w:lang w:val="en-US" w:eastAsia="en-US"/>
        </w:rPr>
        <w:t>账期管理机制、RBRVS+盈余留用复合绩效体系、特评病种申报机制等，均可直接供同类企业参照实施。</w:t>
      </w:r>
    </w:p>
    <w:p w14:paraId="210D2839">
      <w:pPr>
        <w:rPr>
          <w:rFonts w:hint="eastAsia"/>
          <w:lang w:val="en-US" w:eastAsia="en-US"/>
        </w:rPr>
      </w:pPr>
      <w:r>
        <w:rPr>
          <w:rFonts w:hint="eastAsia"/>
          <w:lang w:val="en-US" w:eastAsia="en-US"/>
        </w:rPr>
        <w:t>第三，ITS分析和滚动窗口分析揭示的</w:t>
      </w:r>
      <w:r>
        <w:rPr>
          <w:rFonts w:hint="eastAsia"/>
          <w:lang w:val="en-US" w:eastAsia="zh-CN"/>
        </w:rPr>
        <w:t>“</w:t>
      </w:r>
      <w:r>
        <w:rPr>
          <w:rFonts w:hint="eastAsia"/>
          <w:lang w:val="en-US" w:eastAsia="en-US"/>
        </w:rPr>
        <w:t>3-6-12</w:t>
      </w:r>
      <w:r>
        <w:rPr>
          <w:rFonts w:hint="eastAsia"/>
          <w:lang w:val="en-US" w:eastAsia="zh-CN"/>
        </w:rPr>
        <w:t>”</w:t>
      </w:r>
      <w:r>
        <w:rPr>
          <w:rFonts w:hint="eastAsia"/>
          <w:lang w:val="en-US" w:eastAsia="en-US"/>
        </w:rPr>
        <w:t>管理时滞规律，为医疗集团的改革节奏设计提供了量化参考——干预后约3个月措施落地，6个月初见成效，12个月效果显现</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22</w:t>
      </w:r>
      <w:r>
        <w:rPr>
          <w:rFonts w:hint="default" w:ascii="Times New Roman" w:hAnsi="Times New Roman" w:eastAsia="宋体" w:cs="Times New Roman"/>
          <w:kern w:val="2"/>
          <w:sz w:val="24"/>
          <w:szCs w:val="24"/>
          <w:vertAlign w:val="superscript"/>
        </w:rPr>
        <w:t>]</w:t>
      </w:r>
      <w:r>
        <w:rPr>
          <w:rFonts w:hint="eastAsia"/>
          <w:lang w:val="en-US" w:eastAsia="en-US"/>
        </w:rPr>
        <w:t>。</w:t>
      </w:r>
    </w:p>
    <w:p w14:paraId="4C97AAD1">
      <w:pPr>
        <w:pStyle w:val="3"/>
        <w:bidi w:val="0"/>
        <w:ind w:left="575" w:hanging="575"/>
        <w:rPr>
          <w:rFonts w:hint="eastAsia" w:cs="Times New Roman"/>
          <w:b/>
          <w:bCs/>
          <w:lang w:val="en-US" w:eastAsia="en-US"/>
        </w:rPr>
      </w:pPr>
      <w:bookmarkStart w:id="183" w:name="_Toc16568"/>
      <w:r>
        <w:rPr>
          <w:rFonts w:hint="eastAsia" w:cs="Times New Roman"/>
          <w:b/>
          <w:bCs/>
          <w:lang w:val="en-US" w:eastAsia="en-US"/>
        </w:rPr>
        <w:t>研究局限性</w:t>
      </w:r>
      <w:bookmarkEnd w:id="179"/>
      <w:bookmarkEnd w:id="183"/>
    </w:p>
    <w:p w14:paraId="33B3D44A">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本研究存在以下局限性，需在解读结论时予以关注。</w:t>
      </w:r>
    </w:p>
    <w:p w14:paraId="6FF94976">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第一，样本代表性局限。 本研究聚焦于</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三家代表性医院，属于单案例深度研究。不同区域、不同规模、不同所有制的医疗机构面临的政策环境和管理约束可能存在差异，结论向其他情境的推广需审慎</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21</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w:t>
      </w:r>
    </w:p>
    <w:p w14:paraId="327D56E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第二，数据时效性局限。 数据截止于2025年11月，DRG/DIP改革仍在深化过程中，政策参数（分值、系数等）可能持续调整，部分分院区的改善趋势是否可持续尚需更长周期验证。</w:t>
      </w:r>
    </w:p>
    <w:p w14:paraId="41D08B34">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第三，内生性控制局限。 尽管ITS方法能较好地识别政策干预的因果效应，但仍难以完全排除同期其他因素（宏观经济波动、区域政策差异等）的干扰</w:t>
      </w:r>
      <w:r>
        <w:rPr>
          <w:rFonts w:hint="default" w:ascii="Times New Roman" w:hAnsi="Times New Roman" w:eastAsia="宋体" w:cs="Times New Roman"/>
          <w:sz w:val="24"/>
          <w:szCs w:val="24"/>
          <w:vertAlign w:val="superscript"/>
        </w:rPr>
        <w:t>[1</w:t>
      </w:r>
      <w:r>
        <w:rPr>
          <w:rFonts w:hint="eastAsia" w:cs="Times New Roman"/>
          <w:sz w:val="24"/>
          <w:szCs w:val="24"/>
          <w:vertAlign w:val="superscript"/>
          <w:lang w:val="en-US" w:eastAsia="zh-CN"/>
        </w:rPr>
        <w:t>8</w:t>
      </w:r>
      <w:r>
        <w:rPr>
          <w:rFonts w:hint="default" w:ascii="Times New Roman" w:hAnsi="Times New Roman" w:eastAsia="宋体" w:cs="Times New Roman"/>
          <w:sz w:val="24"/>
          <w:szCs w:val="24"/>
          <w:vertAlign w:val="superscript"/>
        </w:rPr>
        <w:t>]</w:t>
      </w:r>
      <w:r>
        <w:rPr>
          <w:rFonts w:hint="eastAsia" w:ascii="Times New Roman" w:hAnsi="Times New Roman" w:eastAsia="宋体" w:cs="Times New Roman"/>
          <w:b w:val="0"/>
          <w:i w:val="0"/>
          <w:kern w:val="0"/>
          <w:sz w:val="24"/>
          <w:szCs w:val="22"/>
          <w:lang w:eastAsia="en-US"/>
        </w:rPr>
        <w:t>。未来研究可引入对照组或采用双重差分法增强因果推断的稳健性。</w:t>
      </w:r>
    </w:p>
    <w:p w14:paraId="25BC1929">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第四，H2和H3的运营数据不如H1完整。 H1作为深度试点，运营指标（编码准确率、集采执行率等）有完整的前后对比数据；H2和H3的部分运营指标为估算值，精确度有待提升。</w:t>
      </w:r>
    </w:p>
    <w:p w14:paraId="357AF876">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第五，绩效体系尚</w:t>
      </w:r>
      <w:r>
        <w:rPr>
          <w:rFonts w:hint="eastAsia" w:cs="Times New Roman"/>
          <w:b w:val="0"/>
          <w:i w:val="0"/>
          <w:kern w:val="0"/>
          <w:sz w:val="24"/>
          <w:szCs w:val="22"/>
          <w:lang w:eastAsia="zh-CN"/>
        </w:rPr>
        <w:t>处于</w:t>
      </w:r>
      <w:r>
        <w:rPr>
          <w:rFonts w:hint="eastAsia" w:ascii="Times New Roman" w:hAnsi="Times New Roman" w:eastAsia="宋体" w:cs="Times New Roman"/>
          <w:b w:val="0"/>
          <w:i w:val="0"/>
          <w:kern w:val="0"/>
          <w:sz w:val="24"/>
          <w:szCs w:val="22"/>
          <w:lang w:eastAsia="en-US"/>
        </w:rPr>
        <w:t>试点阶段。 第六章设计的RBRVS+盈余留用复合绩效体系已在H1部分落地（30%成本节约返还），其长期效果有待后续跟踪验证。</w:t>
      </w:r>
    </w:p>
    <w:p w14:paraId="4E69A2AC">
      <w:pPr>
        <w:pStyle w:val="3"/>
        <w:bidi w:val="0"/>
        <w:ind w:left="575" w:hanging="575"/>
        <w:rPr>
          <w:rFonts w:hint="eastAsia" w:cs="Times New Roman"/>
          <w:b/>
          <w:bCs/>
          <w:lang w:val="en-US" w:eastAsia="en-US"/>
        </w:rPr>
      </w:pPr>
      <w:bookmarkStart w:id="184" w:name="_Toc5955"/>
      <w:bookmarkStart w:id="185" w:name="_Toc30167"/>
      <w:r>
        <w:rPr>
          <w:rFonts w:hint="eastAsia" w:cs="Times New Roman"/>
          <w:b/>
          <w:bCs/>
          <w:lang w:val="en-US" w:eastAsia="en-US"/>
        </w:rPr>
        <w:t>未来研究展望</w:t>
      </w:r>
      <w:bookmarkEnd w:id="184"/>
      <w:bookmarkEnd w:id="185"/>
    </w:p>
    <w:p w14:paraId="7F8DE765">
      <w:pPr>
        <w:pStyle w:val="4"/>
        <w:bidi w:val="0"/>
        <w:ind w:left="720" w:hanging="720"/>
        <w:rPr>
          <w:rFonts w:hint="eastAsia" w:cs="Times New Roman"/>
          <w:b/>
          <w:bCs/>
          <w:lang w:val="en-US" w:eastAsia="en-US"/>
        </w:rPr>
      </w:pPr>
      <w:bookmarkStart w:id="186" w:name="_Toc9150"/>
      <w:bookmarkStart w:id="187" w:name="_Toc20398"/>
      <w:r>
        <w:rPr>
          <w:rFonts w:hint="eastAsia" w:cs="Times New Roman"/>
          <w:b/>
          <w:bCs/>
          <w:lang w:val="en-US" w:eastAsia="en-US"/>
        </w:rPr>
        <w:t>AI智能审计对医保合规的深远影响</w:t>
      </w:r>
      <w:bookmarkEnd w:id="186"/>
      <w:bookmarkEnd w:id="187"/>
    </w:p>
    <w:p w14:paraId="0E9E39EC">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随着人工智能技术的快速发展，</w:t>
      </w:r>
      <w:r>
        <w:rPr>
          <w:rFonts w:hint="eastAsia" w:ascii="Times New Roman" w:hAnsi="Times New Roman" w:eastAsia="宋体" w:cs="Times New Roman"/>
          <w:b/>
          <w:i w:val="0"/>
          <w:kern w:val="0"/>
          <w:sz w:val="24"/>
          <w:szCs w:val="22"/>
          <w:lang w:eastAsia="en-US"/>
        </w:rPr>
        <w:t>AI智能审计</w:t>
      </w:r>
      <w:r>
        <w:rPr>
          <w:rFonts w:hint="eastAsia" w:ascii="Times New Roman" w:hAnsi="Times New Roman" w:eastAsia="宋体" w:cs="Times New Roman"/>
          <w:b w:val="0"/>
          <w:i w:val="0"/>
          <w:kern w:val="0"/>
          <w:sz w:val="24"/>
          <w:szCs w:val="22"/>
          <w:lang w:eastAsia="en-US"/>
        </w:rPr>
        <w:t>正在深刻改变医保监管的方式和效率。国家医保局已启动</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智能监控2.0</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建设，通过大数据分析和机器学习算法，实现对医疗行为的实时监控和异常识别。</w:t>
      </w:r>
    </w:p>
    <w:p w14:paraId="682B05CB">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这一趋势对医疗机构的影响是双向的：</w:t>
      </w:r>
    </w:p>
    <w:p w14:paraId="582B6B51">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4"/>
          <w:szCs w:val="22"/>
          <w:lang w:eastAsia="en-US"/>
        </w:rPr>
        <w:t>挑战方面</w:t>
      </w:r>
      <w:r>
        <w:rPr>
          <w:rFonts w:hint="eastAsia" w:ascii="Times New Roman" w:hAnsi="Times New Roman" w:eastAsia="宋体" w:cs="Times New Roman"/>
          <w:b w:val="0"/>
          <w:i w:val="0"/>
          <w:kern w:val="0"/>
          <w:sz w:val="24"/>
          <w:szCs w:val="22"/>
          <w:lang w:eastAsia="en-US"/>
        </w:rPr>
        <w:t>：传统的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灰色地带</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操作空间将被大幅压缩，任何不合规的诊疗行为都可能被AI系统即时发现并追溯。医疗机构必须从</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事后应对</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转向</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事前合规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w:t>
      </w:r>
    </w:p>
    <w:p w14:paraId="2E8DF3DD">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i w:val="0"/>
          <w:kern w:val="0"/>
          <w:sz w:val="24"/>
          <w:szCs w:val="22"/>
          <w:lang w:eastAsia="en-US"/>
        </w:rPr>
        <w:t>机遇方面</w:t>
      </w:r>
      <w:r>
        <w:rPr>
          <w:rFonts w:hint="eastAsia" w:ascii="Times New Roman" w:hAnsi="Times New Roman" w:eastAsia="宋体" w:cs="Times New Roman"/>
          <w:b w:val="0"/>
          <w:i w:val="0"/>
          <w:kern w:val="0"/>
          <w:sz w:val="24"/>
          <w:szCs w:val="22"/>
          <w:lang w:eastAsia="en-US"/>
        </w:rPr>
        <w:t>：AI技术同样可以赋能医疗机构自身的合规管理。未来研究可深入探讨AI智能审计如何重塑医保监管生态、医疗机构如何实现</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主动合规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、AI辅助诊疗与DRG/DIP支付的协同优化路径。</w:t>
      </w:r>
    </w:p>
    <w:p w14:paraId="16B4778C">
      <w:pPr>
        <w:pStyle w:val="4"/>
        <w:bidi w:val="0"/>
        <w:ind w:left="720" w:hanging="720"/>
        <w:rPr>
          <w:rFonts w:hint="eastAsia" w:cs="Times New Roman"/>
          <w:b/>
          <w:bCs/>
          <w:lang w:val="en-US" w:eastAsia="en-US"/>
        </w:rPr>
      </w:pPr>
      <w:bookmarkStart w:id="188" w:name="_Toc23854"/>
      <w:r>
        <w:rPr>
          <w:rFonts w:hint="eastAsia" w:cs="Times New Roman"/>
          <w:b/>
          <w:bCs/>
          <w:lang w:val="en-US" w:eastAsia="en-US"/>
        </w:rPr>
        <w:t>DRG/DIP 2.0版的深化效应</w:t>
      </w:r>
      <w:bookmarkEnd w:id="188"/>
    </w:p>
    <w:p w14:paraId="1002912E">
      <w:pPr>
        <w:widowControl/>
        <w:spacing w:before="0" w:after="0" w:line="400" w:lineRule="exact"/>
        <w:ind w:firstLine="480" w:firstLineChars="0"/>
        <w:jc w:val="both"/>
        <w:textAlignment w:val="auto"/>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2024年7月国家医保局发布DRG/DIP 2.0版分组方案，病组数量和分值权重均有调整</w:t>
      </w:r>
      <w:r>
        <w:rPr>
          <w:rFonts w:hint="default" w:ascii="Times New Roman" w:hAnsi="Times New Roman" w:eastAsia="宋体" w:cs="Times New Roman"/>
          <w:kern w:val="2"/>
          <w:sz w:val="24"/>
          <w:szCs w:val="24"/>
          <w:vertAlign w:val="superscript"/>
        </w:rPr>
        <w:t>[</w:t>
      </w:r>
      <w:r>
        <w:rPr>
          <w:rFonts w:hint="eastAsia" w:cs="Times New Roman"/>
          <w:kern w:val="2"/>
          <w:sz w:val="24"/>
          <w:szCs w:val="24"/>
          <w:vertAlign w:val="superscript"/>
          <w:lang w:val="en-US" w:eastAsia="zh-CN"/>
        </w:rPr>
        <w:t>30</w:t>
      </w:r>
      <w:r>
        <w:rPr>
          <w:rFonts w:hint="default" w:ascii="Times New Roman" w:hAnsi="Times New Roman" w:eastAsia="宋体" w:cs="Times New Roman"/>
          <w:kern w:val="2"/>
          <w:sz w:val="24"/>
          <w:szCs w:val="24"/>
          <w:vertAlign w:val="superscript"/>
        </w:rPr>
        <w:t>]</w:t>
      </w:r>
      <w:r>
        <w:rPr>
          <w:rFonts w:hint="eastAsia" w:ascii="Times New Roman" w:hAnsi="Times New Roman" w:eastAsia="宋体" w:cs="Times New Roman"/>
          <w:b w:val="0"/>
          <w:i w:val="0"/>
          <w:kern w:val="0"/>
          <w:sz w:val="24"/>
          <w:szCs w:val="22"/>
          <w:lang w:eastAsia="en-US"/>
        </w:rPr>
        <w:t>。2.0版本对本研究识别的CMI阈值效应是否产生修正、U型曲线的阈值是否位移，是值得持续追踪的重要议题。此外，2.0版引入的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特例单议</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机制与本研究的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特评病种申报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设计高度契合，两者的协同效应值得深入研究</w:t>
      </w:r>
    </w:p>
    <w:p w14:paraId="73E574C7">
      <w:pPr>
        <w:pStyle w:val="4"/>
        <w:bidi w:val="0"/>
        <w:ind w:left="720" w:hanging="720"/>
        <w:rPr>
          <w:rFonts w:hint="eastAsia" w:cs="Times New Roman"/>
          <w:b/>
          <w:bCs/>
          <w:lang w:val="en-US" w:eastAsia="en-US"/>
        </w:rPr>
      </w:pPr>
      <w:bookmarkStart w:id="189" w:name="_Toc9896"/>
      <w:bookmarkStart w:id="190" w:name="_Toc12244"/>
      <w:r>
        <w:rPr>
          <w:rFonts w:hint="eastAsia" w:cs="Times New Roman"/>
          <w:b/>
          <w:bCs/>
          <w:lang w:val="en-US" w:eastAsia="en-US"/>
        </w:rPr>
        <w:t>集团化非公医疗的可持续发展模式</w:t>
      </w:r>
      <w:bookmarkEnd w:id="189"/>
      <w:bookmarkEnd w:id="190"/>
    </w:p>
    <w:p w14:paraId="22A39BE5">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本研究聚焦于收入质量优化这一</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存量改善</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议题，但非公医疗集团的可持续发展还涉及</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增量创新</w:t>
      </w:r>
      <w:r>
        <w:rPr>
          <w:rFonts w:hint="eastAsia" w:eastAsia="宋体"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——如何在医保控费的大背景下寻找新的增长点？</w:t>
      </w:r>
    </w:p>
    <w:p w14:paraId="27EA4469">
      <w:pPr>
        <w:widowControl/>
        <w:spacing w:before="0" w:after="0" w:line="400" w:lineRule="exact"/>
        <w:ind w:firstLine="48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4"/>
          <w:szCs w:val="22"/>
          <w:lang w:eastAsia="en-US"/>
        </w:rPr>
        <w:t>可能的方向包括：</w:t>
      </w:r>
      <w:r>
        <w:rPr>
          <w:rFonts w:hint="eastAsia" w:ascii="Times New Roman" w:hAnsi="Times New Roman" w:eastAsia="宋体" w:cs="Times New Roman"/>
          <w:b/>
          <w:i w:val="0"/>
          <w:kern w:val="0"/>
          <w:sz w:val="24"/>
          <w:szCs w:val="22"/>
          <w:lang w:eastAsia="en-US"/>
        </w:rPr>
        <w:t>健康管理与慢病管理</w:t>
      </w:r>
      <w:r>
        <w:rPr>
          <w:rFonts w:hint="eastAsia" w:ascii="Times New Roman" w:hAnsi="Times New Roman" w:eastAsia="宋体" w:cs="Times New Roman"/>
          <w:b w:val="0"/>
          <w:i w:val="0"/>
          <w:kern w:val="0"/>
          <w:sz w:val="24"/>
          <w:szCs w:val="22"/>
          <w:lang w:eastAsia="en-US"/>
        </w:rPr>
        <w:t>（从治疗向预防延伸）、</w:t>
      </w:r>
      <w:r>
        <w:rPr>
          <w:rFonts w:hint="eastAsia" w:ascii="Times New Roman" w:hAnsi="Times New Roman" w:eastAsia="宋体" w:cs="Times New Roman"/>
          <w:b/>
          <w:i w:val="0"/>
          <w:kern w:val="0"/>
          <w:sz w:val="24"/>
          <w:szCs w:val="22"/>
          <w:lang w:eastAsia="en-US"/>
        </w:rPr>
        <w:t>医疗服务出海</w:t>
      </w:r>
      <w:r>
        <w:rPr>
          <w:rFonts w:hint="eastAsia" w:ascii="Times New Roman" w:hAnsi="Times New Roman" w:eastAsia="宋体" w:cs="Times New Roman"/>
          <w:b w:val="0"/>
          <w:i w:val="0"/>
          <w:kern w:val="0"/>
          <w:sz w:val="24"/>
          <w:szCs w:val="22"/>
          <w:lang w:eastAsia="en-US"/>
        </w:rPr>
        <w:t>（响应</w:t>
      </w:r>
      <w:r>
        <w:rPr>
          <w:rFonts w:hint="eastAsia" w:eastAsia="宋体" w:cs="Times New Roman"/>
          <w:b w:val="0"/>
          <w:i w:val="0"/>
          <w:kern w:val="0"/>
          <w:sz w:val="24"/>
          <w:szCs w:val="22"/>
          <w:lang w:eastAsia="zh-CN"/>
        </w:rPr>
        <w:t>“一带一路”</w:t>
      </w:r>
      <w:r>
        <w:rPr>
          <w:rFonts w:hint="eastAsia" w:ascii="Times New Roman" w:hAnsi="Times New Roman" w:eastAsia="宋体" w:cs="Times New Roman"/>
          <w:b w:val="0"/>
          <w:i w:val="0"/>
          <w:kern w:val="0"/>
          <w:sz w:val="24"/>
          <w:szCs w:val="22"/>
          <w:lang w:eastAsia="en-US"/>
        </w:rPr>
        <w:t>健康合作）、</w:t>
      </w:r>
      <w:r>
        <w:rPr>
          <w:rFonts w:hint="eastAsia" w:ascii="Times New Roman" w:hAnsi="Times New Roman" w:eastAsia="宋体" w:cs="Times New Roman"/>
          <w:b/>
          <w:i w:val="0"/>
          <w:kern w:val="0"/>
          <w:sz w:val="24"/>
          <w:szCs w:val="22"/>
          <w:lang w:eastAsia="en-US"/>
        </w:rPr>
        <w:t>医疗AI商业化</w:t>
      </w:r>
      <w:r>
        <w:rPr>
          <w:rFonts w:hint="eastAsia" w:ascii="Times New Roman" w:hAnsi="Times New Roman" w:eastAsia="宋体" w:cs="Times New Roman"/>
          <w:b w:val="0"/>
          <w:i w:val="0"/>
          <w:kern w:val="0"/>
          <w:sz w:val="24"/>
          <w:szCs w:val="22"/>
          <w:lang w:eastAsia="en-US"/>
        </w:rPr>
        <w:t>（将内部能力外部输出）等。这些议题值得未来研究进一步探索。</w:t>
      </w:r>
    </w:p>
    <w:p w14:paraId="52467E03">
      <w:pPr>
        <w:pStyle w:val="3"/>
        <w:bidi w:val="0"/>
        <w:ind w:left="575" w:hanging="575"/>
        <w:rPr>
          <w:rFonts w:hint="eastAsia" w:cs="Times New Roman"/>
          <w:b/>
          <w:bCs/>
          <w:lang w:val="en-US" w:eastAsia="en-US"/>
        </w:rPr>
      </w:pPr>
      <w:bookmarkStart w:id="191" w:name="_Toc29067"/>
      <w:bookmarkStart w:id="192" w:name="_Toc8909"/>
      <w:r>
        <w:rPr>
          <w:rFonts w:hint="eastAsia" w:cs="Times New Roman"/>
          <w:b/>
          <w:bCs/>
          <w:lang w:val="en-US" w:eastAsia="en-US"/>
        </w:rPr>
        <w:t>结语</w:t>
      </w:r>
      <w:bookmarkEnd w:id="191"/>
      <w:bookmarkEnd w:id="192"/>
    </w:p>
    <w:p w14:paraId="27ACDC9A">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DRG/DIP医保支付方式改革是中国医疗卫生体制改革的关键一步，也是非公医疗行业的</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成人礼</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。它迫使每一家医疗机构直面一个根本性问题：我们创造的价值，能否覆盖我们消耗的资源？</w:t>
      </w:r>
    </w:p>
    <w:p w14:paraId="020467C1">
      <w:pPr>
        <w:rPr>
          <w:rFonts w:hint="eastAsia" w:ascii="Times New Roman" w:hAnsi="Times New Roman" w:eastAsia="宋体" w:cs="Times New Roman"/>
          <w:b w:val="0"/>
          <w:i w:val="0"/>
          <w:kern w:val="0"/>
          <w:sz w:val="24"/>
          <w:szCs w:val="22"/>
          <w:lang w:eastAsia="en-US"/>
        </w:rPr>
      </w:pPr>
      <w:r>
        <w:rPr>
          <w:rFonts w:hint="eastAsia" w:ascii="Times New Roman" w:hAnsi="Times New Roman" w:eastAsia="宋体" w:cs="Times New Roman"/>
          <w:b w:val="0"/>
          <w:i w:val="0"/>
          <w:kern w:val="0"/>
          <w:sz w:val="24"/>
          <w:szCs w:val="22"/>
          <w:lang w:eastAsia="en-US"/>
        </w:rPr>
        <w:t>本研究通过对</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的深度剖析，实证发现了</w:t>
      </w:r>
      <w:r>
        <w:rPr>
          <w:rFonts w:hint="eastAsia" w:ascii="Times New Roman" w:hAnsi="Times New Roman" w:eastAsia="宋体" w:cs="Times New Roman"/>
          <w:b/>
          <w:bCs/>
          <w:i w:val="0"/>
          <w:kern w:val="0"/>
          <w:sz w:val="24"/>
          <w:szCs w:val="22"/>
          <w:lang w:eastAsia="en-US"/>
        </w:rPr>
        <w:t>CMI阈值效应（U型，CMI*=1.27）、供应链双刃剑效应、管理能力决定恢复速度三大核心规律</w:t>
      </w:r>
      <w:r>
        <w:rPr>
          <w:rFonts w:hint="eastAsia" w:ascii="Times New Roman" w:hAnsi="Times New Roman" w:eastAsia="宋体" w:cs="Times New Roman"/>
          <w:b w:val="0"/>
          <w:i w:val="0"/>
          <w:kern w:val="0"/>
          <w:sz w:val="24"/>
          <w:szCs w:val="22"/>
          <w:lang w:eastAsia="en-US"/>
        </w:rPr>
        <w:t>，并在H1试点中完成了策略落地验证——盈余率从−8.8%改善至接近盈亏平衡，成功经验推广至</w:t>
      </w:r>
      <w:r>
        <w:rPr>
          <w:rFonts w:hint="eastAsia" w:cs="Times New Roman"/>
          <w:b w:val="0"/>
          <w:i w:val="0"/>
          <w:kern w:val="0"/>
          <w:sz w:val="24"/>
          <w:szCs w:val="22"/>
          <w:lang w:val="en-US" w:eastAsia="zh-CN"/>
        </w:rPr>
        <w:t>10多</w:t>
      </w:r>
      <w:r>
        <w:rPr>
          <w:rFonts w:hint="eastAsia" w:ascii="Times New Roman" w:hAnsi="Times New Roman" w:eastAsia="宋体" w:cs="Times New Roman"/>
          <w:b w:val="0"/>
          <w:i w:val="0"/>
          <w:kern w:val="0"/>
          <w:sz w:val="24"/>
          <w:szCs w:val="22"/>
          <w:lang w:eastAsia="en-US"/>
        </w:rPr>
        <w:t>家医院并产生显著效果。这些发现和实践不仅对</w:t>
      </w:r>
      <w:r>
        <w:rPr>
          <w:rFonts w:hint="eastAsia" w:cs="Times New Roman"/>
          <w:b w:val="0"/>
          <w:i w:val="0"/>
          <w:kern w:val="0"/>
          <w:sz w:val="24"/>
          <w:szCs w:val="22"/>
          <w:lang w:eastAsia="zh-CN"/>
        </w:rPr>
        <w:t>A医疗集团</w:t>
      </w:r>
      <w:r>
        <w:rPr>
          <w:rFonts w:hint="eastAsia" w:ascii="Times New Roman" w:hAnsi="Times New Roman" w:eastAsia="宋体" w:cs="Times New Roman"/>
          <w:b w:val="0"/>
          <w:i w:val="0"/>
          <w:kern w:val="0"/>
          <w:sz w:val="24"/>
          <w:szCs w:val="22"/>
          <w:lang w:eastAsia="en-US"/>
        </w:rPr>
        <w:t>具有直接价值，也为非公医疗行业从</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规模扩张</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向</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价值运营</w:t>
      </w:r>
      <w:r>
        <w:rPr>
          <w:rFonts w:hint="eastAsia" w:cs="Times New Roman"/>
          <w:b w:val="0"/>
          <w:i w:val="0"/>
          <w:kern w:val="0"/>
          <w:sz w:val="24"/>
          <w:szCs w:val="22"/>
          <w:lang w:eastAsia="zh-CN"/>
        </w:rPr>
        <w:t>”</w:t>
      </w:r>
      <w:r>
        <w:rPr>
          <w:rFonts w:hint="eastAsia" w:ascii="Times New Roman" w:hAnsi="Times New Roman" w:eastAsia="宋体" w:cs="Times New Roman"/>
          <w:b w:val="0"/>
          <w:i w:val="0"/>
          <w:kern w:val="0"/>
          <w:sz w:val="24"/>
          <w:szCs w:val="22"/>
          <w:lang w:eastAsia="en-US"/>
        </w:rPr>
        <w:t>的范式转型提供了可借鉴的路径。</w:t>
      </w:r>
    </w:p>
    <w:p w14:paraId="1D377B8B">
      <w:pPr>
        <w:rPr>
          <w:rFonts w:hAnsi="黑体"/>
          <w:b/>
          <w:sz w:val="32"/>
          <w:szCs w:val="32"/>
        </w:rPr>
      </w:pPr>
      <w:r>
        <w:rPr>
          <w:rFonts w:hint="eastAsia" w:ascii="Times New Roman" w:hAnsi="Times New Roman" w:eastAsia="宋体" w:cs="Times New Roman"/>
          <w:b w:val="0"/>
          <w:i w:val="0"/>
          <w:kern w:val="0"/>
          <w:sz w:val="24"/>
          <w:szCs w:val="22"/>
          <w:lang w:eastAsia="en-US"/>
        </w:rPr>
        <w:t>管理学研究的最高境界不在于提出方案，而在于验证方案在真实世界中的可行性与有效性。本研究力求以实证数据和落地成果回答这一命题。</w:t>
      </w:r>
      <w:r>
        <w:rPr>
          <w:rFonts w:hAnsi="黑体"/>
          <w:b/>
          <w:sz w:val="32"/>
          <w:szCs w:val="32"/>
        </w:rPr>
        <w:br w:type="page"/>
      </w:r>
    </w:p>
    <w:p w14:paraId="504D22FA">
      <w:pPr>
        <w:pStyle w:val="2"/>
        <w:bidi w:val="0"/>
        <w:rPr>
          <w:lang w:eastAsia="en-US"/>
        </w:rPr>
      </w:pPr>
      <w:bookmarkStart w:id="193" w:name="_Toc16607"/>
      <w:r>
        <w:rPr>
          <w:rFonts w:hint="eastAsia"/>
          <w:lang w:eastAsia="en-US"/>
        </w:rPr>
        <w:t>参考文献</w:t>
      </w:r>
      <w:bookmarkEnd w:id="193"/>
    </w:p>
    <w:p w14:paraId="08A1D36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ARROW K J. Uncertainty and the welfare economics of medical care[J]. American Economic Review, 1963, 53(5): 941-973</w:t>
      </w:r>
    </w:p>
    <w:p w14:paraId="12694EAB">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PAULY M V. The economics of moral hazard: Comment[J]. American Economic Review, 1968, 58(3): 531-537</w:t>
      </w:r>
    </w:p>
    <w:p w14:paraId="225800CC">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HURWICZ L. On informationally decentralized systems[C]//MCGUIRE C B, RADNER R. Decision and Organization. Amsterdam: North-Holland Publishing, 1972: 297-336</w:t>
      </w:r>
    </w:p>
    <w:p w14:paraId="170ED16B">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JENSEN M C, MECKLING W H. Theory of the firm: Managerial behavior, agency costs and ownership structure[J]. Journal of Financial Economics, 1976, 3(4): 305-360. https://doi.org/10.1016/0304-405X(76)90026-X</w:t>
      </w:r>
    </w:p>
    <w:p w14:paraId="72F0190C">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FETTER R B, SHIN Y, FREEMAN J L, et al. Case mix definition by diagnosis-related groups[J]. Medical Care, 1980, 18(2 Suppl): 1-53</w:t>
      </w:r>
    </w:p>
    <w:p w14:paraId="7F03E064">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EISENHARDT K M. Making fast strategic decisions in high-velocity environments[J]. Academy of Management Journal, 1989, 32(3): 543-576. https://doi.org/10.2307/256434</w:t>
      </w:r>
    </w:p>
    <w:p w14:paraId="1A941650">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HURWICZ L. The design of mechanisms for resource allocation[J]. American Economic Review, 1973, 63(1): 1-30</w:t>
      </w:r>
    </w:p>
    <w:p w14:paraId="1F33741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SHADISH W R, COOK T D, CAMPBELL D T. Experimental and quasi-experimental designs for generalized causal inference[M]. Boston: Houghton Mifflin, 2002</w:t>
      </w:r>
    </w:p>
    <w:p w14:paraId="3E4AD74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WAGNER A K, SOUMERAI S B, ZHANG F, et al. Segmented regression analysis of interrupted time series studies in medication use research[J]. Journal of Clinical Pharmacy and Therapeutics, 2002, 27(4): 299-309</w:t>
      </w:r>
    </w:p>
    <w:p w14:paraId="6A510DD2">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PORTER M E, TEISBERG E O. Redefining health care: Creating value-based competition on results[M]. Boston: Harvard Business School Press, 2006</w:t>
      </w:r>
    </w:p>
    <w:p w14:paraId="0F83FBEB">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PORTER M E. What is value in health care?[J]. New England Journal of Medicine, 2010, 363(26): 2477-2481. https://doi.org/10.1056/NEJMp1011024</w:t>
      </w:r>
    </w:p>
    <w:p w14:paraId="61E901D5">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KAPLAN R S, PORTER M E. How to solve the cost crisis in health care[J]. Harvard Business Review, 2011, 89(9): 46-64</w:t>
      </w:r>
    </w:p>
    <w:p w14:paraId="475CD3FD">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PORTER M E, LEE T H. The strategy that will fix health care[J]. Harvard Business Review, 2013, 91(10): 50-70</w:t>
      </w:r>
    </w:p>
    <w:p w14:paraId="7576C6BE">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HORNGREN C T, DATAR S M, RAJAN M V. Cost accounting: A managerial emphasis[M]. 15th ed. Upper Saddle River, NJ: Pearson, 2015</w:t>
      </w:r>
    </w:p>
    <w:p w14:paraId="0A86CECD">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KONTOPANTELIS E, DORAN T, SPRINGATE D A, et al. Regression based quasi-experimental approach when randomisation is not an option: Interrupted time series analysis[J]. BMJ, 2015, 350: h2750. https://doi.org/10.1136/bmj.h2750</w:t>
      </w:r>
    </w:p>
    <w:p w14:paraId="3BA0E6A8">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GAYNOR M, HO K, TOWN R J. The industrial organization of health-care markets[J]. Journal of Economic Literature, 2015, 53(2): 235-284. https://doi.org/10.1257/jel.53.2.235</w:t>
      </w:r>
    </w:p>
    <w:p w14:paraId="2731007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LAUGESEN M J. Fixing medical prices: How physicians are paid[M]. Cambridge, MA: Harvard University Press, 2016</w:t>
      </w:r>
    </w:p>
    <w:p w14:paraId="5F113F6C">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BERNAL J L, CUMMINS S, GASPARRINI A. Interrupted time series regression for the evaluation of public health interventions: A tutorial[J]. International Journal of Epidemiology, 2017, 46(1): 348-355. https://doi.org/10.1093/ije/dyw098</w:t>
      </w:r>
    </w:p>
    <w:p w14:paraId="1B27010E">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邓聚龙。灰色系统理论教程 [M]. 武汉：华中理工大学出版社,1989</w:t>
      </w:r>
    </w:p>
    <w:p w14:paraId="0F5689D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WILLIAMSON O E. Transaction cost economics: The natural progression [J]. American Economic Review, 2010, 100 (3): 673-690. https://doi.org/10.1257/aer.100.3.673</w:t>
      </w:r>
    </w:p>
    <w:p w14:paraId="7E293BB8">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YIN R K. Case study research and applications: Design and methods[M]. 6th ed. Thousand Oaks, CA: Sage, 2018</w:t>
      </w:r>
    </w:p>
    <w:p w14:paraId="0BE1F3E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LOPEZ BERNAL J, CUMMINS S, GASPARRINI A. The use of controls in interrupted time series studies of public health interventions[J]. International Journal of Epidemiology, 2018, 47(6): 2014-2020. https://doi.org/10.1093/ije/dyy135</w:t>
      </w:r>
    </w:p>
    <w:p w14:paraId="4A88CD54">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MENG Q, MILLS A, WANG L, et al. What can we learn from China's health system reform?[J]. BMJ, 2019, 365: l2349. https://doi.org/10.1136/bmj.l2349</w:t>
      </w:r>
    </w:p>
    <w:p w14:paraId="082315AD">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YIP W, FU H, CHEN A T, et al. 10 years of health-care reform in China: Progress and gaps in universal health coverage[J]. Lancet, 2019, 394(10204): 1192-1204. https://doi.org/10.1016/S0140-6736(19)32136-1</w:t>
      </w:r>
    </w:p>
    <w:p w14:paraId="70A8554A">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A 医疗集团. 2022-2025 公开报告 [R]. 匿名披露,2022-2025</w:t>
      </w:r>
    </w:p>
    <w:p w14:paraId="3FAC0DD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TEISBERG E, WALLACE S, O'HARA S. Defining and implementing value-based health care: A strategic framework [J]. Academic Medicine, 2020, 95 (5): 682-685. https://doi.org/10.1097/ACM.000000000003278</w:t>
      </w:r>
    </w:p>
    <w:p w14:paraId="54520B5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中国非公立医疗机构协会. 2024 年非公医疗行业发展报告 [R]. 北京：中国非公立医疗机构协会,2024</w:t>
      </w:r>
    </w:p>
    <w:p w14:paraId="670C3BBC">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BUSSE R, SCHIFFINGER M, SCHREYÖGG J. Diagnosis Related Groups in Europe [M]. Paris: OECD Publishing, 2013. https://doi.org/10.1787/9789264201911-en</w:t>
      </w:r>
    </w:p>
    <w:p w14:paraId="29EB5C37">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国家医疗保障局。关于印发 DRG/DIP 支付方式改革三年行动计划的通知（医保发〔2021〕48 号）[Z/OL]. 2021-11-26 [2026-02-26]. https://www.nhsa.gov.cn/art/2021/11/26/art_37_6936.html</w:t>
      </w:r>
    </w:p>
    <w:p w14:paraId="2839500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国家医疗保障局。关于印发按病组和病种分值付费 2.0 版分组方案的通知（医保办发〔2024〕27 号）[Z/OL]. 2024-07-23 [2026-02-26].</w:t>
      </w:r>
    </w:p>
    <w:p w14:paraId="64CADAA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国家卫生健康委员会. 2023 年我国卫生健康事业发展统计公报 [R/OL]. 北京,2024 [2026-02-26]. https://www.nhc.gov.cn/</w:t>
      </w:r>
    </w:p>
    <w:p w14:paraId="55A8EC6F">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国家卫生健康委员会。医疗机构临床路径管理指导原则（2024 年版）[Z/OL]. 国卫医政发〔2024〕13 号,2024 [2026-02-26]. https://www.nhc.gov.cn/yzygj/s7659/202403/9b70d70f70f443a89d70d70f70f443a8.shtml</w:t>
      </w:r>
    </w:p>
    <w:p w14:paraId="194FF297">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申曙光,雷晓燕。后疫情时代医保基金管理 [J]. 中国医疗保险,2021 (04): 9-14</w:t>
      </w:r>
    </w:p>
    <w:p w14:paraId="30802FAC">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张新平,杨燕绥。医药集中采购制度研究 [J]. 中国卫生经济,2022, 41 (02): 5-9</w:t>
      </w:r>
    </w:p>
    <w:p w14:paraId="2872F95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李玲,陈秋霖。非公医疗发展模式研究 [J]. 中国医院管理,2023, 43 (06): 1-5</w:t>
      </w:r>
    </w:p>
    <w:p w14:paraId="444ACAE0">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蒋肃丞。医保支付方式改革下 A 公立医院医疗收入质量提升研究 [D]. 上海：上海交通大学,2023</w:t>
      </w:r>
    </w:p>
    <w:p w14:paraId="51795C40">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罗慧. DIP 医保支付方式改革对基层医院的控费效果评价研究 [D]. 长沙：中南大学,2023</w:t>
      </w:r>
    </w:p>
    <w:p w14:paraId="3E1D0AA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闫璐瑶. DRG 对公立医院运营效率的影响 [J]. 现代医院管理,2024, 22 (02): 50-53. https://doi.org/10.3969/j.issn.1672-4232.2024.02.013</w:t>
      </w:r>
    </w:p>
    <w:p w14:paraId="78E18199">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李梦滢,孙志成,唐尧,等。基于 DRG 的公立医院临床路径管理体系建设 [J]. 卫生经济研究,2022, 39 (02): 67-69,74. https://doi.org/10.14055/j.cnki.37-1486/f.2022.02.018</w:t>
      </w:r>
    </w:p>
    <w:p w14:paraId="6B677116">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武逸. DRG 付费下的成本管理策略 [J]. 中国卫生经济,2024, 43 (05): 72-76. https://doi.org/10.14055/j.cnki.38-1272/f.2024.05.016</w:t>
      </w:r>
    </w:p>
    <w:p w14:paraId="6DDD24B2">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国家医疗保障局. 2024 年医疗保障事业发展统计快报 [EB/OL]. (2025-03-21)[2026-02-26]. http://www.nhsa.gov.cn</w:t>
      </w:r>
    </w:p>
    <w:p w14:paraId="41BD43F4">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国家医疗保障局. 2023 年全国医疗保障事业发展统计公报 [EB/OL]. (2024-07-25)[2026-02-26]. https://www.nhsa.gov.cn/art/2024/7/25/art_7_13979.html</w:t>
      </w:r>
    </w:p>
    <w:p w14:paraId="661BB4B5">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国家统计局。中国统计年鉴 - 2024 [M]. 北京：中国统计出版社,2024</w:t>
      </w:r>
    </w:p>
    <w:p w14:paraId="6BE697FD">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中国卫生健康统计年鉴编委会。中国卫生健康统计年鉴 - 2024 [M]. 北京：中国协和医科大学出版社,2024</w:t>
      </w:r>
    </w:p>
    <w:p w14:paraId="4549D831">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Wind 金融终端。行业指数 - 医疗服务指数（CI005323）－ 估值指标 - 市盈率（PE-TTM）&amp; 消费医疗细分板块（口腔 / 眼科）估值数据 [DB/OL]. (2024)[2026-02-26]. https://www.wind.com.cn.</w:t>
      </w:r>
    </w:p>
    <w:p w14:paraId="05D965DC">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Dafny L S. How Do Hospitals Respond to Price Changes?[J]. American Economic Review, 2005, 95(5): 1525-1547. https://doi.org/10.1257/000282805775014438</w:t>
      </w:r>
    </w:p>
    <w:p w14:paraId="064ED5B3">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Cutler D M, Zeckhauser R J. The Anatomy of Health Insurance[C]//Culyer A J, Newhouse J P. Handbook of Health Economics. Vol.1. Amsterdam: Elsevier, 2000: 563-643. https://doi.org/10.1016/S1574-0064(00)80026-4</w:t>
      </w:r>
    </w:p>
    <w:p w14:paraId="7B6650CF">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pPr>
      <w:r>
        <w:rPr>
          <w:rFonts w:ascii="Times New Roman" w:hAnsi="Times New Roman" w:eastAsia="宋体"/>
          <w:sz w:val="21"/>
        </w:rPr>
        <w:t xml:space="preserve"> Quentin W, Scheller-Kreinsen D, Busse R. DRG-type Hospital Payment Systems in Europe: Central Trends and Future Challenges[J]. Health Policy, 2013, 112(1-2): 10-18. https://doi.org/10.1016/j.healthpol.2013.03.005</w:t>
      </w:r>
    </w:p>
    <w:p w14:paraId="5F55EDF9">
      <w:pPr>
        <w:widowControl/>
        <w:spacing w:before="60" w:after="0" w:line="320" w:lineRule="exact"/>
        <w:ind w:left="839" w:firstLine="0" w:firstLineChars="0"/>
        <w:jc w:val="both"/>
        <w:textAlignment w:val="auto"/>
        <w:rPr>
          <w:rFonts w:hint="eastAsia" w:ascii="Times New Roman" w:hAnsi="Times New Roman" w:eastAsia="宋体" w:cs="Times New Roman"/>
          <w:b w:val="0"/>
          <w:i w:val="0"/>
          <w:kern w:val="0"/>
          <w:sz w:val="21"/>
          <w:szCs w:val="22"/>
          <w:lang w:eastAsia="en-US"/>
        </w:rPr>
        <w:sectPr>
          <w:type w:val="continuous"/>
          <w:pgSz w:w="11906" w:h="16838"/>
          <w:pgMar w:top="1701" w:right="1474" w:bottom="1417" w:left="1474" w:header="1134" w:footer="992" w:gutter="0"/>
          <w:pgNumType w:fmt="decimal"/>
          <w:cols w:space="720" w:num="1"/>
          <w:docGrid w:linePitch="360" w:charSpace="0"/>
        </w:sectPr>
      </w:pPr>
      <w:r>
        <w:rPr>
          <w:rFonts w:ascii="Times New Roman" w:hAnsi="Times New Roman" w:eastAsia="宋体"/>
          <w:sz w:val="21"/>
        </w:rPr>
        <w:t xml:space="preserve"> LAFFONT J J, MARTIMORT D. The Theory of Incentives: The Principal-Agent Model[M]. Princeton: Princeton University Press, 2002. https://doi.org/10.1515/9781400829453</w:t>
      </w:r>
    </w:p>
    <w:p w14:paraId="0BC41571">
      <w:pPr>
        <w:pStyle w:val="2"/>
        <w:bidi w:val="0"/>
        <w:spacing w:before="60" w:after="0" w:line="320" w:lineRule="exact"/>
        <w:ind w:left="839" w:firstLine="0"/>
        <w:rPr>
          <w:lang w:val="en-US" w:eastAsia="en-US"/>
        </w:rPr>
      </w:pPr>
      <w:bookmarkStart w:id="194" w:name="_Toc4379"/>
      <w:bookmarkStart w:id="195" w:name="_Toc14931"/>
      <w:r>
        <w:rPr>
          <w:rFonts w:hint="eastAsia" w:ascii="Times New Roman" w:hAnsi="Times New Roman" w:eastAsia="宋体"/>
          <w:lang w:val="en-US" w:eastAsia="en-US"/>
        </w:rPr>
        <w:t xml:space="preserve">附录  </w:t>
      </w:r>
      <w:r>
        <w:rPr>
          <w:rFonts w:hint="eastAsia" w:ascii="Times New Roman" w:hAnsi="Times New Roman" w:eastAsia="宋体"/>
          <w:lang w:val="en-US" w:eastAsia="zh-CN"/>
        </w:rPr>
        <w:t>A医疗集团</w:t>
      </w:r>
      <w:r>
        <w:rPr>
          <w:rFonts w:hint="eastAsia" w:ascii="Times New Roman" w:hAnsi="Times New Roman" w:eastAsia="宋体"/>
          <w:lang w:val="en-US" w:eastAsia="en-US"/>
        </w:rPr>
        <w:t>医疗收入质量优化方案可行性访谈问卷</w:t>
      </w:r>
      <w:bookmarkEnd w:id="194"/>
      <w:bookmarkEnd w:id="195"/>
    </w:p>
    <w:p w14:paraId="715539F2">
      <w:pPr>
        <w:keepNext/>
        <w:keepLines/>
        <w:spacing w:before="60" w:after="0" w:line="320" w:lineRule="exact"/>
        <w:ind w:left="839" w:firstLine="0"/>
        <w:jc w:val="left"/>
        <w:outlineLvl w:val="1"/>
        <w:rPr>
          <w:rFonts w:ascii="Calibri" w:hAnsi="Calibri" w:eastAsia="宋体" w:cs="Times New Roman"/>
          <w:b/>
          <w:bCs/>
          <w:color w:val="auto"/>
          <w:sz w:val="26"/>
          <w:szCs w:val="26"/>
          <w:lang w:val="en-US" w:eastAsia="en-US" w:bidi="ar-SA"/>
        </w:rPr>
      </w:pPr>
      <w:bookmarkStart w:id="196" w:name="_Toc15155"/>
      <w:bookmarkStart w:id="197" w:name="_Toc25188"/>
      <w:r>
        <w:rPr>
          <w:rFonts w:hint="eastAsia" w:ascii="Times New Roman" w:hAnsi="Times New Roman" w:eastAsia="宋体" w:cs="Times New Roman"/>
          <w:b/>
          <w:bCs/>
          <w:i w:val="0"/>
          <w:color w:val="auto"/>
          <w:sz w:val="21"/>
          <w:szCs w:val="26"/>
          <w:lang w:val="en-US" w:eastAsia="en-US" w:bidi="ar-SA"/>
        </w:rPr>
        <w:t>一、访谈目的</w:t>
      </w:r>
      <w:bookmarkEnd w:id="196"/>
      <w:bookmarkEnd w:id="197"/>
    </w:p>
    <w:p w14:paraId="7E769E8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本次访谈旨在验证《医保支付方式改革下A医疗集团医疗收入质量优化研究》中提出的优化方案的实践可行性与临床接受度,为EMBA学位论文提供定性数据支撑。</w:t>
      </w:r>
    </w:p>
    <w:p w14:paraId="0592B50E">
      <w:pPr>
        <w:keepNext/>
        <w:keepLines/>
        <w:spacing w:before="60" w:after="0" w:line="320" w:lineRule="exact"/>
        <w:ind w:left="839" w:firstLine="0"/>
        <w:jc w:val="left"/>
        <w:outlineLvl w:val="1"/>
        <w:rPr>
          <w:rFonts w:ascii="Calibri" w:hAnsi="Calibri" w:eastAsia="宋体" w:cs="Times New Roman"/>
          <w:b/>
          <w:bCs/>
          <w:color w:val="auto"/>
          <w:sz w:val="26"/>
          <w:szCs w:val="26"/>
          <w:lang w:val="en-US" w:eastAsia="en-US" w:bidi="ar-SA"/>
        </w:rPr>
      </w:pPr>
      <w:bookmarkStart w:id="198" w:name="_Toc7802"/>
      <w:bookmarkStart w:id="199" w:name="_Toc11318"/>
      <w:r>
        <w:rPr>
          <w:rFonts w:hint="eastAsia" w:ascii="Times New Roman" w:hAnsi="Times New Roman" w:eastAsia="宋体" w:cs="Times New Roman"/>
          <w:b/>
          <w:bCs/>
          <w:i w:val="0"/>
          <w:color w:val="auto"/>
          <w:sz w:val="21"/>
          <w:szCs w:val="26"/>
          <w:lang w:val="en-US" w:eastAsia="en-US" w:bidi="ar-SA"/>
        </w:rPr>
        <w:t>二、访谈对象（</w:t>
      </w:r>
      <w:r>
        <w:rPr>
          <w:rFonts w:hint="default" w:ascii="Times New Roman" w:hAnsi="Times New Roman" w:eastAsia="宋体" w:cs="Times New Roman"/>
          <w:b/>
          <w:bCs/>
          <w:i w:val="0"/>
          <w:color w:val="auto"/>
          <w:sz w:val="21"/>
          <w:szCs w:val="26"/>
          <w:lang w:val="en-US" w:eastAsia="zh-CN" w:bidi="ar-SA"/>
        </w:rPr>
        <w:t>15</w:t>
      </w:r>
      <w:r>
        <w:rPr>
          <w:rFonts w:hint="eastAsia" w:ascii="Times New Roman" w:hAnsi="Times New Roman" w:eastAsia="宋体" w:cs="Times New Roman"/>
          <w:b/>
          <w:bCs/>
          <w:i w:val="0"/>
          <w:color w:val="auto"/>
          <w:sz w:val="21"/>
          <w:szCs w:val="26"/>
          <w:lang w:val="en-US" w:eastAsia="en-US" w:bidi="ar-SA"/>
        </w:rPr>
        <w:t>人）</w:t>
      </w:r>
      <w:bookmarkEnd w:id="198"/>
      <w:bookmarkEnd w:id="199"/>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9"/>
        <w:gridCol w:w="2239"/>
        <w:gridCol w:w="2239"/>
        <w:gridCol w:w="2239"/>
      </w:tblGrid>
      <w:tr w14:paraId="0F2F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68B7735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医院</w:t>
            </w:r>
          </w:p>
        </w:tc>
        <w:tc>
          <w:tcPr>
            <w:tcW w:w="2239" w:type="dxa"/>
          </w:tcPr>
          <w:p w14:paraId="2AABB44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人数</w:t>
            </w:r>
          </w:p>
        </w:tc>
        <w:tc>
          <w:tcPr>
            <w:tcW w:w="2239" w:type="dxa"/>
          </w:tcPr>
          <w:p w14:paraId="5F8428B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建议科室</w:t>
            </w:r>
          </w:p>
        </w:tc>
        <w:tc>
          <w:tcPr>
            <w:tcW w:w="2239" w:type="dxa"/>
          </w:tcPr>
          <w:p w14:paraId="494002B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选择理由</w:t>
            </w:r>
          </w:p>
        </w:tc>
      </w:tr>
      <w:tr w14:paraId="4997A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A8871E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H1医院</w:t>
            </w:r>
          </w:p>
        </w:tc>
        <w:tc>
          <w:tcPr>
            <w:tcW w:w="2239" w:type="dxa"/>
          </w:tcPr>
          <w:p w14:paraId="6AEAF42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5人</w:t>
            </w:r>
          </w:p>
        </w:tc>
        <w:tc>
          <w:tcPr>
            <w:tcW w:w="2239" w:type="dxa"/>
          </w:tcPr>
          <w:p w14:paraId="2FFD289C">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骨科、普外科、心内科、肿瘤科、康复科</w:t>
            </w:r>
          </w:p>
        </w:tc>
        <w:tc>
          <w:tcPr>
            <w:tcW w:w="2239" w:type="dxa"/>
          </w:tcPr>
          <w:p w14:paraId="5819068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覆盖四象限科室类型</w:t>
            </w:r>
          </w:p>
        </w:tc>
      </w:tr>
      <w:tr w14:paraId="1FB6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2A7F73D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H2医院</w:t>
            </w:r>
          </w:p>
        </w:tc>
        <w:tc>
          <w:tcPr>
            <w:tcW w:w="2239" w:type="dxa"/>
          </w:tcPr>
          <w:p w14:paraId="7672A5F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5人</w:t>
            </w:r>
          </w:p>
        </w:tc>
        <w:tc>
          <w:tcPr>
            <w:tcW w:w="2239" w:type="dxa"/>
          </w:tcPr>
          <w:p w14:paraId="3435D68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骨科、普外科、神经内科、肿瘤科、康复科</w:t>
            </w:r>
          </w:p>
        </w:tc>
        <w:tc>
          <w:tcPr>
            <w:tcW w:w="2239" w:type="dxa"/>
          </w:tcPr>
          <w:p w14:paraId="7C9A38F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覆盖四象限科室类型</w:t>
            </w:r>
          </w:p>
        </w:tc>
      </w:tr>
      <w:tr w14:paraId="1DE42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139685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H3医院</w:t>
            </w:r>
          </w:p>
        </w:tc>
        <w:tc>
          <w:tcPr>
            <w:tcW w:w="2239" w:type="dxa"/>
          </w:tcPr>
          <w:p w14:paraId="08ECCDA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5人</w:t>
            </w:r>
          </w:p>
        </w:tc>
        <w:tc>
          <w:tcPr>
            <w:tcW w:w="2239" w:type="dxa"/>
          </w:tcPr>
          <w:p w14:paraId="0881C07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骨科、普外科、神经外科、肿瘤科、康复科</w:t>
            </w:r>
          </w:p>
        </w:tc>
        <w:tc>
          <w:tcPr>
            <w:tcW w:w="2239" w:type="dxa"/>
          </w:tcPr>
          <w:p w14:paraId="7CA0DEE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覆盖四象限科室类型</w:t>
            </w:r>
          </w:p>
        </w:tc>
      </w:tr>
      <w:tr w14:paraId="5AF6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6E2B6E4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科室类型</w:t>
            </w:r>
          </w:p>
        </w:tc>
        <w:tc>
          <w:tcPr>
            <w:tcW w:w="2239" w:type="dxa"/>
          </w:tcPr>
          <w:p w14:paraId="4634608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四象限定位</w:t>
            </w:r>
          </w:p>
        </w:tc>
        <w:tc>
          <w:tcPr>
            <w:tcW w:w="2239" w:type="dxa"/>
          </w:tcPr>
          <w:p w14:paraId="1C5F6E3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代表科室</w:t>
            </w:r>
          </w:p>
        </w:tc>
        <w:tc>
          <w:tcPr>
            <w:tcW w:w="2239" w:type="dxa"/>
          </w:tcPr>
          <w:p w14:paraId="7D1C198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访谈价值</w:t>
            </w:r>
          </w:p>
        </w:tc>
      </w:tr>
      <w:tr w14:paraId="7479F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2814E98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高CMI+高边际</w:t>
            </w:r>
          </w:p>
        </w:tc>
        <w:tc>
          <w:tcPr>
            <w:tcW w:w="2239" w:type="dxa"/>
          </w:tcPr>
          <w:p w14:paraId="715418E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Ⅰ类（战略发展）</w:t>
            </w:r>
          </w:p>
        </w:tc>
        <w:tc>
          <w:tcPr>
            <w:tcW w:w="2239" w:type="dxa"/>
          </w:tcPr>
          <w:p w14:paraId="7D523CE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骨科</w:t>
            </w:r>
          </w:p>
        </w:tc>
        <w:tc>
          <w:tcPr>
            <w:tcW w:w="2239" w:type="dxa"/>
          </w:tcPr>
          <w:p w14:paraId="0D7EF3B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验证</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边际贡献优先</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认同度</w:t>
            </w:r>
          </w:p>
        </w:tc>
      </w:tr>
      <w:tr w14:paraId="59D79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1536CEE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低CMI+高边际</w:t>
            </w:r>
          </w:p>
        </w:tc>
        <w:tc>
          <w:tcPr>
            <w:tcW w:w="2239" w:type="dxa"/>
          </w:tcPr>
          <w:p w14:paraId="17192F1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Ⅱ类（效率优化）</w:t>
            </w:r>
          </w:p>
        </w:tc>
        <w:tc>
          <w:tcPr>
            <w:tcW w:w="2239" w:type="dxa"/>
          </w:tcPr>
          <w:p w14:paraId="191ADF2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普外科、康复科</w:t>
            </w:r>
          </w:p>
        </w:tc>
        <w:tc>
          <w:tcPr>
            <w:tcW w:w="2239" w:type="dxa"/>
          </w:tcPr>
          <w:p w14:paraId="33FB59B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验证规模扩张策略接受度</w:t>
            </w:r>
          </w:p>
        </w:tc>
      </w:tr>
      <w:tr w14:paraId="0639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73BFB41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高CMI+低边际</w:t>
            </w:r>
          </w:p>
        </w:tc>
        <w:tc>
          <w:tcPr>
            <w:tcW w:w="2239" w:type="dxa"/>
          </w:tcPr>
          <w:p w14:paraId="2F82073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Ⅲ类（战略观察）</w:t>
            </w:r>
          </w:p>
        </w:tc>
        <w:tc>
          <w:tcPr>
            <w:tcW w:w="2239" w:type="dxa"/>
          </w:tcPr>
          <w:p w14:paraId="749FC2D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神经外科、肿瘤科</w:t>
            </w:r>
          </w:p>
        </w:tc>
        <w:tc>
          <w:tcPr>
            <w:tcW w:w="2239" w:type="dxa"/>
          </w:tcPr>
          <w:p w14:paraId="5D83CCD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验证</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成本重构</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策略可行性</w:t>
            </w:r>
          </w:p>
        </w:tc>
      </w:tr>
      <w:tr w14:paraId="73C65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9" w:type="dxa"/>
          </w:tcPr>
          <w:p w14:paraId="068CF21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低CMI+低边际</w:t>
            </w:r>
          </w:p>
        </w:tc>
        <w:tc>
          <w:tcPr>
            <w:tcW w:w="2239" w:type="dxa"/>
          </w:tcPr>
          <w:p w14:paraId="1F5DD19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Ⅳ类（逐步收缩）</w:t>
            </w:r>
          </w:p>
        </w:tc>
        <w:tc>
          <w:tcPr>
            <w:tcW w:w="2239" w:type="dxa"/>
          </w:tcPr>
          <w:p w14:paraId="69B4635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部分内科</w:t>
            </w:r>
          </w:p>
        </w:tc>
        <w:tc>
          <w:tcPr>
            <w:tcW w:w="2239" w:type="dxa"/>
          </w:tcPr>
          <w:p w14:paraId="6E1D382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可选，非必须</w:t>
            </w:r>
          </w:p>
        </w:tc>
      </w:tr>
    </w:tbl>
    <w:p w14:paraId="78BCD391">
      <w:pPr>
        <w:keepNext/>
        <w:keepLines/>
        <w:spacing w:before="60" w:after="0" w:line="320" w:lineRule="exact"/>
        <w:ind w:left="839" w:firstLine="0"/>
        <w:jc w:val="left"/>
        <w:outlineLvl w:val="1"/>
        <w:rPr>
          <w:rFonts w:ascii="Calibri" w:hAnsi="Calibri" w:eastAsia="宋体" w:cs="Times New Roman"/>
          <w:b/>
          <w:bCs/>
          <w:color w:val="auto"/>
          <w:sz w:val="26"/>
          <w:szCs w:val="26"/>
          <w:lang w:val="en-US" w:eastAsia="en-US" w:bidi="ar-SA"/>
        </w:rPr>
      </w:pPr>
      <w:bookmarkStart w:id="200" w:name="_Toc3275"/>
      <w:bookmarkStart w:id="201" w:name="_Toc3129"/>
      <w:r>
        <w:rPr>
          <w:rFonts w:hint="eastAsia" w:ascii="Times New Roman" w:hAnsi="Times New Roman" w:eastAsia="宋体" w:cs="Times New Roman"/>
          <w:b/>
          <w:bCs/>
          <w:i w:val="0"/>
          <w:color w:val="auto"/>
          <w:sz w:val="21"/>
          <w:szCs w:val="26"/>
          <w:lang w:val="en-US" w:eastAsia="en-US" w:bidi="ar-SA"/>
        </w:rPr>
        <w:t>三、访谈问卷（科主任版）</w:t>
      </w:r>
      <w:bookmarkEnd w:id="200"/>
      <w:bookmarkEnd w:id="201"/>
    </w:p>
    <w:p w14:paraId="744D7FC9">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02" w:name="_Toc4151"/>
      <w:bookmarkStart w:id="203" w:name="_Toc23497"/>
      <w:r>
        <w:rPr>
          <w:rFonts w:hint="eastAsia" w:ascii="Times New Roman" w:hAnsi="Times New Roman" w:eastAsia="宋体" w:cs="Times New Roman"/>
          <w:b/>
          <w:bCs/>
          <w:i w:val="0"/>
          <w:color w:val="auto"/>
          <w:sz w:val="21"/>
          <w:szCs w:val="22"/>
          <w:lang w:val="en-US" w:eastAsia="en-US" w:bidi="ar-SA"/>
        </w:rPr>
        <w:t>第一部分：基本信息</w:t>
      </w:r>
      <w:bookmarkEnd w:id="202"/>
      <w:bookmarkEnd w:id="203"/>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18F9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00CC1E2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项目</w:t>
            </w:r>
          </w:p>
        </w:tc>
        <w:tc>
          <w:tcPr>
            <w:tcW w:w="4479" w:type="dxa"/>
          </w:tcPr>
          <w:p w14:paraId="510D5BE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填写</w:t>
            </w:r>
          </w:p>
        </w:tc>
      </w:tr>
      <w:tr w14:paraId="16E7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2FD493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所在医院</w:t>
            </w:r>
          </w:p>
        </w:tc>
        <w:tc>
          <w:tcPr>
            <w:tcW w:w="4479" w:type="dxa"/>
          </w:tcPr>
          <w:p w14:paraId="0ACE60D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H1医院  □ H2医院  □ H3医院</w:t>
            </w:r>
          </w:p>
        </w:tc>
      </w:tr>
      <w:tr w14:paraId="3F38C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213D824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科室名称</w:t>
            </w:r>
          </w:p>
        </w:tc>
        <w:tc>
          <w:tcPr>
            <w:tcW w:w="4479" w:type="dxa"/>
          </w:tcPr>
          <w:p w14:paraId="5A04E33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__________________</w:t>
            </w:r>
          </w:p>
        </w:tc>
      </w:tr>
      <w:tr w14:paraId="1EBAC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155F10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职务</w:t>
            </w:r>
          </w:p>
        </w:tc>
        <w:tc>
          <w:tcPr>
            <w:tcW w:w="4479" w:type="dxa"/>
          </w:tcPr>
          <w:p w14:paraId="10FA951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科主任  □ 副主任  □ 其他________</w:t>
            </w:r>
          </w:p>
        </w:tc>
      </w:tr>
      <w:tr w14:paraId="4F892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65CC3E8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从业年限</w:t>
            </w:r>
          </w:p>
        </w:tc>
        <w:tc>
          <w:tcPr>
            <w:tcW w:w="4479" w:type="dxa"/>
          </w:tcPr>
          <w:p w14:paraId="5C6A190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5年以下  □ 5</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10年  □ 10</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20年  □ 20年以上</w:t>
            </w:r>
          </w:p>
        </w:tc>
      </w:tr>
      <w:tr w14:paraId="235F0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5852207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科室2024年医保盈亏情况</w:t>
            </w:r>
          </w:p>
        </w:tc>
        <w:tc>
          <w:tcPr>
            <w:tcW w:w="4479" w:type="dxa"/>
          </w:tcPr>
          <w:p w14:paraId="1E1BE67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 盈余  □ 基本持平  □ 小幅亏损（&lt;10%）  □ 较大亏损（&gt;10%）  □ 不清楚</w:t>
            </w:r>
          </w:p>
        </w:tc>
      </w:tr>
      <w:tr w14:paraId="4F81F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0FB8B0B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访谈日期</w:t>
            </w:r>
          </w:p>
        </w:tc>
        <w:tc>
          <w:tcPr>
            <w:tcW w:w="4479" w:type="dxa"/>
          </w:tcPr>
          <w:p w14:paraId="24B3204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____年____月____日</w:t>
            </w:r>
          </w:p>
        </w:tc>
      </w:tr>
    </w:tbl>
    <w:p w14:paraId="0AA4A9CF">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04" w:name="_Toc23530"/>
      <w:bookmarkStart w:id="205" w:name="_Toc8344"/>
      <w:r>
        <w:rPr>
          <w:rFonts w:hint="eastAsia" w:ascii="Times New Roman" w:hAnsi="Times New Roman" w:eastAsia="宋体" w:cs="Times New Roman"/>
          <w:b/>
          <w:bCs/>
          <w:i w:val="0"/>
          <w:color w:val="auto"/>
          <w:sz w:val="21"/>
          <w:szCs w:val="22"/>
          <w:lang w:val="en-US" w:eastAsia="en-US" w:bidi="ar-SA"/>
        </w:rPr>
        <w:t>第二部分：现状</w:t>
      </w:r>
      <w:r>
        <w:rPr>
          <w:rFonts w:hint="eastAsia" w:ascii="Times New Roman" w:hAnsi="Times New Roman" w:eastAsia="宋体" w:cs="Times New Roman"/>
          <w:b/>
          <w:bCs/>
          <w:i w:val="0"/>
          <w:color w:val="auto"/>
          <w:kern w:val="2"/>
          <w:sz w:val="21"/>
          <w:szCs w:val="22"/>
          <w:lang w:val="en-US" w:eastAsia="en-US" w:bidi="ar-SA"/>
        </w:rPr>
        <w:t>认知（约</w:t>
      </w:r>
      <w:r>
        <w:rPr>
          <w:rFonts w:hint="eastAsia" w:ascii="Times New Roman" w:hAnsi="Times New Roman" w:eastAsia="宋体" w:cs="Times New Roman"/>
          <w:b/>
          <w:bCs/>
          <w:i w:val="0"/>
          <w:color w:val="auto"/>
          <w:sz w:val="21"/>
          <w:szCs w:val="26"/>
          <w:lang w:val="en-US" w:eastAsia="en-US" w:bidi="ar-SA"/>
        </w:rPr>
        <w:t>5</w:t>
      </w:r>
      <w:r>
        <w:rPr>
          <w:rFonts w:hint="eastAsia" w:ascii="Times New Roman" w:hAnsi="Times New Roman" w:eastAsia="宋体" w:cs="Times New Roman"/>
          <w:b/>
          <w:bCs/>
          <w:i w:val="0"/>
          <w:color w:val="auto"/>
          <w:kern w:val="2"/>
          <w:sz w:val="21"/>
          <w:szCs w:val="22"/>
          <w:lang w:val="en-US" w:eastAsia="en-US" w:bidi="ar-SA"/>
        </w:rPr>
        <w:t>分钟）</w:t>
      </w:r>
      <w:bookmarkEnd w:id="204"/>
      <w:bookmarkEnd w:id="205"/>
    </w:p>
    <w:p w14:paraId="26F4771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Q1. 您认为目前科室医保控费的最大困难是什么？</w:t>
      </w:r>
      <w:r>
        <w:rPr>
          <w:rFonts w:hint="eastAsia" w:ascii="Times New Roman" w:hAnsi="Times New Roman" w:eastAsia="宋体" w:cs="Times New Roman"/>
          <w:b w:val="0"/>
          <w:i w:val="0"/>
          <w:kern w:val="0"/>
          <w:sz w:val="21"/>
          <w:szCs w:val="22"/>
          <w:lang w:eastAsia="en-US"/>
        </w:rPr>
        <w:t>（最多选3项）</w:t>
      </w:r>
    </w:p>
    <w:p w14:paraId="3918506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不清楚科室的医保盈亏情况</w:t>
      </w:r>
    </w:p>
    <w:p w14:paraId="625635C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高值耗材价格难以压缩</w:t>
      </w:r>
    </w:p>
    <w:p w14:paraId="5A2C976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病种结构导致成本难以控制</w:t>
      </w:r>
    </w:p>
    <w:p w14:paraId="3B3D042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控费与收入绩效考核存在矛盾</w:t>
      </w:r>
    </w:p>
    <w:p w14:paraId="1EAAD8F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编码不准确导致分值偏低</w:t>
      </w:r>
    </w:p>
    <w:p w14:paraId="302DD59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集采品种不能满足临床需求</w:t>
      </w:r>
    </w:p>
    <w:p w14:paraId="44F1036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其他：__________________</w:t>
      </w:r>
    </w:p>
    <w:p w14:paraId="3B698B33">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Q2. 您目前是否了解本科室的DRG/DIP医保盈亏情况？</w:t>
      </w:r>
    </w:p>
    <w:p w14:paraId="47D3EAF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非常清楚（能说出大致盈亏比例）</w:t>
      </w:r>
    </w:p>
    <w:p w14:paraId="6B5D63B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大概了解</w:t>
      </w:r>
    </w:p>
    <w:p w14:paraId="37ED2A0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不太清楚</w:t>
      </w:r>
    </w:p>
    <w:p w14:paraId="56868F7D">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完全不了解</w:t>
      </w:r>
    </w:p>
    <w:p w14:paraId="26DBBBE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w:t>
      </w:r>
    </w:p>
    <w:p w14:paraId="1ED58E8E">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r>
        <w:rPr>
          <w:rFonts w:ascii="Times New Roman" w:hAnsi="Times New Roman" w:eastAsia="宋体"/>
          <w:sz w:val="21"/>
        </w:rPr>
        <w:t>第三部分：盈余留用机制（核心问题,约10分钟）</w:t>
      </w:r>
    </w:p>
    <w:p w14:paraId="56E6DF2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【方案说明】 *在提问前,请向受访者简要介绍：*</w:t>
      </w:r>
    </w:p>
    <w:p w14:paraId="00D657F5">
      <w:pPr>
        <w:widowControl/>
        <w:spacing w:before="60" w:after="0" w:line="320" w:lineRule="exact"/>
        <w:ind w:left="839" w:firstLine="0" w:firstLineChars="0"/>
        <w:jc w:val="both"/>
        <w:textAlignment w:val="auto"/>
        <w:rPr>
          <w:rFonts w:hint="default" w:ascii="Cambria" w:hAnsi="Cambria" w:eastAsia="宋体" w:cs="Times New Roman"/>
          <w:kern w:val="0"/>
          <w:sz w:val="22"/>
          <w:szCs w:val="22"/>
          <w:lang w:val="en-US" w:eastAsia="zh-CN"/>
        </w:rPr>
      </w:pPr>
      <w:r>
        <w:rPr>
          <w:rFonts w:ascii="Times New Roman" w:hAnsi="Times New Roman" w:eastAsia="宋体"/>
          <w:sz w:val="21"/>
        </w:rPr>
        <w:t>“我们正在研究一种新的绩效激励机制——“DRG盈余留用”。核心思路是：如果您的科室通过合理控费,使得医保实际拨付金额高于科室成本,产生的盈余将按阶梯比例（45%—60%）留给科室作为绩效奖励——盈余率越高,留用比例越大。如果产生亏损,不留用但也不扣罚,科室基本工资和法定福利完全不受影响。”</w:t>
      </w:r>
    </w:p>
    <w:p w14:paraId="67C3E92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Q3. 如果实施上述“DRG盈余留用”政策,您认为这会如何影响您主动控制药耗的意愿？</w:t>
      </w:r>
    </w:p>
    <w:p w14:paraId="54330ED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会显著提高（5分）</w:t>
      </w:r>
    </w:p>
    <w:p w14:paraId="6DE29A0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会有所提高（4分）</w:t>
      </w:r>
    </w:p>
    <w:p w14:paraId="0437F14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影响不大（3分）</w:t>
      </w:r>
    </w:p>
    <w:p w14:paraId="2A14166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可能会降低（2分）</w:t>
      </w:r>
    </w:p>
    <w:p w14:paraId="3A808B1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完全没有影响（1分）</w:t>
      </w:r>
    </w:p>
    <w:p w14:paraId="2EE940C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Q4. 您对</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亏损不留用但不扣罚</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这一设计的看法是？</w:t>
      </w:r>
    </w:p>
    <w:p w14:paraId="16CA13D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非常合理,能接受</w:t>
      </w:r>
    </w:p>
    <w:p w14:paraId="51DAF0C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基本合理,比扣罚好</w:t>
      </w:r>
    </w:p>
    <w:p w14:paraId="3D81265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虽然不扣罚,但看到别的科室有奖金仍有心理压力</w:t>
      </w:r>
    </w:p>
    <w:p w14:paraId="3E55B72D">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不够合理,应该有更多激励措施</w:t>
      </w:r>
    </w:p>
    <w:p w14:paraId="761EFC1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Q5. 您认为</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盈余留用</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机制能否有效激励科室主动控费？</w:t>
      </w:r>
    </w:p>
    <w:p w14:paraId="06B0E95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非常有效</w:t>
      </w:r>
    </w:p>
    <w:p w14:paraId="3096E37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比较有效</w:t>
      </w:r>
    </w:p>
    <w:p w14:paraId="6A9F016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效果一般</w:t>
      </w:r>
    </w:p>
    <w:p w14:paraId="6333BD7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基本无效</w:t>
      </w:r>
    </w:p>
    <w:p w14:paraId="017886F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可能产生负面效果</w:t>
      </w:r>
    </w:p>
    <w:p w14:paraId="79EB596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Q5a.（开放题）请简要说明您的理由：</w:t>
      </w:r>
    </w:p>
    <w:p w14:paraId="39407D5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77BD6747">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2991DB54">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06" w:name="_Toc13988"/>
      <w:bookmarkStart w:id="207" w:name="_Toc1978"/>
      <w:r>
        <w:rPr>
          <w:rFonts w:hint="eastAsia" w:ascii="Times New Roman" w:hAnsi="Times New Roman" w:eastAsia="宋体" w:cs="Times New Roman"/>
          <w:b/>
          <w:bCs/>
          <w:i w:val="0"/>
          <w:color w:val="auto"/>
          <w:sz w:val="21"/>
          <w:szCs w:val="22"/>
          <w:lang w:val="en-US" w:eastAsia="en-US" w:bidi="ar-SA"/>
        </w:rPr>
        <w:t>第四部分：高倍率病例分类治理（约</w:t>
      </w:r>
      <w:r>
        <w:rPr>
          <w:rFonts w:hint="eastAsia" w:ascii="Times New Roman" w:hAnsi="Times New Roman" w:eastAsia="宋体" w:cs="Times New Roman"/>
          <w:b/>
          <w:bCs/>
          <w:i w:val="0"/>
          <w:color w:val="auto"/>
          <w:sz w:val="21"/>
          <w:szCs w:val="26"/>
          <w:lang w:val="en-US" w:eastAsia="en-US" w:bidi="ar-SA"/>
        </w:rPr>
        <w:t>8</w:t>
      </w:r>
      <w:r>
        <w:rPr>
          <w:rFonts w:hint="eastAsia" w:ascii="Times New Roman" w:hAnsi="Times New Roman" w:eastAsia="宋体" w:cs="Times New Roman"/>
          <w:b/>
          <w:bCs/>
          <w:i w:val="0"/>
          <w:color w:val="auto"/>
          <w:sz w:val="21"/>
          <w:szCs w:val="22"/>
          <w:lang w:val="en-US" w:eastAsia="en-US" w:bidi="ar-SA"/>
        </w:rPr>
        <w:t>分钟）</w:t>
      </w:r>
      <w:bookmarkEnd w:id="206"/>
      <w:bookmarkEnd w:id="207"/>
    </w:p>
    <w:p w14:paraId="63F38C8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【方案说明】 *在提问前,请向受访者简要介绍：*</w:t>
      </w:r>
    </w:p>
    <w:p w14:paraId="169A7A7E">
      <w:pPr>
        <w:widowControl/>
        <w:spacing w:before="60" w:after="0" w:line="320" w:lineRule="exact"/>
        <w:ind w:left="839" w:firstLine="0" w:firstLineChars="0"/>
        <w:jc w:val="both"/>
        <w:textAlignment w:val="auto"/>
        <w:rPr>
          <w:rFonts w:hint="eastAsia" w:ascii="Cambria" w:hAnsi="Cambria" w:eastAsia="宋体" w:cs="Times New Roman"/>
          <w:kern w:val="0"/>
          <w:sz w:val="22"/>
          <w:szCs w:val="22"/>
          <w:lang w:eastAsia="zh-CN"/>
        </w:rPr>
      </w:pPr>
      <w:r>
        <w:rPr>
          <w:rFonts w:ascii="Times New Roman" w:hAnsi="Times New Roman" w:eastAsia="宋体"/>
          <w:sz w:val="21"/>
        </w:rPr>
        <w:t>“我们发现,部分高倍率病例是为了救命而产生的合理超支（如术中大出血、感染性休克）,但在现行考核下,这些病例可能导致科室绩效受损。我们设计了“特评病种申报机制”：对于“临床必要但必然亏损”的病例,主诊医生可事前申报进入“特评通道”,经专家认定后,该病例亏损不计入科室绩效,医生仍获得RBRVS工作量绩效。特评病例的数据还可用于向医保部门申请“特例单议”。对于“管理粗放型超支”（如术前等待过长、编码错误）,则纳入科室常规绩效考核。”</w:t>
      </w:r>
    </w:p>
    <w:p w14:paraId="6427C6F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Q6. 您的科室过去一年是否出现过</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为救命而产生的合理高倍率病例</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（如术中大出血、感染性休克等）？</w:t>
      </w:r>
    </w:p>
    <w:p w14:paraId="10861FC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经常出现（&gt;10例/年）</w:t>
      </w:r>
    </w:p>
    <w:p w14:paraId="170E44F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偶尔出现（3-10例/年）</w:t>
      </w:r>
    </w:p>
    <w:p w14:paraId="654BA20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很少出现（&lt;3例/年）</w:t>
      </w:r>
    </w:p>
    <w:p w14:paraId="76E94A4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从未出现</w:t>
      </w:r>
    </w:p>
    <w:p w14:paraId="4509ECE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Q7. 如果集团建立上述“特评病种申报机制”,您认为这会如何影响您收治重症患者的顾虑？</w:t>
      </w:r>
    </w:p>
    <w:p w14:paraId="6BA5334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会明显降低顾虑（5分）</w:t>
      </w:r>
    </w:p>
    <w:p w14:paraId="7DC0297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会有所降低（4分）</w:t>
      </w:r>
    </w:p>
    <w:p w14:paraId="6F700943">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影响不大（3分）</w:t>
      </w:r>
    </w:p>
    <w:p w14:paraId="39EEC47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不会降低顾虑（2分）</w:t>
      </w:r>
    </w:p>
    <w:p w14:paraId="4C08DEE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完全没有帮助（1分）</w:t>
      </w:r>
    </w:p>
    <w:p w14:paraId="219A921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Q8. 您认为</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临床必要性超支</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与</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管理粗放型超支</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的区分标准是否清晰可行？</w:t>
      </w:r>
    </w:p>
    <w:p w14:paraId="6BBB9BB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非常清晰,易于执行</w:t>
      </w:r>
    </w:p>
    <w:p w14:paraId="56FFC41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基本清晰,但需要细化标准</w:t>
      </w:r>
    </w:p>
    <w:p w14:paraId="75CAF51E">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不太清晰,执行中可能有争议</w:t>
      </w:r>
    </w:p>
    <w:p w14:paraId="2B5E84F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完全不清晰,难以执行</w:t>
      </w:r>
    </w:p>
    <w:p w14:paraId="2F36E6BE">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Q8a.（开放题）如果您认为“不太清晰”或“完全不清晰”,请举例说明可能存在争议的情形：</w:t>
      </w:r>
    </w:p>
    <w:p w14:paraId="41E0DEA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50DF291A">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08" w:name="_Toc13077"/>
      <w:bookmarkStart w:id="209" w:name="_Toc11537"/>
      <w:r>
        <w:rPr>
          <w:rFonts w:hint="eastAsia" w:ascii="Times New Roman" w:hAnsi="Times New Roman" w:eastAsia="宋体" w:cs="Times New Roman"/>
          <w:b/>
          <w:bCs/>
          <w:i w:val="0"/>
          <w:color w:val="auto"/>
          <w:sz w:val="21"/>
          <w:szCs w:val="22"/>
          <w:lang w:val="en-US" w:eastAsia="en-US" w:bidi="ar-SA"/>
        </w:rPr>
        <w:t>第五部分：学科画像与资源配置（约</w:t>
      </w:r>
      <w:r>
        <w:rPr>
          <w:rFonts w:hint="eastAsia" w:ascii="Times New Roman" w:hAnsi="Times New Roman" w:eastAsia="宋体" w:cs="Times New Roman"/>
          <w:b/>
          <w:bCs/>
          <w:i w:val="0"/>
          <w:color w:val="auto"/>
          <w:sz w:val="21"/>
          <w:szCs w:val="26"/>
          <w:lang w:val="en-US" w:eastAsia="en-US" w:bidi="ar-SA"/>
        </w:rPr>
        <w:t>5</w:t>
      </w:r>
      <w:r>
        <w:rPr>
          <w:rFonts w:hint="eastAsia" w:ascii="Times New Roman" w:hAnsi="Times New Roman" w:eastAsia="宋体" w:cs="Times New Roman"/>
          <w:b/>
          <w:bCs/>
          <w:i w:val="0"/>
          <w:color w:val="auto"/>
          <w:sz w:val="21"/>
          <w:szCs w:val="22"/>
          <w:lang w:val="en-US" w:eastAsia="en-US" w:bidi="ar-SA"/>
        </w:rPr>
        <w:t>分钟）</w:t>
      </w:r>
      <w:bookmarkEnd w:id="208"/>
      <w:bookmarkEnd w:id="209"/>
    </w:p>
    <w:p w14:paraId="1C87677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【方案说明】 *在提问前,请向受访者简要介绍：*</w:t>
      </w:r>
    </w:p>
    <w:p w14:paraId="2029DCD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我们的实证研究发现,CMI与盈余率呈U型关系——CMI接近1.27时盈余率最低（我们称之为“CMI陷阱”）。有些科室CMI值很高,但因成本边际增长超过DRG分值补偿,实际上是亏损的。我们提出一个观点：“无边际贡献的CMI增长是无效增长”。不应盲目追求收治高难度病人,而应关注每个病种是否能产生正向的边际贡献。”</w:t>
      </w:r>
    </w:p>
    <w:p w14:paraId="5381ABD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Q9. 您是否认同</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无边际贡献的CMI增长是无效增长</w:t>
      </w:r>
      <w:r>
        <w:rPr>
          <w:rFonts w:hint="eastAsia" w:ascii="Times New Roman" w:hAnsi="Times New Roman" w:eastAsia="宋体" w:cs="Times New Roman"/>
          <w:b/>
          <w:i w:val="0"/>
          <w:kern w:val="0"/>
          <w:sz w:val="21"/>
          <w:szCs w:val="22"/>
          <w:lang w:eastAsia="zh-CN"/>
        </w:rPr>
        <w:t>”</w:t>
      </w:r>
      <w:r>
        <w:rPr>
          <w:rFonts w:hint="eastAsia" w:ascii="Times New Roman" w:hAnsi="Times New Roman" w:eastAsia="宋体" w:cs="Times New Roman"/>
          <w:b/>
          <w:i w:val="0"/>
          <w:kern w:val="0"/>
          <w:sz w:val="21"/>
          <w:szCs w:val="22"/>
          <w:lang w:eastAsia="en-US"/>
        </w:rPr>
        <w:t>这一观点？</w:t>
      </w:r>
    </w:p>
    <w:p w14:paraId="1F0DC9A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非常认同</w:t>
      </w:r>
    </w:p>
    <w:p w14:paraId="61DB3D4E">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基本认同</w:t>
      </w:r>
    </w:p>
    <w:p w14:paraId="3165F973">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部分认同</w:t>
      </w:r>
    </w:p>
    <w:p w14:paraId="13C0640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不太认同</w:t>
      </w:r>
    </w:p>
    <w:p w14:paraId="11B44B1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完全不认同</w:t>
      </w:r>
    </w:p>
    <w:p w14:paraId="721AECE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Q9a.（开放题）请简要说明您的理由：</w:t>
      </w:r>
    </w:p>
    <w:p w14:paraId="23DC7B27">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20E95BA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Q10. 如果集团根据“CMI-边际贡献”四象限模型调整资源配置（对低边际贡献科室减少CAPEX投入）,您认为这一策略是否合理？</w:t>
      </w:r>
    </w:p>
    <w:p w14:paraId="4878A16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非常合理,应该聚焦有效益的学科</w:t>
      </w:r>
    </w:p>
    <w:p w14:paraId="2980A92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基本合理,但需要给观察期</w:t>
      </w:r>
    </w:p>
    <w:p w14:paraId="6B20EEF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不太合理,会影响学科发展</w:t>
      </w:r>
    </w:p>
    <w:p w14:paraId="36F1773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完全不合理,学科建设不应只看短期效益</w:t>
      </w:r>
    </w:p>
    <w:p w14:paraId="71AFDB44">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w:t>
      </w:r>
    </w:p>
    <w:p w14:paraId="45C7795B">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10" w:name="_Toc19970"/>
      <w:bookmarkStart w:id="211" w:name="_Toc28670"/>
      <w:r>
        <w:rPr>
          <w:rFonts w:hint="eastAsia" w:ascii="Times New Roman" w:hAnsi="Times New Roman" w:eastAsia="宋体" w:cs="Times New Roman"/>
          <w:b/>
          <w:bCs/>
          <w:i w:val="0"/>
          <w:color w:val="auto"/>
          <w:sz w:val="21"/>
          <w:szCs w:val="22"/>
          <w:lang w:val="en-US" w:eastAsia="en-US" w:bidi="ar-SA"/>
        </w:rPr>
        <w:t>第六部分：综合评价（约</w:t>
      </w:r>
      <w:r>
        <w:rPr>
          <w:rFonts w:hint="eastAsia" w:ascii="Times New Roman" w:hAnsi="Times New Roman" w:eastAsia="宋体" w:cs="Times New Roman"/>
          <w:b/>
          <w:bCs/>
          <w:i w:val="0"/>
          <w:color w:val="auto"/>
          <w:sz w:val="21"/>
          <w:szCs w:val="26"/>
          <w:lang w:val="en-US" w:eastAsia="en-US" w:bidi="ar-SA"/>
        </w:rPr>
        <w:t>5</w:t>
      </w:r>
      <w:r>
        <w:rPr>
          <w:rFonts w:hint="eastAsia" w:ascii="Times New Roman" w:hAnsi="Times New Roman" w:eastAsia="宋体" w:cs="Times New Roman"/>
          <w:b/>
          <w:bCs/>
          <w:i w:val="0"/>
          <w:color w:val="auto"/>
          <w:sz w:val="21"/>
          <w:szCs w:val="22"/>
          <w:lang w:val="en-US" w:eastAsia="en-US" w:bidi="ar-SA"/>
        </w:rPr>
        <w:t>分钟）</w:t>
      </w:r>
      <w:bookmarkEnd w:id="210"/>
      <w:bookmarkEnd w:id="211"/>
    </w:p>
    <w:p w14:paraId="4B16587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【方案说明】 *在提问前,请向受访者展示“复合绩效模型”框架图：*</w:t>
      </w:r>
    </w:p>
    <w:p w14:paraId="52A98C8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“我们设计的新绩效体系包括三部分：RBRVS工作量绩效（60%—70%,按服务复杂度和技术难度计算工作量点数）+ DRG盈余留用绩效（30%—40%,按医保盈亏情况阶梯留用）+ 质量安全绩效（10%,包括编码准确率、临床路径执行率等）。”</w:t>
      </w:r>
    </w:p>
    <w:p w14:paraId="0F77482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Q11. 总体而言,您对上述“RBRVS+DRG盈余留用”复合绩效模型的接受程度如何？</w:t>
      </w:r>
    </w:p>
    <w:p w14:paraId="5FFD58F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非常愿意接受（5分）</w:t>
      </w:r>
    </w:p>
    <w:p w14:paraId="6138E98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比较愿意接受（4分）</w:t>
      </w:r>
    </w:p>
    <w:p w14:paraId="1822D78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中立/观望（3分）</w:t>
      </w:r>
    </w:p>
    <w:p w14:paraId="5D01551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不太愿意接受（2分）</w:t>
      </w:r>
    </w:p>
    <w:p w14:paraId="7F367B9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完全不愿意接受（1分）</w:t>
      </w:r>
    </w:p>
    <w:p w14:paraId="0312F60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Q12. 您认为实施这套新绩效体系,对您科室最大的挑战是什么？（最多选2项）</w:t>
      </w:r>
    </w:p>
    <w:p w14:paraId="73E0F26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数据透明度不够,不知道盈亏怎么算的</w:t>
      </w:r>
    </w:p>
    <w:p w14:paraId="6DE87B8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担心收入波动,不如现在的提成制稳定</w:t>
      </w:r>
    </w:p>
    <w:p w14:paraId="198A2C7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编码质量难以短期提升</w:t>
      </w:r>
    </w:p>
    <w:p w14:paraId="276CF68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 病种结构不合理,先天劣势</w:t>
      </w:r>
    </w:p>
    <w:p w14:paraId="2188E78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需要改变现有的诊疗习惯</w:t>
      </w:r>
    </w:p>
    <w:p w14:paraId="17A765C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 其他：__________________</w:t>
      </w:r>
    </w:p>
    <w:p w14:paraId="0D74536D">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Q13.（开放题）您对本优化方案有哪些改进建议？</w:t>
      </w:r>
    </w:p>
    <w:p w14:paraId="58476CC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5CB3B56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1C7FF9AD">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_______________________________________________</w:t>
      </w:r>
    </w:p>
    <w:p w14:paraId="4FED0035">
      <w:pPr>
        <w:keepNext/>
        <w:keepLines/>
        <w:spacing w:before="60" w:after="0" w:line="320" w:lineRule="exact"/>
        <w:ind w:left="839" w:firstLine="0"/>
        <w:jc w:val="left"/>
        <w:outlineLvl w:val="1"/>
        <w:rPr>
          <w:rFonts w:ascii="Calibri" w:hAnsi="Calibri" w:eastAsia="宋体" w:cs="Times New Roman"/>
          <w:b/>
          <w:bCs/>
          <w:color w:val="auto"/>
          <w:sz w:val="26"/>
          <w:szCs w:val="26"/>
          <w:lang w:val="en-US" w:eastAsia="en-US" w:bidi="ar-SA"/>
        </w:rPr>
      </w:pPr>
      <w:bookmarkStart w:id="212" w:name="_Toc29259"/>
      <w:bookmarkStart w:id="213" w:name="_Toc28916"/>
      <w:r>
        <w:rPr>
          <w:rFonts w:hint="eastAsia" w:ascii="Times New Roman" w:hAnsi="Times New Roman" w:eastAsia="宋体" w:cs="Times New Roman"/>
          <w:b/>
          <w:bCs/>
          <w:i w:val="0"/>
          <w:color w:val="auto"/>
          <w:sz w:val="21"/>
          <w:szCs w:val="26"/>
          <w:lang w:val="en-US" w:eastAsia="en-US" w:bidi="ar-SA"/>
        </w:rPr>
        <w:t>四、访谈实施指南</w:t>
      </w:r>
      <w:bookmarkEnd w:id="212"/>
      <w:bookmarkEnd w:id="213"/>
    </w:p>
    <w:p w14:paraId="18E0804A">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14" w:name="_Toc27571"/>
      <w:bookmarkStart w:id="215" w:name="_Toc4374"/>
      <w:r>
        <w:rPr>
          <w:rFonts w:hint="eastAsia" w:ascii="Times New Roman" w:hAnsi="Times New Roman" w:eastAsia="宋体" w:cs="Times New Roman"/>
          <w:b/>
          <w:bCs/>
          <w:i w:val="0"/>
          <w:color w:val="auto"/>
          <w:sz w:val="21"/>
          <w:szCs w:val="22"/>
          <w:lang w:val="en-US" w:eastAsia="en-US" w:bidi="ar-SA"/>
        </w:rPr>
        <w:t>时间安排</w:t>
      </w:r>
      <w:bookmarkEnd w:id="214"/>
      <w:bookmarkEnd w:id="215"/>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52066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7F9E151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阶段</w:t>
            </w:r>
          </w:p>
        </w:tc>
        <w:tc>
          <w:tcPr>
            <w:tcW w:w="2986" w:type="dxa"/>
          </w:tcPr>
          <w:p w14:paraId="063D47E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时间</w:t>
            </w:r>
          </w:p>
        </w:tc>
        <w:tc>
          <w:tcPr>
            <w:tcW w:w="2986" w:type="dxa"/>
          </w:tcPr>
          <w:p w14:paraId="68BE54A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工作内容</w:t>
            </w:r>
          </w:p>
        </w:tc>
      </w:tr>
      <w:tr w14:paraId="1808B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78B2E76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**准备期**</w:t>
            </w:r>
          </w:p>
        </w:tc>
        <w:tc>
          <w:tcPr>
            <w:tcW w:w="2986" w:type="dxa"/>
          </w:tcPr>
          <w:p w14:paraId="699482C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1周</w:t>
            </w:r>
          </w:p>
        </w:tc>
        <w:tc>
          <w:tcPr>
            <w:tcW w:w="2986" w:type="dxa"/>
          </w:tcPr>
          <w:p w14:paraId="3B1FA1F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确定访谈名单、预约时间、打印问卷和方案说明材料</w:t>
            </w:r>
          </w:p>
        </w:tc>
      </w:tr>
      <w:tr w14:paraId="6D34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5FF662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**实施期**</w:t>
            </w:r>
          </w:p>
        </w:tc>
        <w:tc>
          <w:tcPr>
            <w:tcW w:w="2986" w:type="dxa"/>
          </w:tcPr>
          <w:p w14:paraId="435545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2周</w:t>
            </w:r>
          </w:p>
        </w:tc>
        <w:tc>
          <w:tcPr>
            <w:tcW w:w="2986" w:type="dxa"/>
          </w:tcPr>
          <w:p w14:paraId="1E24F09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完成15人访谈（每人约30</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40分钟）</w:t>
            </w:r>
          </w:p>
        </w:tc>
      </w:tr>
      <w:tr w14:paraId="54D9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09CABE4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**整理期**</w:t>
            </w:r>
          </w:p>
        </w:tc>
        <w:tc>
          <w:tcPr>
            <w:tcW w:w="2986" w:type="dxa"/>
          </w:tcPr>
          <w:p w14:paraId="487D68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1周</w:t>
            </w:r>
          </w:p>
        </w:tc>
        <w:tc>
          <w:tcPr>
            <w:tcW w:w="2986" w:type="dxa"/>
          </w:tcPr>
          <w:p w14:paraId="735E5EA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数据录入、统计分析、形成访谈报告</w:t>
            </w:r>
          </w:p>
        </w:tc>
      </w:tr>
    </w:tbl>
    <w:p w14:paraId="00C32706">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开场白：</w:t>
      </w:r>
    </w:p>
    <w:p w14:paraId="2C10F3F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说明研究目的（EMBA学位论文）</w:t>
      </w:r>
    </w:p>
    <w:p w14:paraId="6161DD32">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强调匿名性（不涉及绩效评价）</w:t>
      </w:r>
    </w:p>
    <w:p w14:paraId="5D923AA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预估时间（约30分钟）</w:t>
      </w:r>
    </w:p>
    <w:p w14:paraId="28ECEC5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方案说明：</w:t>
      </w:r>
    </w:p>
    <w:p w14:paraId="55A5D6E8">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每个核心问题前,先用1—2分钟简要介绍方案背景</w:t>
      </w:r>
    </w:p>
    <w:p w14:paraId="70BEABE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准备打印版的</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复合绩效模型框架图</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供受访者查看</w:t>
      </w:r>
    </w:p>
    <w:p w14:paraId="1D95BB7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确保受访者理解方案内容后再回答</w:t>
      </w:r>
    </w:p>
    <w:p w14:paraId="2F7E7503">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追问技巧：</w:t>
      </w:r>
    </w:p>
    <w:p w14:paraId="10A85C87">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对“影响不大”等中性回答,追问具体原因</w:t>
      </w:r>
    </w:p>
    <w:p w14:paraId="60FEFB5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对开放题,鼓励受访者多说,记录原话</w:t>
      </w:r>
    </w:p>
    <w:p w14:paraId="1233CA2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记录方式：</w:t>
      </w:r>
    </w:p>
    <w:p w14:paraId="4FE08BD5">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征得同意后录音</w:t>
      </w:r>
    </w:p>
    <w:p w14:paraId="1FECF2B7">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同时做简要笔记,标记关键引语</w:t>
      </w:r>
    </w:p>
    <w:p w14:paraId="467BA80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访谈后24小时内整理转录</w:t>
      </w:r>
    </w:p>
    <w:p w14:paraId="21037C56">
      <w:pPr>
        <w:keepNext/>
        <w:keepLines/>
        <w:spacing w:before="60" w:after="0" w:line="320" w:lineRule="exact"/>
        <w:ind w:left="839" w:firstLine="0"/>
        <w:jc w:val="left"/>
        <w:outlineLvl w:val="2"/>
        <w:rPr>
          <w:rFonts w:ascii="Calibri" w:hAnsi="Calibri" w:eastAsia="宋体" w:cs="Times New Roman"/>
          <w:b/>
          <w:bCs/>
          <w:color w:val="auto"/>
          <w:sz w:val="22"/>
          <w:szCs w:val="22"/>
          <w:lang w:val="en-US" w:eastAsia="en-US" w:bidi="ar-SA"/>
        </w:rPr>
      </w:pPr>
      <w:bookmarkStart w:id="216" w:name="_Toc28370"/>
      <w:bookmarkStart w:id="217" w:name="_Toc11140"/>
      <w:r>
        <w:rPr>
          <w:rFonts w:hint="eastAsia" w:ascii="Times New Roman" w:hAnsi="Times New Roman" w:eastAsia="宋体" w:cs="Times New Roman"/>
          <w:b/>
          <w:bCs/>
          <w:i w:val="0"/>
          <w:color w:val="auto"/>
          <w:sz w:val="21"/>
          <w:szCs w:val="22"/>
          <w:lang w:val="en-US" w:eastAsia="en-US" w:bidi="ar-SA"/>
        </w:rPr>
        <w:t>数据分析方法</w:t>
      </w:r>
      <w:bookmarkEnd w:id="216"/>
      <w:bookmarkEnd w:id="217"/>
    </w:p>
    <w:p w14:paraId="63B80DF1">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量化数据处理：</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3E599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44D8250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问题</w:t>
            </w:r>
          </w:p>
        </w:tc>
        <w:tc>
          <w:tcPr>
            <w:tcW w:w="2986" w:type="dxa"/>
          </w:tcPr>
          <w:p w14:paraId="429A8A7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统计指标</w:t>
            </w:r>
          </w:p>
        </w:tc>
        <w:tc>
          <w:tcPr>
            <w:tcW w:w="2986" w:type="dxa"/>
          </w:tcPr>
          <w:p w14:paraId="69D3AFA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呈现方式</w:t>
            </w:r>
          </w:p>
        </w:tc>
      </w:tr>
      <w:tr w14:paraId="6AC59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20FEB79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Q3/Q7/Q11</w:t>
            </w:r>
          </w:p>
        </w:tc>
        <w:tc>
          <w:tcPr>
            <w:tcW w:w="2986" w:type="dxa"/>
          </w:tcPr>
          <w:p w14:paraId="3CC23081">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计算平均分（1</w:t>
            </w:r>
            <w:r>
              <w:rPr>
                <w:rFonts w:hint="eastAsia" w:eastAsia="宋体" w:cs="Times New Roman"/>
                <w:b w:val="0"/>
                <w:i w:val="0"/>
                <w:kern w:val="0"/>
                <w:sz w:val="22"/>
                <w:szCs w:val="22"/>
                <w:lang w:eastAsia="zh-CN"/>
              </w:rPr>
              <w:t>—</w:t>
            </w:r>
            <w:r>
              <w:rPr>
                <w:rFonts w:hint="eastAsia" w:ascii="Times New Roman" w:hAnsi="Times New Roman" w:eastAsia="宋体" w:cs="Times New Roman"/>
                <w:b w:val="0"/>
                <w:i w:val="0"/>
                <w:kern w:val="0"/>
                <w:sz w:val="22"/>
                <w:szCs w:val="22"/>
                <w:lang w:eastAsia="en-US"/>
              </w:rPr>
              <w:t>5分）</w:t>
            </w:r>
          </w:p>
        </w:tc>
        <w:tc>
          <w:tcPr>
            <w:tcW w:w="2986" w:type="dxa"/>
          </w:tcPr>
          <w:p w14:paraId="345681E8">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均值±标准差</w:t>
            </w:r>
          </w:p>
        </w:tc>
      </w:tr>
      <w:tr w14:paraId="4672A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56CB742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所有选择题</w:t>
            </w:r>
          </w:p>
        </w:tc>
        <w:tc>
          <w:tcPr>
            <w:tcW w:w="2986" w:type="dxa"/>
          </w:tcPr>
          <w:p w14:paraId="426730C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计算各选项比例</w:t>
            </w:r>
          </w:p>
        </w:tc>
        <w:tc>
          <w:tcPr>
            <w:tcW w:w="2986" w:type="dxa"/>
          </w:tcPr>
          <w:p w14:paraId="11C56D5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百分比分布表</w:t>
            </w:r>
          </w:p>
        </w:tc>
      </w:tr>
      <w:tr w14:paraId="42FA9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8036CA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正向/中性/负向</w:t>
            </w:r>
          </w:p>
        </w:tc>
        <w:tc>
          <w:tcPr>
            <w:tcW w:w="2986" w:type="dxa"/>
          </w:tcPr>
          <w:p w14:paraId="7A3F0F4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三分类汇总</w:t>
            </w:r>
          </w:p>
        </w:tc>
        <w:tc>
          <w:tcPr>
            <w:tcW w:w="2986" w:type="dxa"/>
          </w:tcPr>
          <w:p w14:paraId="0BC656E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饼图或柱状图</w:t>
            </w:r>
          </w:p>
        </w:tc>
      </w:tr>
    </w:tbl>
    <w:p w14:paraId="3714864F">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正向</w:t>
      </w:r>
      <w:r>
        <w:rPr>
          <w:rFonts w:hint="eastAsia" w:ascii="Times New Roman" w:hAnsi="Times New Roman" w:eastAsia="宋体" w:cs="Times New Roman"/>
          <w:b w:val="0"/>
          <w:i w:val="0"/>
          <w:kern w:val="0"/>
          <w:sz w:val="21"/>
          <w:szCs w:val="22"/>
          <w:lang w:eastAsia="en-US"/>
        </w:rPr>
        <w:t>：选择</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显著提高/明显降低/非常愿意</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或</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有所提高/有所降低/比较愿意</w:t>
      </w:r>
      <w:r>
        <w:rPr>
          <w:rFonts w:hint="eastAsia" w:ascii="Times New Roman" w:hAnsi="Times New Roman" w:eastAsia="宋体" w:cs="Times New Roman"/>
          <w:b w:val="0"/>
          <w:i w:val="0"/>
          <w:kern w:val="0"/>
          <w:sz w:val="21"/>
          <w:szCs w:val="22"/>
          <w:lang w:eastAsia="zh-CN"/>
        </w:rPr>
        <w:t>”</w:t>
      </w:r>
    </w:p>
    <w:p w14:paraId="1B23E457">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中性</w:t>
      </w:r>
      <w:r>
        <w:rPr>
          <w:rFonts w:hint="eastAsia" w:ascii="Times New Roman" w:hAnsi="Times New Roman" w:eastAsia="宋体" w:cs="Times New Roman"/>
          <w:b w:val="0"/>
          <w:i w:val="0"/>
          <w:kern w:val="0"/>
          <w:sz w:val="21"/>
          <w:szCs w:val="22"/>
          <w:lang w:eastAsia="en-US"/>
        </w:rPr>
        <w:t>：选择</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影响不大/中立</w:t>
      </w:r>
      <w:r>
        <w:rPr>
          <w:rFonts w:hint="eastAsia" w:ascii="Times New Roman" w:hAnsi="Times New Roman" w:eastAsia="宋体" w:cs="Times New Roman"/>
          <w:b w:val="0"/>
          <w:i w:val="0"/>
          <w:kern w:val="0"/>
          <w:sz w:val="21"/>
          <w:szCs w:val="22"/>
          <w:lang w:eastAsia="zh-CN"/>
        </w:rPr>
        <w:t>”</w:t>
      </w:r>
    </w:p>
    <w:p w14:paraId="544043FB">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负向</w:t>
      </w:r>
      <w:r>
        <w:rPr>
          <w:rFonts w:hint="eastAsia" w:ascii="Times New Roman" w:hAnsi="Times New Roman" w:eastAsia="宋体" w:cs="Times New Roman"/>
          <w:b w:val="0"/>
          <w:i w:val="0"/>
          <w:kern w:val="0"/>
          <w:sz w:val="21"/>
          <w:szCs w:val="22"/>
          <w:lang w:eastAsia="en-US"/>
        </w:rPr>
        <w:t>：选择</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可能降低/不太愿意</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或</w:t>
      </w:r>
      <w:r>
        <w:rPr>
          <w:rFonts w:hint="eastAsia" w:ascii="Times New Roman" w:hAnsi="Times New Roman" w:eastAsia="宋体" w:cs="Times New Roman"/>
          <w:b w:val="0"/>
          <w:i w:val="0"/>
          <w:kern w:val="0"/>
          <w:sz w:val="21"/>
          <w:szCs w:val="22"/>
          <w:lang w:eastAsia="zh-CN"/>
        </w:rPr>
        <w:t>“</w:t>
      </w:r>
      <w:r>
        <w:rPr>
          <w:rFonts w:hint="eastAsia" w:ascii="Times New Roman" w:hAnsi="Times New Roman" w:eastAsia="宋体" w:cs="Times New Roman"/>
          <w:b w:val="0"/>
          <w:i w:val="0"/>
          <w:kern w:val="0"/>
          <w:sz w:val="21"/>
          <w:szCs w:val="22"/>
          <w:lang w:eastAsia="en-US"/>
        </w:rPr>
        <w:t>完全没有影响/完全不愿意</w:t>
      </w:r>
      <w:r>
        <w:rPr>
          <w:rFonts w:hint="eastAsia" w:ascii="Times New Roman" w:hAnsi="Times New Roman" w:eastAsia="宋体" w:cs="Times New Roman"/>
          <w:b w:val="0"/>
          <w:i w:val="0"/>
          <w:kern w:val="0"/>
          <w:sz w:val="21"/>
          <w:szCs w:val="22"/>
          <w:lang w:eastAsia="zh-CN"/>
        </w:rPr>
        <w:t>”</w:t>
      </w:r>
    </w:p>
    <w:p w14:paraId="5051F610">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质性数据处理：</w:t>
      </w:r>
    </w:p>
    <w:p w14:paraId="39BE079C">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提取典型引语,用于论文中的“受访者反馈”</w:t>
      </w:r>
    </w:p>
    <w:p w14:paraId="007D1DE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ascii="Times New Roman" w:hAnsi="Times New Roman" w:eastAsia="宋体"/>
          <w:sz w:val="21"/>
        </w:rPr>
        <w:t>归纳共性观点,形成改进建议清单</w:t>
      </w:r>
    </w:p>
    <w:p w14:paraId="09D15609">
      <w:pPr>
        <w:keepNext/>
        <w:keepLines/>
        <w:spacing w:before="60" w:after="0" w:line="320" w:lineRule="exact"/>
        <w:ind w:left="839" w:firstLine="0"/>
        <w:jc w:val="left"/>
        <w:outlineLvl w:val="1"/>
        <w:rPr>
          <w:rFonts w:ascii="Calibri" w:hAnsi="Calibri" w:eastAsia="宋体" w:cs="Times New Roman"/>
          <w:b/>
          <w:bCs/>
          <w:color w:val="auto"/>
          <w:sz w:val="26"/>
          <w:szCs w:val="26"/>
          <w:lang w:val="en-US" w:eastAsia="en-US" w:bidi="ar-SA"/>
        </w:rPr>
      </w:pPr>
      <w:bookmarkStart w:id="218" w:name="_Toc6423"/>
      <w:bookmarkStart w:id="219" w:name="_Toc26038"/>
      <w:r>
        <w:rPr>
          <w:rFonts w:hint="eastAsia" w:ascii="Times New Roman" w:hAnsi="Times New Roman" w:eastAsia="宋体" w:cs="Times New Roman"/>
          <w:b/>
          <w:bCs/>
          <w:i w:val="0"/>
          <w:color w:val="auto"/>
          <w:sz w:val="21"/>
          <w:szCs w:val="26"/>
          <w:lang w:val="en-US" w:eastAsia="en-US" w:bidi="ar-SA"/>
        </w:rPr>
        <w:t>五、访谈结果</w:t>
      </w:r>
      <w:bookmarkEnd w:id="218"/>
      <w:bookmarkEnd w:id="219"/>
    </w:p>
    <w:p w14:paraId="3BFECEDA">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i w:val="0"/>
          <w:kern w:val="0"/>
          <w:sz w:val="21"/>
          <w:szCs w:val="22"/>
          <w:lang w:eastAsia="en-US"/>
        </w:rPr>
        <w:t>表</w:t>
      </w:r>
      <w:r>
        <w:rPr>
          <w:rFonts w:hint="eastAsia" w:ascii="Times New Roman" w:hAnsi="Times New Roman" w:eastAsia="宋体" w:cs="Times New Roman"/>
          <w:b/>
          <w:i w:val="0"/>
          <w:kern w:val="0"/>
          <w:sz w:val="21"/>
          <w:szCs w:val="22"/>
          <w:lang w:val="en-US" w:eastAsia="zh-CN"/>
        </w:rPr>
        <w:t>A</w:t>
      </w:r>
      <w:r>
        <w:rPr>
          <w:rFonts w:hint="eastAsia" w:ascii="Times New Roman" w:hAnsi="Times New Roman" w:eastAsia="宋体" w:cs="Times New Roman"/>
          <w:b/>
          <w:i w:val="0"/>
          <w:kern w:val="0"/>
          <w:sz w:val="21"/>
          <w:szCs w:val="22"/>
          <w:lang w:eastAsia="en-US"/>
        </w:rPr>
        <w:t>-</w:t>
      </w:r>
      <w:r>
        <w:rPr>
          <w:rFonts w:hint="eastAsia" w:ascii="Times New Roman" w:hAnsi="Times New Roman" w:eastAsia="宋体" w:cs="Times New Roman"/>
          <w:b/>
          <w:i w:val="0"/>
          <w:kern w:val="0"/>
          <w:sz w:val="21"/>
          <w:szCs w:val="22"/>
          <w:lang w:val="en-US" w:eastAsia="zh-CN"/>
        </w:rPr>
        <w:t>3</w:t>
      </w:r>
      <w:r>
        <w:rPr>
          <w:rFonts w:hint="eastAsia" w:ascii="Times New Roman" w:hAnsi="Times New Roman" w:eastAsia="宋体" w:cs="Times New Roman"/>
          <w:b/>
          <w:i w:val="0"/>
          <w:kern w:val="0"/>
          <w:sz w:val="21"/>
          <w:szCs w:val="22"/>
          <w:lang w:eastAsia="en-US"/>
        </w:rPr>
        <w:t xml:space="preserve"> 科主任访谈关键问题统计（N=15）</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792"/>
        <w:gridCol w:w="1792"/>
        <w:gridCol w:w="1792"/>
        <w:gridCol w:w="1792"/>
      </w:tblGrid>
      <w:tr w14:paraId="5E67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D7BBF14">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问题</w:t>
            </w:r>
          </w:p>
        </w:tc>
        <w:tc>
          <w:tcPr>
            <w:tcW w:w="1792" w:type="dxa"/>
          </w:tcPr>
          <w:p w14:paraId="58B83EF3">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正向回答</w:t>
            </w:r>
          </w:p>
        </w:tc>
        <w:tc>
          <w:tcPr>
            <w:tcW w:w="1792" w:type="dxa"/>
          </w:tcPr>
          <w:p w14:paraId="77F6A35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中性回答</w:t>
            </w:r>
          </w:p>
        </w:tc>
        <w:tc>
          <w:tcPr>
            <w:tcW w:w="1792" w:type="dxa"/>
          </w:tcPr>
          <w:p w14:paraId="579B89C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负向回答</w:t>
            </w:r>
          </w:p>
        </w:tc>
        <w:tc>
          <w:tcPr>
            <w:tcW w:w="1792" w:type="dxa"/>
          </w:tcPr>
          <w:p w14:paraId="31475B3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均分</w:t>
            </w:r>
          </w:p>
        </w:tc>
      </w:tr>
      <w:tr w14:paraId="2E62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6B6AFDF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Q3 盈余留用提高控费意愿</w:t>
            </w:r>
          </w:p>
        </w:tc>
        <w:tc>
          <w:tcPr>
            <w:tcW w:w="1792" w:type="dxa"/>
          </w:tcPr>
          <w:p w14:paraId="07583B18">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73.3%（11人）</w:t>
            </w:r>
          </w:p>
        </w:tc>
        <w:tc>
          <w:tcPr>
            <w:tcW w:w="1792" w:type="dxa"/>
          </w:tcPr>
          <w:p w14:paraId="1262144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26.7%（4人）</w:t>
            </w:r>
          </w:p>
        </w:tc>
        <w:tc>
          <w:tcPr>
            <w:tcW w:w="1792" w:type="dxa"/>
          </w:tcPr>
          <w:p w14:paraId="67BDC5D5">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2B510AF1">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3.87</w:t>
            </w:r>
          </w:p>
        </w:tc>
      </w:tr>
      <w:tr w14:paraId="2CE3C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0B922727">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Q7 特评机制降低收治顾虑</w:t>
            </w:r>
          </w:p>
        </w:tc>
        <w:tc>
          <w:tcPr>
            <w:tcW w:w="1792" w:type="dxa"/>
          </w:tcPr>
          <w:p w14:paraId="48D622C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86.7%（13人）</w:t>
            </w:r>
          </w:p>
        </w:tc>
        <w:tc>
          <w:tcPr>
            <w:tcW w:w="1792" w:type="dxa"/>
          </w:tcPr>
          <w:p w14:paraId="489A4FDF">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13.3%（2人）</w:t>
            </w:r>
          </w:p>
        </w:tc>
        <w:tc>
          <w:tcPr>
            <w:tcW w:w="1792" w:type="dxa"/>
          </w:tcPr>
          <w:p w14:paraId="63148DF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61D66823">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4.20</w:t>
            </w:r>
          </w:p>
        </w:tc>
      </w:tr>
      <w:tr w14:paraId="47C2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4F067B19">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 xml:space="preserve">Q9 边际贡献认同度  </w:t>
            </w:r>
          </w:p>
        </w:tc>
        <w:tc>
          <w:tcPr>
            <w:tcW w:w="1792" w:type="dxa"/>
          </w:tcPr>
          <w:p w14:paraId="5404E690">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73.3%（11人）</w:t>
            </w:r>
          </w:p>
        </w:tc>
        <w:tc>
          <w:tcPr>
            <w:tcW w:w="1792" w:type="dxa"/>
          </w:tcPr>
          <w:p w14:paraId="1F5C5AB2">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26.7%（4人）</w:t>
            </w:r>
          </w:p>
        </w:tc>
        <w:tc>
          <w:tcPr>
            <w:tcW w:w="1792" w:type="dxa"/>
          </w:tcPr>
          <w:p w14:paraId="7F00C6B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6E2FC216">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3.87</w:t>
            </w:r>
          </w:p>
        </w:tc>
      </w:tr>
      <w:tr w14:paraId="7998D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2" w:type="dxa"/>
          </w:tcPr>
          <w:p w14:paraId="5585FFEA">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Q11 复合绩效模型接受度</w:t>
            </w:r>
          </w:p>
        </w:tc>
        <w:tc>
          <w:tcPr>
            <w:tcW w:w="1792" w:type="dxa"/>
          </w:tcPr>
          <w:p w14:paraId="42380ACD">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66.7%（10人）</w:t>
            </w:r>
          </w:p>
        </w:tc>
        <w:tc>
          <w:tcPr>
            <w:tcW w:w="1792" w:type="dxa"/>
          </w:tcPr>
          <w:p w14:paraId="735B9664">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33.3%（5人）</w:t>
            </w:r>
          </w:p>
        </w:tc>
        <w:tc>
          <w:tcPr>
            <w:tcW w:w="1792" w:type="dxa"/>
          </w:tcPr>
          <w:p w14:paraId="3577F20B">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0%（0人）</w:t>
            </w:r>
          </w:p>
        </w:tc>
        <w:tc>
          <w:tcPr>
            <w:tcW w:w="1792" w:type="dxa"/>
          </w:tcPr>
          <w:p w14:paraId="784112CE">
            <w:pPr>
              <w:widowControl/>
              <w:spacing w:after="0" w:line="240" w:lineRule="auto"/>
              <w:ind w:firstLine="0" w:firstLineChars="0"/>
              <w:jc w:val="center"/>
              <w:textAlignment w:val="auto"/>
              <w:rPr>
                <w:rFonts w:hint="eastAsia" w:ascii="Times New Roman" w:hAnsi="Times New Roman" w:eastAsia="宋体" w:cs="Times New Roman"/>
                <w:b w:val="0"/>
                <w:i w:val="0"/>
                <w:kern w:val="0"/>
                <w:sz w:val="22"/>
                <w:szCs w:val="22"/>
                <w:lang w:eastAsia="en-US"/>
              </w:rPr>
            </w:pPr>
            <w:r>
              <w:rPr>
                <w:rFonts w:hint="eastAsia" w:ascii="Times New Roman" w:hAnsi="Times New Roman" w:eastAsia="宋体" w:cs="Times New Roman"/>
                <w:b w:val="0"/>
                <w:i w:val="0"/>
                <w:kern w:val="0"/>
                <w:sz w:val="22"/>
                <w:szCs w:val="22"/>
                <w:lang w:eastAsia="en-US"/>
              </w:rPr>
              <w:t>3.80</w:t>
            </w:r>
          </w:p>
        </w:tc>
      </w:tr>
    </w:tbl>
    <w:p w14:paraId="58435C99">
      <w:pPr>
        <w:keepNext/>
        <w:keepLines/>
        <w:spacing w:before="60" w:after="0" w:line="320" w:lineRule="exact"/>
        <w:ind w:left="839" w:firstLine="0"/>
        <w:jc w:val="left"/>
        <w:outlineLvl w:val="1"/>
        <w:rPr>
          <w:rFonts w:ascii="Calibri" w:hAnsi="Calibri" w:eastAsia="宋体" w:cs="Times New Roman"/>
          <w:b/>
          <w:bCs/>
          <w:color w:val="auto"/>
          <w:sz w:val="26"/>
          <w:szCs w:val="26"/>
          <w:lang w:val="en-US" w:eastAsia="en-US" w:bidi="ar-SA"/>
        </w:rPr>
      </w:pPr>
      <w:bookmarkStart w:id="220" w:name="_Toc17478"/>
      <w:bookmarkStart w:id="221" w:name="_Toc21870"/>
      <w:r>
        <w:rPr>
          <w:rFonts w:hint="eastAsia" w:ascii="Times New Roman" w:hAnsi="Times New Roman" w:eastAsia="宋体" w:cs="Times New Roman"/>
          <w:b/>
          <w:bCs/>
          <w:i w:val="0"/>
          <w:color w:val="auto"/>
          <w:sz w:val="21"/>
          <w:szCs w:val="26"/>
          <w:lang w:val="en-US" w:eastAsia="en-US" w:bidi="ar-SA"/>
        </w:rPr>
        <w:t>六、访谈材料清单</w:t>
      </w:r>
      <w:bookmarkEnd w:id="220"/>
      <w:bookmarkEnd w:id="221"/>
    </w:p>
    <w:p w14:paraId="41D26CF9">
      <w:pPr>
        <w:widowControl/>
        <w:spacing w:before="60" w:after="0" w:line="320" w:lineRule="exact"/>
        <w:ind w:left="839" w:firstLine="0" w:firstLineChars="0"/>
        <w:jc w:val="both"/>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1"/>
          <w:szCs w:val="22"/>
          <w:lang w:eastAsia="en-US"/>
        </w:rPr>
        <w:t>访谈前请准备以下材料（建议打印）：</w:t>
      </w:r>
    </w:p>
    <w:tbl>
      <w:tblPr>
        <w:tblStyle w:val="3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6"/>
        <w:gridCol w:w="2986"/>
        <w:gridCol w:w="2986"/>
      </w:tblGrid>
      <w:tr w14:paraId="16F61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6173F6B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序号</w:t>
            </w:r>
          </w:p>
        </w:tc>
        <w:tc>
          <w:tcPr>
            <w:tcW w:w="2986" w:type="dxa"/>
          </w:tcPr>
          <w:p w14:paraId="08A6E8A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材料名称</w:t>
            </w:r>
          </w:p>
        </w:tc>
        <w:tc>
          <w:tcPr>
            <w:tcW w:w="2986" w:type="dxa"/>
          </w:tcPr>
          <w:p w14:paraId="2173F09F">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用途</w:t>
            </w:r>
          </w:p>
        </w:tc>
      </w:tr>
      <w:tr w14:paraId="4719C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42EEE7A6">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1</w:t>
            </w:r>
          </w:p>
        </w:tc>
        <w:tc>
          <w:tcPr>
            <w:tcW w:w="2986" w:type="dxa"/>
          </w:tcPr>
          <w:p w14:paraId="40023FA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访谈问卷（本文档打印版）</w:t>
            </w:r>
          </w:p>
        </w:tc>
        <w:tc>
          <w:tcPr>
            <w:tcW w:w="2986" w:type="dxa"/>
          </w:tcPr>
          <w:p w14:paraId="59E4C92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现场填写</w:t>
            </w:r>
          </w:p>
        </w:tc>
      </w:tr>
      <w:tr w14:paraId="310F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5679E06D">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2</w:t>
            </w:r>
          </w:p>
        </w:tc>
        <w:tc>
          <w:tcPr>
            <w:tcW w:w="2986" w:type="dxa"/>
          </w:tcPr>
          <w:p w14:paraId="352F4AE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复合绩效模型框架图（图6-1）</w:t>
            </w:r>
          </w:p>
        </w:tc>
        <w:tc>
          <w:tcPr>
            <w:tcW w:w="2986" w:type="dxa"/>
          </w:tcPr>
          <w:p w14:paraId="31CD735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方案说明时展示</w:t>
            </w:r>
          </w:p>
        </w:tc>
      </w:tr>
      <w:tr w14:paraId="3C0EF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0A45ED3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3</w:t>
            </w:r>
          </w:p>
        </w:tc>
        <w:tc>
          <w:tcPr>
            <w:tcW w:w="2986" w:type="dxa"/>
          </w:tcPr>
          <w:p w14:paraId="2C7575E2">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Cambria" w:hAnsi="Cambria" w:eastAsia="宋体" w:cs="Times New Roman"/>
                <w:kern w:val="0"/>
                <w:sz w:val="22"/>
                <w:szCs w:val="22"/>
                <w:lang w:eastAsia="en-US"/>
              </w:rPr>
              <w:t>特评病种申报机制流程（第六章6.2节）</w:t>
            </w:r>
          </w:p>
        </w:tc>
        <w:tc>
          <w:tcPr>
            <w:tcW w:w="2986" w:type="dxa"/>
          </w:tcPr>
          <w:p w14:paraId="5DEDE690">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方案说明时展示</w:t>
            </w:r>
          </w:p>
        </w:tc>
      </w:tr>
      <w:tr w14:paraId="1A81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0547C72A">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4</w:t>
            </w:r>
          </w:p>
        </w:tc>
        <w:tc>
          <w:tcPr>
            <w:tcW w:w="2986" w:type="dxa"/>
          </w:tcPr>
          <w:p w14:paraId="41234045">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访谈知情同意书</w:t>
            </w:r>
          </w:p>
        </w:tc>
        <w:tc>
          <w:tcPr>
            <w:tcW w:w="2986" w:type="dxa"/>
          </w:tcPr>
          <w:p w14:paraId="715D9639">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录音前签署</w:t>
            </w:r>
          </w:p>
        </w:tc>
      </w:tr>
      <w:tr w14:paraId="7FA4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6" w:type="dxa"/>
          </w:tcPr>
          <w:p w14:paraId="3F70043B">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5</w:t>
            </w:r>
          </w:p>
        </w:tc>
        <w:tc>
          <w:tcPr>
            <w:tcW w:w="2986" w:type="dxa"/>
          </w:tcPr>
          <w:p w14:paraId="6D32B19E">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录音设备/手机</w:t>
            </w:r>
          </w:p>
        </w:tc>
        <w:tc>
          <w:tcPr>
            <w:tcW w:w="2986" w:type="dxa"/>
          </w:tcPr>
          <w:p w14:paraId="31C99FA7">
            <w:pPr>
              <w:widowControl/>
              <w:spacing w:after="0" w:line="240" w:lineRule="auto"/>
              <w:ind w:firstLine="0" w:firstLineChars="0"/>
              <w:jc w:val="center"/>
              <w:textAlignment w:val="auto"/>
              <w:rPr>
                <w:rFonts w:ascii="Cambria" w:hAnsi="Cambria" w:eastAsia="宋体" w:cs="Times New Roman"/>
                <w:kern w:val="0"/>
                <w:sz w:val="22"/>
                <w:szCs w:val="22"/>
                <w:lang w:eastAsia="en-US"/>
              </w:rPr>
            </w:pPr>
            <w:r>
              <w:rPr>
                <w:rFonts w:hint="eastAsia" w:ascii="Times New Roman" w:hAnsi="Times New Roman" w:eastAsia="宋体" w:cs="Times New Roman"/>
                <w:b w:val="0"/>
                <w:i w:val="0"/>
                <w:kern w:val="0"/>
                <w:sz w:val="22"/>
                <w:szCs w:val="22"/>
                <w:lang w:eastAsia="en-US"/>
              </w:rPr>
              <w:t>记录访谈内容</w:t>
            </w:r>
          </w:p>
        </w:tc>
      </w:tr>
    </w:tbl>
    <w:p w14:paraId="2B0F2602"/>
    <w:p w14:paraId="7DA51669"/>
    <w:p w14:paraId="2914B7F4">
      <w:r>
        <w:br w:type="page"/>
      </w:r>
    </w:p>
    <w:p w14:paraId="10B34331">
      <w:pPr>
        <w:pStyle w:val="2"/>
        <w:keepNext w:val="0"/>
        <w:keepLines w:val="0"/>
        <w:widowControl/>
        <w:suppressLineNumbers w:val="0"/>
        <w:spacing w:before="60" w:after="0" w:line="320" w:lineRule="exact"/>
        <w:ind w:left="839" w:firstLine="0"/>
      </w:pPr>
      <w:bookmarkStart w:id="222" w:name="_Toc15115"/>
      <w:r>
        <w:rPr>
          <w:rFonts w:ascii="Times New Roman" w:hAnsi="Times New Roman" w:eastAsia="宋体"/>
        </w:rPr>
        <w:t>致 谢</w:t>
      </w:r>
      <w:bookmarkEnd w:id="222"/>
    </w:p>
    <w:p w14:paraId="66CE2F38">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时光荏苒,两年的EMBA求学之旅即将画上句号。此刻,伏案整理这篇论文的最后章节,心中涌动的不仅是完成学业的欣慰,更有对这段非凡岁月的深深感恩。</w:t>
      </w:r>
    </w:p>
    <w:p w14:paraId="2BEC19EF">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首先,我要向我的导师——北京大学光华管理学院颜色教授致以最诚挚的谢意。 颜教授是国内宏观经济学领域的著名学者,其对中国经济运行规律的深刻洞察和对产业政策的前瞻研判,给予了我莫大的启发。在论文选题阶段,颜教授敏锐地指出,DRG/DIP医保支付改革不仅是卫生经济学议题,更是一场深刻的制度变迁,应当从宏观政策与微观主体的互动视角来理解其影响机理。这一指引,为本研究奠定了坚实的理论方向。在论文撰写过程中,颜教授对研究框架的把握、对实证方法的建议、对管理启示的提炼,无不体现着学者的严谨与智慧。“因思想,而光华”——颜教授的言传身教,让我真切体会到了光华精神的内涵。</w:t>
      </w:r>
    </w:p>
    <w:p w14:paraId="549A9480">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感谢光华管理学院的每一位授课教授。 从战略管理到财务分析,从组织行为到领导力,每一门课程都是一次思维的跃迁。特别感谢各位教授将前沿的管理理论与中国企业实践紧密结合,让我这个“半路出家”的理工科背景管理者,逐步建立起系统的商业分析框架。</w:t>
      </w:r>
    </w:p>
    <w:p w14:paraId="0A2ADDA4">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感谢我的同窗学友。 EMBA177班是一个卧虎藏龙的集体——有资深投资人、有连续创业者、有央企高管、有跨国公司中国区负责人。课堂上的激烈讨论、案例中的观点碰撞、课后的促膝长谈,让我看到了不同行业、不同视角的管理智慧。跨界交流带来的认知突破,是课本无法给予的珍贵财富。</w:t>
      </w:r>
    </w:p>
    <w:p w14:paraId="792ED40C">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感谢我的家人。 从上海交通大学的本硕七年,到九年芯片行业研发,再到医疗行业的十年深耕,我的每一次职业跨越,都离不开家人的无条件支持。两年EMBA的周末课程和论文写作,占用了大量本应陪伴家人的时间。你们的理解与包容,是我最强大的后盾。</w:t>
      </w:r>
    </w:p>
    <w:p w14:paraId="41291E86">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回首这段求学历程,我深刻体会到：真正的学习,不是知识的堆砌,而是认知的重构。</w:t>
      </w:r>
    </w:p>
    <w:p w14:paraId="5F64E624">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我曾在英特尔度过九年,深谙半导体行业“极致标准化”的底层逻辑——在芯片设计中,每一个接口都必须严格定义,每一个协议都必须精确执行。当我转战医疗健康产业,面对的却是高度碎片化、非标准化的复杂系统。如何将芯片级的“标准化思维”迁移至医疗运营？如何用“技术人”的逻辑解构“生意人”的问题？这是我职业转型中最大的挑战,也是EMBA学习给我的最大馈赠。</w:t>
      </w:r>
    </w:p>
    <w:p w14:paraId="17BCCD78">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本论文所提出的“四象限学科画像模型”、“2+N账期管理”、“RBRVS+DRG复合绩效”等工具,某种程度上正是“芯片思维”与“医疗实践”碰撞的产物——用模块化的方法拆解复杂问题,用标准化的流程消除系统冗余,用数据驱动的逻辑替代经验主义的决策。</w:t>
      </w:r>
    </w:p>
    <w:p w14:paraId="5586E49D">
      <w:pPr>
        <w:pStyle w:val="29"/>
        <w:keepNext w:val="0"/>
        <w:keepLines w:val="0"/>
        <w:widowControl/>
        <w:suppressLineNumbers w:val="0"/>
        <w:spacing w:before="60" w:beforeAutospacing="1" w:after="0" w:afterAutospacing="1" w:line="320" w:lineRule="exact"/>
        <w:ind w:left="839" w:right="0" w:firstLine="0"/>
      </w:pPr>
      <w:r>
        <w:rPr>
          <w:rFonts w:ascii="Times New Roman" w:hAnsi="Times New Roman" w:eastAsia="宋体"/>
        </w:rPr>
        <w:t>当然,我深知本研究仅是一个起点。DRG/DIP改革仍在深化,AI技术正在重塑医疗生态,非公医疗的可持续发展模式仍有待探索。学无止境,行则将至。 我将带着光华赋予的思想武器,继续在医疗健康产业的深水区砥砺前行。</w:t>
      </w:r>
    </w:p>
    <w:p w14:paraId="34D23CAE">
      <w:pPr>
        <w:pStyle w:val="29"/>
        <w:keepNext w:val="0"/>
        <w:keepLines w:val="0"/>
        <w:widowControl/>
        <w:suppressLineNumbers w:val="0"/>
        <w:spacing w:before="60" w:beforeAutospacing="1" w:after="0" w:afterAutospacing="1" w:line="320" w:lineRule="exact"/>
        <w:ind w:left="839" w:right="0" w:firstLine="0"/>
        <w:rPr>
          <w:rFonts w:hint="eastAsia" w:eastAsia="宋体"/>
          <w:lang w:eastAsia="zh-CN"/>
        </w:rPr>
        <w:sectPr>
          <w:headerReference r:id="rId18" w:type="default"/>
          <w:pgSz w:w="11906" w:h="16838"/>
          <w:pgMar w:top="1701" w:right="1474" w:bottom="1417" w:left="1474" w:header="1134" w:footer="992" w:gutter="0"/>
          <w:pgNumType w:fmt="decimal"/>
          <w:cols w:space="720" w:num="1"/>
          <w:docGrid w:linePitch="360" w:charSpace="0"/>
        </w:sectPr>
      </w:pPr>
      <w:r>
        <w:rPr>
          <w:rFonts w:ascii="Times New Roman" w:hAnsi="Times New Roman" w:eastAsia="宋体"/>
        </w:rPr>
        <w:t>最后,再次感谢所有给予我帮助的师长、同事、朋友和家人。是你们,让这段旅程如此充实而有意义。</w:t>
      </w:r>
    </w:p>
    <w:p w14:paraId="16B1B196"/>
    <w:sectPr>
      <w:type w:val="continuous"/>
      <w:pgSz w:w="11906" w:h="16838"/>
      <w:pgMar w:top="1701" w:right="1474" w:bottom="1417" w:left="1474" w:header="1134" w:footer="992" w:gutter="0"/>
      <w:pgNumType w:fmt="decimal"/>
      <w:cols w:equalWidth="0" w:num="2">
        <w:col w:w="4266" w:space="425"/>
        <w:col w:w="4266"/>
      </w:cols>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Euclid">
    <w:altName w:val="Cambria"/>
    <w:panose1 w:val="00000000000000000000"/>
    <w:charset w:val="00"/>
    <w:family w:val="roman"/>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Wingdings 2">
    <w:altName w:val="Wingdings"/>
    <w:panose1 w:val="050201020105070707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00"/>
    <w:family w:val="auto"/>
    <w:pitch w:val="default"/>
    <w:sig w:usb0="E00006FF" w:usb1="420024FF" w:usb2="02000000" w:usb3="00000000" w:csb0="2000019F" w:csb1="00000000"/>
  </w:font>
  <w:font w:name="TN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Kingsoft U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F6D5">
    <w:pPr>
      <w:pStyle w:val="2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A137E4">
                          <w:pPr>
                            <w:pStyle w:val="2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71A137E4">
                    <w:pPr>
                      <w:pStyle w:val="2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A9D86">
    <w:pPr>
      <w:pStyle w:val="20"/>
      <w:jc w:val="center"/>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B54D18C">
                          <w:pPr>
                            <w:pStyle w:val="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Ci6pUg3AIAACQGAAAOAAAAAAAAAAEAIAAAAB8BAABkcnMvZTJvRG9jLnhtbFBLBQYA&#10;AAAABgAGAFkBAABtBgAAAAA=&#10;">
              <v:fill on="f" focussize="0,0"/>
              <v:stroke on="f" weight="0.5pt"/>
              <v:imagedata o:title=""/>
              <o:lock v:ext="edit" aspectratio="f"/>
              <v:textbox inset="0mm,0mm,0mm,0mm" style="mso-fit-shape-to-text:t;">
                <w:txbxContent>
                  <w:p w14:paraId="1B54D18C">
                    <w:pPr>
                      <w:pStyle w:val="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w:t>
                    </w:r>
                    <w:r>
                      <w:rP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0E32D">
    <w:pPr>
      <w:pStyle w:val="20"/>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CFBC2">
    <w:pPr>
      <w:pStyle w:val="20"/>
      <w:jc w:val="center"/>
      <w:rPr>
        <w:rFonts w:hint="eastAsia"/>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1D3169B">
                          <w:pPr>
                            <w:pStyle w:val="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01D3169B">
                    <w:pPr>
                      <w:pStyle w:val="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III</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77720">
    <w:pPr>
      <w:pStyle w:val="20"/>
      <w:jc w:val="center"/>
      <w:rPr>
        <w:rFonts w:hint="eastAsia"/>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5EA94C1">
                          <w:pPr>
                            <w:pStyle w:val="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7/4Ej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B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v/gSN0CAAAmBgAADgAAAAAAAAABACAAAAAfAQAAZHJzL2Uyb0RvYy54bWxQSwUG&#10;AAAAAAYABgBZAQAAbgYAAAAA&#10;">
              <v:fill on="f" focussize="0,0"/>
              <v:stroke on="f" weight="0.5pt"/>
              <v:imagedata o:title=""/>
              <o:lock v:ext="edit" aspectratio="f"/>
              <v:textbox inset="0mm,0mm,0mm,0mm" style="mso-fit-shape-to-text:t;">
                <w:txbxContent>
                  <w:p w14:paraId="75EA94C1">
                    <w:pPr>
                      <w:pStyle w:val="20"/>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III</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4732A2">
    <w:pPr>
      <w:pStyle w:val="20"/>
      <w:jc w:val="center"/>
      <w:rPr>
        <w:rFonts w:hint="eastAsia"/>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C12B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CAF5A">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8E266E">
    <w:pPr>
      <w:pBdr>
        <w:bottom w:val="single" w:color="000000" w:sz="6" w:space="1"/>
      </w:pBdr>
      <w:tabs>
        <w:tab w:val="left" w:pos="5255"/>
      </w:tabs>
      <w:spacing w:before="0" w:after="0"/>
      <w:jc w:val="center"/>
      <w:rPr>
        <w:rFonts w:hint="default" w:eastAsia="宋体"/>
        <w:lang w:val="en-US" w:eastAsia="zh-CN"/>
      </w:rPr>
    </w:pPr>
    <w:r>
      <w:rPr>
        <w:rFonts w:hint="eastAsia"/>
        <w:lang w:val="en-US" w:eastAsia="zh-CN"/>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905AC">
    <w:pPr>
      <w:pBdr>
        <w:bottom w:val="single" w:color="000000" w:sz="6" w:space="1"/>
      </w:pBdr>
      <w:spacing w:before="0" w:after="0"/>
      <w:jc w:val="center"/>
    </w:pPr>
    <w:r>
      <w:rPr>
        <w:rFonts w:ascii="宋体" w:hAnsi="宋体"/>
        <w:sz w:val="21"/>
      </w:rPr>
      <w:t>北京大学硕士学位论文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885F4">
    <w:pPr>
      <w:pStyle w:val="21"/>
      <w:rPr>
        <w:sz w:val="21"/>
        <w:szCs w:val="21"/>
      </w:rPr>
    </w:pPr>
    <w:r>
      <w:rPr>
        <w:rFonts w:hint="eastAsia"/>
        <w:sz w:val="21"/>
        <w:szCs w:val="21"/>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4A07B">
    <w:pPr>
      <w:pStyle w:val="21"/>
      <w:tabs>
        <w:tab w:val="center" w:pos="4539"/>
        <w:tab w:val="left" w:pos="6130"/>
      </w:tabs>
      <w:jc w:val="center"/>
      <w:rPr>
        <w:rFonts w:hint="eastAsia" w:eastAsia="宋体"/>
        <w:lang w:val="en-US" w:eastAsia="zh-CN"/>
      </w:rPr>
    </w:pPr>
    <w:r>
      <w:rPr>
        <w:rFonts w:hint="eastAsia"/>
        <w:sz w:val="21"/>
        <w:szCs w:val="21"/>
        <w:lang w:eastAsia="zh-CN"/>
      </w:rPr>
      <w:fldChar w:fldCharType="begin"/>
    </w:r>
    <w:r>
      <w:rPr>
        <w:rFonts w:hint="eastAsia"/>
        <w:sz w:val="21"/>
        <w:szCs w:val="21"/>
        <w:lang w:eastAsia="zh-CN"/>
      </w:rPr>
      <w:instrText xml:space="preserve"> STYLEREF "标题 1"  \* MERGEFORMAT </w:instrText>
    </w:r>
    <w:r>
      <w:rPr>
        <w:rFonts w:hint="eastAsia"/>
        <w:sz w:val="21"/>
        <w:szCs w:val="21"/>
        <w:lang w:eastAsia="zh-CN"/>
      </w:rPr>
      <w:fldChar w:fldCharType="separate"/>
    </w:r>
    <w:r>
      <w:rPr>
        <w:rFonts w:hint="eastAsia"/>
        <w:sz w:val="21"/>
        <w:szCs w:val="21"/>
        <w:lang w:eastAsia="zh-CN"/>
      </w:rPr>
      <w:t xml:space="preserve">  绪论</w:t>
    </w:r>
    <w:r>
      <w:rPr>
        <w:rFonts w:hint="eastAsia"/>
        <w:sz w:val="21"/>
        <w:szCs w:val="21"/>
        <w:lang w:eastAsia="zh-CN"/>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1A075A">
    <w:pPr>
      <w:pBdr>
        <w:bottom w:val="single" w:color="000000" w:sz="6" w:space="1"/>
      </w:pBdr>
      <w:spacing w:before="0" w:after="0"/>
      <w:jc w:val="center"/>
    </w:pPr>
    <w:r>
      <w:rPr>
        <w:rFonts w:ascii="宋体" w:hAnsi="宋体"/>
        <w:sz w:val="21"/>
      </w:rPr>
      <w:t>北京大学硕士学位论文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E6526">
    <w:pPr>
      <w:pStyle w:val="21"/>
      <w:rPr>
        <w:lang w:val="en-US" w:eastAsia="en-US"/>
      </w:rPr>
    </w:pPr>
    <w:r>
      <w:rPr>
        <w:rFonts w:hint="eastAsia"/>
        <w:sz w:val="21"/>
        <w:szCs w:val="21"/>
      </w:rPr>
      <w:t>北京大学硕士学位论文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85002"/>
    <w:multiLevelType w:val="singleLevel"/>
    <w:tmpl w:val="81E85002"/>
    <w:lvl w:ilvl="0" w:tentative="0">
      <w:start w:val="1"/>
      <w:numFmt w:val="bullet"/>
      <w:lvlText w:val=""/>
      <w:lvlJc w:val="left"/>
      <w:pPr>
        <w:tabs>
          <w:tab w:val="left" w:pos="420"/>
        </w:tabs>
        <w:ind w:left="840" w:hanging="420"/>
      </w:pPr>
      <w:rPr>
        <w:rFonts w:hint="default" w:ascii="Wingdings" w:hAnsi="Wingdings"/>
        <w:b/>
        <w:sz w:val="16"/>
        <w:szCs w:val="16"/>
      </w:rPr>
    </w:lvl>
  </w:abstractNum>
  <w:abstractNum w:abstractNumId="1">
    <w:nsid w:val="8B540C89"/>
    <w:multiLevelType w:val="singleLevel"/>
    <w:tmpl w:val="8B540C89"/>
    <w:lvl w:ilvl="0" w:tentative="0">
      <w:start w:val="1"/>
      <w:numFmt w:val="decimal"/>
      <w:suff w:val="space"/>
      <w:lvlText w:val="(%1)"/>
      <w:lvlJc w:val="left"/>
      <w:rPr>
        <w:b/>
      </w:rPr>
    </w:lvl>
  </w:abstractNum>
  <w:abstractNum w:abstractNumId="2">
    <w:nsid w:val="8C4FDBAD"/>
    <w:multiLevelType w:val="singleLevel"/>
    <w:tmpl w:val="8C4FDBAD"/>
    <w:lvl w:ilvl="0" w:tentative="0">
      <w:start w:val="1"/>
      <w:numFmt w:val="chineseCounting"/>
      <w:suff w:val="nothing"/>
      <w:lvlText w:val="第%1，"/>
      <w:lvlJc w:val="left"/>
      <w:rPr>
        <w:rFonts w:hint="eastAsia"/>
        <w:b/>
      </w:rPr>
    </w:lvl>
  </w:abstractNum>
  <w:abstractNum w:abstractNumId="3">
    <w:nsid w:val="AB3763CD"/>
    <w:multiLevelType w:val="singleLevel"/>
    <w:tmpl w:val="AB3763CD"/>
    <w:lvl w:ilvl="0" w:tentative="0">
      <w:start w:val="3"/>
      <w:numFmt w:val="chineseCounting"/>
      <w:suff w:val="nothing"/>
      <w:lvlText w:val="%1、"/>
      <w:lvlJc w:val="left"/>
      <w:rPr>
        <w:rFonts w:hint="eastAsia"/>
        <w:b/>
      </w:rPr>
    </w:lvl>
  </w:abstractNum>
  <w:abstractNum w:abstractNumId="4">
    <w:nsid w:val="B28A2147"/>
    <w:multiLevelType w:val="multilevel"/>
    <w:tmpl w:val="B28A2147"/>
    <w:lvl w:ilvl="0" w:tentative="0">
      <w:start w:val="1"/>
      <w:numFmt w:val="chineseCounting"/>
      <w:pStyle w:val="2"/>
      <w:suff w:val="nothing"/>
      <w:lvlText w:val="第%1章 "/>
      <w:lvlJc w:val="left"/>
      <w:pPr>
        <w:ind w:left="432" w:hanging="432"/>
      </w:pPr>
      <w:rPr>
        <w:rFonts w:hint="eastAsia"/>
        <w:b/>
        <w:color w:val="auto"/>
      </w:rPr>
    </w:lvl>
    <w:lvl w:ilvl="1" w:tentative="0">
      <w:start w:val="1"/>
      <w:numFmt w:val="decimal"/>
      <w:pStyle w:val="3"/>
      <w:isLgl/>
      <w:lvlText w:val="%1.%2"/>
      <w:lvlJc w:val="left"/>
      <w:pPr>
        <w:ind w:left="575" w:hanging="575"/>
      </w:pPr>
      <w:rPr>
        <w:rFonts w:hint="eastAsia"/>
        <w:b/>
      </w:rPr>
    </w:lvl>
    <w:lvl w:ilvl="2" w:tentative="0">
      <w:start w:val="1"/>
      <w:numFmt w:val="decimal"/>
      <w:pStyle w:val="4"/>
      <w:isLgl/>
      <w:lvlText w:val="%1.%2.%3"/>
      <w:lvlJc w:val="left"/>
      <w:pPr>
        <w:ind w:left="720" w:hanging="720"/>
      </w:pPr>
      <w:rPr>
        <w:rFonts w:hint="eastAsia"/>
        <w:b/>
      </w:rPr>
    </w:lvl>
    <w:lvl w:ilvl="3" w:tentative="0">
      <w:start w:val="1"/>
      <w:numFmt w:val="decimal"/>
      <w:pStyle w:val="5"/>
      <w:isLgl/>
      <w:lvlText w:val="%1.%2.%3.%4"/>
      <w:lvlJc w:val="left"/>
      <w:pPr>
        <w:ind w:left="864" w:hanging="864"/>
      </w:pPr>
      <w:rPr>
        <w:rFonts w:hint="eastAsia"/>
        <w:b/>
      </w:rPr>
    </w:lvl>
    <w:lvl w:ilvl="4" w:tentative="0">
      <w:start w:val="1"/>
      <w:numFmt w:val="decimal"/>
      <w:pStyle w:val="6"/>
      <w:isLgl/>
      <w:lvlText w:val="%1.%2.%3.%4.%5"/>
      <w:lvlJc w:val="left"/>
      <w:pPr>
        <w:ind w:left="1008" w:hanging="1008"/>
      </w:pPr>
      <w:rPr>
        <w:rFonts w:hint="eastAsia"/>
        <w:b/>
      </w:rPr>
    </w:lvl>
    <w:lvl w:ilvl="5" w:tentative="0">
      <w:start w:val="1"/>
      <w:numFmt w:val="decimal"/>
      <w:pStyle w:val="7"/>
      <w:isLgl/>
      <w:lvlText w:val="%1.%2.%3.%4.%5.%6"/>
      <w:lvlJc w:val="left"/>
      <w:pPr>
        <w:ind w:left="1151" w:hanging="1151"/>
      </w:pPr>
      <w:rPr>
        <w:rFonts w:hint="eastAsia"/>
        <w:b/>
      </w:rPr>
    </w:lvl>
    <w:lvl w:ilvl="6" w:tentative="0">
      <w:start w:val="1"/>
      <w:numFmt w:val="decimal"/>
      <w:pStyle w:val="8"/>
      <w:isLgl/>
      <w:lvlText w:val="%1.%2.%3.%4.%5.%6.%7"/>
      <w:lvlJc w:val="left"/>
      <w:pPr>
        <w:ind w:left="1296" w:hanging="1296"/>
      </w:pPr>
      <w:rPr>
        <w:rFonts w:hint="eastAsia"/>
        <w:b/>
      </w:rPr>
    </w:lvl>
    <w:lvl w:ilvl="7" w:tentative="0">
      <w:start w:val="1"/>
      <w:numFmt w:val="decimal"/>
      <w:pStyle w:val="9"/>
      <w:isLgl/>
      <w:lvlText w:val="%1.%2.%3.%4.%5.%6.%7.%8"/>
      <w:lvlJc w:val="left"/>
      <w:pPr>
        <w:ind w:left="1440" w:hanging="1440"/>
      </w:pPr>
      <w:rPr>
        <w:rFonts w:hint="eastAsia"/>
        <w:b/>
      </w:rPr>
    </w:lvl>
    <w:lvl w:ilvl="8" w:tentative="0">
      <w:start w:val="1"/>
      <w:numFmt w:val="decimal"/>
      <w:pStyle w:val="10"/>
      <w:isLgl/>
      <w:lvlText w:val="%1.%2.%3.%4.%5.%6.%7.%8.%9"/>
      <w:lvlJc w:val="left"/>
      <w:pPr>
        <w:ind w:left="1583" w:hanging="1583"/>
      </w:pPr>
      <w:rPr>
        <w:rFonts w:hint="eastAsia"/>
        <w:b/>
      </w:rPr>
    </w:lvl>
  </w:abstractNum>
  <w:abstractNum w:abstractNumId="5">
    <w:nsid w:val="E406730C"/>
    <w:multiLevelType w:val="singleLevel"/>
    <w:tmpl w:val="E406730C"/>
    <w:lvl w:ilvl="0" w:tentative="0">
      <w:start w:val="1"/>
      <w:numFmt w:val="bullet"/>
      <w:lvlText w:val=""/>
      <w:lvlJc w:val="left"/>
      <w:pPr>
        <w:ind w:left="420" w:hanging="420"/>
      </w:pPr>
      <w:rPr>
        <w:rFonts w:hint="default" w:ascii="Wingdings" w:hAnsi="Wingdings"/>
        <w:b/>
      </w:rPr>
    </w:lvl>
  </w:abstractNum>
  <w:abstractNum w:abstractNumId="6">
    <w:nsid w:val="E4EC342C"/>
    <w:multiLevelType w:val="multilevel"/>
    <w:tmpl w:val="E4EC342C"/>
    <w:lvl w:ilvl="0" w:tentative="0">
      <w:start w:val="1"/>
      <w:numFmt w:val="chineseCounting"/>
      <w:suff w:val="nothing"/>
      <w:lvlText w:val="第%1章 "/>
      <w:lvlJc w:val="left"/>
      <w:pPr>
        <w:ind w:left="425" w:hanging="425"/>
      </w:pPr>
      <w:rPr>
        <w:rFonts w:hint="eastAsia"/>
        <w:b/>
      </w:rPr>
    </w:lvl>
    <w:lvl w:ilvl="1" w:tentative="0">
      <w:start w:val="1"/>
      <w:numFmt w:val="decimal"/>
      <w:isLgl/>
      <w:lvlText w:val="%1.%2"/>
      <w:lvlJc w:val="left"/>
      <w:pPr>
        <w:ind w:left="567" w:hanging="567"/>
      </w:pPr>
      <w:rPr>
        <w:rFonts w:hint="eastAsia"/>
        <w:b/>
      </w:rPr>
    </w:lvl>
    <w:lvl w:ilvl="2" w:tentative="0">
      <w:start w:val="1"/>
      <w:numFmt w:val="decimal"/>
      <w:isLgl/>
      <w:lvlText w:val="%1.%2.%3"/>
      <w:lvlJc w:val="left"/>
      <w:pPr>
        <w:ind w:left="709" w:hanging="709"/>
      </w:pPr>
      <w:rPr>
        <w:rFonts w:hint="eastAsia"/>
        <w:b/>
      </w:rPr>
    </w:lvl>
    <w:lvl w:ilvl="3" w:tentative="0">
      <w:start w:val="1"/>
      <w:numFmt w:val="decimal"/>
      <w:isLgl/>
      <w:lvlText w:val="%1.%2.%3.%4"/>
      <w:lvlJc w:val="left"/>
      <w:pPr>
        <w:ind w:left="850" w:hanging="850"/>
      </w:pPr>
      <w:rPr>
        <w:rFonts w:hint="eastAsia"/>
        <w:b/>
      </w:rPr>
    </w:lvl>
    <w:lvl w:ilvl="4" w:tentative="0">
      <w:start w:val="1"/>
      <w:numFmt w:val="decimal"/>
      <w:isLgl/>
      <w:lvlText w:val="%1.%2.%3.%4.%5"/>
      <w:lvlJc w:val="left"/>
      <w:pPr>
        <w:ind w:left="991" w:hanging="991"/>
      </w:pPr>
      <w:rPr>
        <w:rFonts w:hint="eastAsia"/>
        <w:b/>
      </w:rPr>
    </w:lvl>
    <w:lvl w:ilvl="5" w:tentative="0">
      <w:start w:val="1"/>
      <w:numFmt w:val="decimal"/>
      <w:isLgl/>
      <w:lvlText w:val="%1.%2.%3.%4.%5.%6"/>
      <w:lvlJc w:val="left"/>
      <w:pPr>
        <w:ind w:left="1134" w:hanging="1134"/>
      </w:pPr>
      <w:rPr>
        <w:rFonts w:hint="eastAsia"/>
        <w:b/>
      </w:rPr>
    </w:lvl>
    <w:lvl w:ilvl="6" w:tentative="0">
      <w:start w:val="1"/>
      <w:numFmt w:val="decimal"/>
      <w:isLgl/>
      <w:lvlText w:val="%1.%2.%3.%4.%5.%6.%7"/>
      <w:lvlJc w:val="left"/>
      <w:pPr>
        <w:ind w:left="1275" w:hanging="1275"/>
      </w:pPr>
      <w:rPr>
        <w:rFonts w:hint="eastAsia"/>
        <w:b/>
      </w:rPr>
    </w:lvl>
    <w:lvl w:ilvl="7" w:tentative="0">
      <w:start w:val="1"/>
      <w:numFmt w:val="decimal"/>
      <w:isLgl/>
      <w:lvlText w:val="%1.%2.%3.%4.%5.%6.%7.%8"/>
      <w:lvlJc w:val="left"/>
      <w:pPr>
        <w:ind w:left="1418" w:hanging="1418"/>
      </w:pPr>
      <w:rPr>
        <w:rFonts w:hint="eastAsia"/>
        <w:b/>
      </w:rPr>
    </w:lvl>
    <w:lvl w:ilvl="8" w:tentative="0">
      <w:start w:val="1"/>
      <w:numFmt w:val="decimal"/>
      <w:isLgl/>
      <w:lvlText w:val="%1.%2.%3.%4.%5.%6.%7.%8.%9"/>
      <w:lvlJc w:val="left"/>
      <w:pPr>
        <w:ind w:left="1558" w:hanging="1558"/>
      </w:pPr>
      <w:rPr>
        <w:rFonts w:hint="eastAsia"/>
        <w:b/>
      </w:rPr>
    </w:lvl>
  </w:abstractNum>
  <w:abstractNum w:abstractNumId="7">
    <w:nsid w:val="009603F9"/>
    <w:multiLevelType w:val="singleLevel"/>
    <w:tmpl w:val="009603F9"/>
    <w:lvl w:ilvl="0" w:tentative="0">
      <w:start w:val="1"/>
      <w:numFmt w:val="bullet"/>
      <w:lvlText w:val=""/>
      <w:lvlJc w:val="left"/>
      <w:pPr>
        <w:tabs>
          <w:tab w:val="left" w:pos="420"/>
        </w:tabs>
        <w:ind w:left="840" w:hanging="420"/>
      </w:pPr>
      <w:rPr>
        <w:rFonts w:hint="default" w:ascii="Wingdings" w:hAnsi="Wingdings"/>
        <w:b/>
        <w:sz w:val="16"/>
        <w:szCs w:val="16"/>
      </w:rPr>
    </w:lvl>
  </w:abstractNum>
  <w:abstractNum w:abstractNumId="8">
    <w:nsid w:val="0BA33E3E"/>
    <w:multiLevelType w:val="singleLevel"/>
    <w:tmpl w:val="0BA33E3E"/>
    <w:lvl w:ilvl="0" w:tentative="0">
      <w:start w:val="1"/>
      <w:numFmt w:val="bullet"/>
      <w:lvlText w:val=""/>
      <w:lvlJc w:val="left"/>
      <w:pPr>
        <w:tabs>
          <w:tab w:val="left" w:pos="420"/>
        </w:tabs>
        <w:ind w:left="840" w:hanging="420"/>
      </w:pPr>
      <w:rPr>
        <w:rFonts w:hint="default" w:ascii="Wingdings" w:hAnsi="Wingdings"/>
        <w:b/>
        <w:sz w:val="18"/>
        <w:szCs w:val="18"/>
      </w:rPr>
    </w:lvl>
  </w:abstractNum>
  <w:abstractNum w:abstractNumId="9">
    <w:nsid w:val="1B28728D"/>
    <w:multiLevelType w:val="singleLevel"/>
    <w:tmpl w:val="1B28728D"/>
    <w:lvl w:ilvl="0" w:tentative="0">
      <w:start w:val="1"/>
      <w:numFmt w:val="bullet"/>
      <w:lvlText w:val=""/>
      <w:lvlJc w:val="left"/>
      <w:pPr>
        <w:tabs>
          <w:tab w:val="left" w:pos="420"/>
        </w:tabs>
        <w:ind w:left="840" w:hanging="420"/>
      </w:pPr>
      <w:rPr>
        <w:rFonts w:hint="default" w:ascii="Wingdings" w:hAnsi="Wingdings"/>
        <w:b/>
        <w:sz w:val="21"/>
        <w:szCs w:val="21"/>
      </w:rPr>
    </w:lvl>
  </w:abstractNum>
  <w:abstractNum w:abstractNumId="10">
    <w:nsid w:val="3A131767"/>
    <w:multiLevelType w:val="multilevel"/>
    <w:tmpl w:val="3A131767"/>
    <w:lvl w:ilvl="0" w:tentative="0">
      <w:start w:val="1"/>
      <w:numFmt w:val="upperLetter"/>
      <w:pStyle w:val="62"/>
      <w:suff w:val="space"/>
      <w:lvlText w:val="附录%1"/>
      <w:lvlJc w:val="left"/>
      <w:pPr>
        <w:ind w:left="0" w:firstLine="0"/>
      </w:pPr>
      <w:rPr>
        <w:rFonts w:hint="default" w:ascii="Times New Roman" w:hAnsi="Times New Roman" w:eastAsia="黑体"/>
        <w:b/>
        <w:caps w:val="0"/>
        <w:strike w:val="0"/>
        <w:dstrike w:val="0"/>
        <w:outline w:val="0"/>
        <w:shadow w:val="0"/>
        <w:emboss w:val="0"/>
        <w:imprint w:val="0"/>
        <w:vanish w:val="0"/>
        <w:color w:val="auto"/>
        <w:u w:val="none"/>
        <w:vertAlign w:val="baseline"/>
      </w:rPr>
    </w:lvl>
    <w:lvl w:ilvl="1" w:tentative="0">
      <w:start w:val="1"/>
      <w:numFmt w:val="decimal"/>
      <w:pStyle w:val="73"/>
      <w:suff w:val="space"/>
      <w:lvlText w:val="%1.%2"/>
      <w:lvlJc w:val="left"/>
      <w:pPr>
        <w:ind w:left="0" w:firstLine="0"/>
      </w:pPr>
      <w:rPr>
        <w:rFonts w:hint="default" w:ascii="Times New Roman" w:hAnsi="Times New Roman" w:eastAsia="宋体"/>
        <w:b/>
      </w:rPr>
    </w:lvl>
    <w:lvl w:ilvl="2" w:tentative="0">
      <w:start w:val="1"/>
      <w:numFmt w:val="decimal"/>
      <w:pStyle w:val="72"/>
      <w:suff w:val="space"/>
      <w:lvlText w:val="%1.%2.%3"/>
      <w:lvlJc w:val="left"/>
      <w:pPr>
        <w:ind w:left="0" w:firstLine="0"/>
      </w:pPr>
      <w:rPr>
        <w:rFonts w:hint="default" w:ascii="Times New Roman" w:hAnsi="Times New Roman" w:eastAsia="宋体"/>
        <w:b/>
      </w:rPr>
    </w:lvl>
    <w:lvl w:ilvl="3" w:tentative="0">
      <w:start w:val="1"/>
      <w:numFmt w:val="decimal"/>
      <w:pStyle w:val="60"/>
      <w:suff w:val="space"/>
      <w:lvlText w:val="%1.%2.%3.%4"/>
      <w:lvlJc w:val="left"/>
      <w:pPr>
        <w:ind w:left="0" w:firstLine="0"/>
      </w:pPr>
      <w:rPr>
        <w:rFonts w:hint="default" w:ascii="Times New Roman" w:hAnsi="Times New Roman" w:eastAsia="宋体"/>
        <w:b/>
      </w:rPr>
    </w:lvl>
    <w:lvl w:ilvl="4" w:tentative="0">
      <w:start w:val="1"/>
      <w:numFmt w:val="decimal"/>
      <w:lvlText w:val="%1.%2.%3.%4.%5"/>
      <w:lvlJc w:val="left"/>
      <w:pPr>
        <w:ind w:left="2551" w:hanging="850"/>
      </w:pPr>
      <w:rPr>
        <w:rFonts w:hint="eastAsia"/>
        <w:b/>
      </w:rPr>
    </w:lvl>
    <w:lvl w:ilvl="5" w:tentative="0">
      <w:start w:val="1"/>
      <w:numFmt w:val="decimal"/>
      <w:lvlText w:val="%1.%2.%3.%4.%5.%6"/>
      <w:lvlJc w:val="left"/>
      <w:pPr>
        <w:ind w:left="3260" w:hanging="1134"/>
      </w:pPr>
      <w:rPr>
        <w:rFonts w:hint="eastAsia"/>
        <w:b/>
      </w:rPr>
    </w:lvl>
    <w:lvl w:ilvl="6" w:tentative="0">
      <w:start w:val="1"/>
      <w:numFmt w:val="decimal"/>
      <w:lvlText w:val="%1.%2.%3.%4.%5.%6.%7"/>
      <w:lvlJc w:val="left"/>
      <w:pPr>
        <w:ind w:left="3827" w:hanging="1276"/>
      </w:pPr>
      <w:rPr>
        <w:rFonts w:hint="eastAsia"/>
        <w:b/>
      </w:rPr>
    </w:lvl>
    <w:lvl w:ilvl="7" w:tentative="0">
      <w:start w:val="1"/>
      <w:numFmt w:val="decimal"/>
      <w:lvlText w:val="%1.%2.%3.%4.%5.%6.%7.%8"/>
      <w:lvlJc w:val="left"/>
      <w:pPr>
        <w:ind w:left="4394" w:hanging="1418"/>
      </w:pPr>
      <w:rPr>
        <w:rFonts w:hint="eastAsia"/>
        <w:b/>
      </w:rPr>
    </w:lvl>
    <w:lvl w:ilvl="8" w:tentative="0">
      <w:start w:val="1"/>
      <w:numFmt w:val="decimal"/>
      <w:lvlText w:val="%1.%2.%3.%4.%5.%6.%7.%8.%9"/>
      <w:lvlJc w:val="left"/>
      <w:pPr>
        <w:ind w:left="5102" w:hanging="1700"/>
      </w:pPr>
      <w:rPr>
        <w:rFonts w:hint="eastAsia"/>
        <w:b/>
      </w:rPr>
    </w:lvl>
  </w:abstractNum>
  <w:num w:numId="1">
    <w:abstractNumId w:val="4"/>
  </w:num>
  <w:num w:numId="2">
    <w:abstractNumId w:val="10"/>
  </w:num>
  <w:num w:numId="3">
    <w:abstractNumId w:val="6"/>
  </w:num>
  <w:num w:numId="4">
    <w:abstractNumId w:val="8"/>
  </w:num>
  <w:num w:numId="5">
    <w:abstractNumId w:val="9"/>
  </w:num>
  <w:num w:numId="6">
    <w:abstractNumId w:val="3"/>
  </w:num>
  <w:num w:numId="7">
    <w:abstractNumId w:val="5"/>
  </w:num>
  <w:num w:numId="8">
    <w:abstractNumId w:val="7"/>
  </w:num>
  <w:num w:numId="9">
    <w:abstractNumId w:val="1"/>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hyphenationZone w:val="36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aurora:used-aurora" w:val="i:1"/>
    <w:docVar w:name="NE.Ref{01F8CDF8-02A5-4B40-9261-8EE459889D66}" w:val=" ADDIN NE.Ref.{01F8CDF8-02A5-4B40-9261-8EE459889D66}&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Citation&gt;_x000a_"/>
    <w:docVar w:name="NE.Ref{02DDDE7A-9FB5-4A0D-8E95-4DD9C1B532E6}" w:val=" ADDIN NE.Ref.{02DDDE7A-9FB5-4A0D-8E95-4DD9C1B532E6}&lt;Citation SecTmpl=&quot;1&quot;&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03089EA3-4346-4190-8DC8-805BF1F1681F}" w:val=" ADDIN NE.Ref.{03089EA3-4346-4190-8DC8-805BF1F1681F}&lt;Citation&gt;&lt;Group&gt;&lt;References&gt;&lt;Item&gt;&lt;ID&gt;839&lt;/ID&gt;&lt;UID&gt;{4AEB89D7-7AFF-4AB7-A5D1-E6EF916C51FF}&lt;/UID&gt;&lt;Title&gt;Climate Change 2007: Synthesis Report. Contribution of Working Groups I, II and III to the Fourth Assessment Report of the Intergovernmental Panel on Climate Change&lt;/Title&gt;&lt;Template&gt;Book&lt;/Template&gt;&lt;Star&gt;0&lt;/Star&gt;&lt;Tag&gt;0&lt;/Tag&gt;&lt;Author&gt;&amp;quot;Core Writing Team&amp;quot;; Pachauri, R K; Reisinger, A&lt;/Author&gt;&lt;Year&gt;2007&lt;/Year&gt;&lt;Details&gt;&lt;_accessed&gt;58780157&lt;/_accessed&gt;&lt;_created&gt;57710498&lt;/_created&gt;&lt;_language&gt;English&lt;/_language&gt;&lt;_modified&gt;58751427&lt;/_modified&gt;&lt;_place_published&gt;Geneva, Switzerland&lt;/_place_published&gt;&lt;_publisher&gt;IPCC&lt;/_publisher&gt;&lt;_secondary_author&gt;The Core Writing Team,; Pachauri, Rajendra K; Reisinger, Andy&lt;/_secondary_author&gt;&lt;/Details&gt;&lt;Extra&gt;&lt;DBUID&gt;{502CA3C0-22CA-4511-973C-E02D6A2BD88D}&lt;/DBUID&gt;&lt;/Extra&gt;&lt;/Item&gt;&lt;/References&gt;&lt;/Group&gt;&lt;/Citation&gt;_x000a_"/>
    <w:docVar w:name="NE.Ref{034E16A1-2C59-464B-BEE5-EC39E8E2FC7E}" w:val=" ADDIN NE.Ref.{034E16A1-2C59-464B-BEE5-EC39E8E2FC7E}&lt;Citation&gt;&lt;Group&gt;&lt;References&gt;&lt;Item&gt;&lt;ID&gt;1157&lt;/ID&gt;&lt;UID&gt;{3EAD2991-CB74-4704-ABD4-DD4366FF4B1B}&lt;/UID&gt;&lt;Title&gt;国务院常务会研究决定我国控制温室气体排放目标&lt;/Title&gt;&lt;Template&gt;Web Page&lt;/Template&gt;&lt;Star&gt;0&lt;/Star&gt;&lt;Tag&gt;0&lt;/Tag&gt;&lt;Author&gt;国务院办公厅&lt;/Author&gt;&lt;Year&gt;2009&lt;/Year&gt;&lt;Details&gt;&lt;_accessed&gt;59393439&lt;/_accessed&gt;&lt;_created&gt;58031251&lt;/_created&gt;&lt;_date&gt;57803040&lt;/_date&gt;&lt;_issue&gt;2011-5-3&lt;/_issue&gt;&lt;_language&gt;Chinese&lt;/_language&gt;&lt;_modified&gt;59393439&lt;/_modified&gt;&lt;_number&gt;2010-5-3&lt;/_number&gt;&lt;_place_published&gt;北京&lt;/_place_published&gt;&lt;_publisher&gt;国务院办公厅&lt;/_publisher&gt;&lt;_url&gt;http://www.gov.cn/ldhd/2009-11/26/content_1474016.htm&lt;/_url&gt;&lt;_volume&gt;2011&lt;/_volume&gt;&lt;/Details&gt;&lt;Extra&gt;&lt;DBUID&gt;{502CA3C0-22CA-4511-973C-E02D6A2BD88D}&lt;/DBUID&gt;&lt;/Extra&gt;&lt;/Item&gt;&lt;/References&gt;&lt;/Group&gt;&lt;/Citation&gt;_x000a_"/>
    <w:docVar w:name="NE.Ref{03B5DBAD-4F22-4836-B987-77A2CB505296}" w:val=" ADDIN NE.Ref.{03B5DBAD-4F22-4836-B987-77A2CB505296}&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89091&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03FEDE3B-3548-4C2E-BCDA-24823AEE79FE}" w:val=" ADDIN NE.Ref.{03FEDE3B-3548-4C2E-BCDA-24823AEE79FE}&lt;Citation&gt;&lt;Group&gt;&lt;References&gt;&lt;Item&gt;&lt;ID&gt;1183&lt;/ID&gt;&lt;UID&gt;{DC184AB2-808E-45FD-8FC0-D0961D9EA07A}&lt;/UID&gt;&lt;Title&gt;Decision support for sustainable development using a Canadian economic input-output life cycle assessment model&lt;/Title&gt;&lt;Template&gt;Journal Article&lt;/Template&gt;&lt;Star&gt;0&lt;/Star&gt;&lt;Tag&gt;0&lt;/Tag&gt;&lt;Author&gt;Bjorn, Andrew; Declercq-Lopez, Laura; Spatari, Sabrina; MacLean, Heather L&lt;/Author&gt;&lt;Year&gt;2005&lt;/Year&gt;&lt;Details&gt;&lt;_accessed&gt;59085810&lt;/_accessed&gt;&lt;_created&gt;58061441&lt;/_created&gt;&lt;_issue&gt;1&lt;/_issue&gt;&lt;_journal&gt;Canadian Journal of Civil Engineering&lt;/_journal&gt;&lt;_language&gt;English&lt;/_language&gt;&lt;_modified&gt;59085810&lt;/_modified&gt;&lt;_pages&gt;16-29&lt;/_pages&gt;&lt;_volume&gt;32&lt;/_volume&gt;&lt;/Details&gt;&lt;Extra&gt;&lt;DBUID&gt;{502CA3C0-22CA-4511-973C-E02D6A2BD88D}&lt;/DBUID&gt;&lt;/Extra&gt;&lt;/Item&gt;&lt;/References&gt;&lt;/Group&gt;&lt;/Citation&gt;_x000a_"/>
    <w:docVar w:name="NE.Ref{042F1483-F8D4-473D-AB27-BFBFE60C29FC}" w:val=" ADDIN NE.Ref.{042F1483-F8D4-473D-AB27-BFBFE60C29FC}&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04DE7421-DDC4-467A-B1D3-1A08D7963EFD}" w:val=" ADDIN NE.Ref.{04DE7421-DDC4-467A-B1D3-1A08D7963EFD}&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05694765-671B-4DCA-B1D5-2064AEB58D76}" w:val=" ADDIN NE.Ref.{05694765-671B-4DCA-B1D5-2064AEB58D76}&lt;Citation&gt;&lt;Group&gt;&lt;References&gt;&lt;Item&gt;&lt;ID&gt;1278&lt;/ID&gt;&lt;UID&gt;{45A7A4B2-FCD3-4D34-BDEE-AA33BDC99CE5}&lt;/UID&gt;&lt;Title&gt;Decomposition methodology in industrial energy demand analysis&lt;/Title&gt;&lt;Template&gt;Journal Article&lt;/Template&gt;&lt;Star&gt;0&lt;/Star&gt;&lt;Tag&gt;0&lt;/Tag&gt;&lt;Author&gt;Ang, B W&lt;/Author&gt;&lt;Year&gt;1995&lt;/Year&gt;&lt;Details&gt;&lt;_alternate_title&gt;Energy&lt;/_alternate_title&gt;&lt;_created&gt;59325726&lt;/_created&gt;&lt;_date_display&gt;1995///&lt;/_date_display&gt;&lt;_db_updated&gt;ScienceDirect&lt;/_db_updated&gt;&lt;_isbn&gt;0360-5442&lt;/_isbn&gt;&lt;_issue&gt;11&lt;/_issue&gt;&lt;_journal&gt;Energy&lt;/_journal&gt;&lt;_modified&gt;59325726&lt;/_modified&gt;&lt;_pages&gt;1081-1095&lt;/_pages&gt;&lt;_url&gt;http://www.sciencedirect.com/science/article/pii/036054429500068R&lt;/_url&gt;&lt;_volume&gt;20&lt;/_volume&gt;&lt;/Details&gt;&lt;Extra&gt;&lt;DBUID&gt;{502CA3C0-22CA-4511-973C-E02D6A2BD88D}&lt;/DBUID&gt;&lt;/Extra&gt;&lt;/Item&gt;&lt;/References&gt;&lt;/Group&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Group&gt;&lt;References&gt;&lt;Item&gt;&lt;ID&gt;42&lt;/ID&gt;&lt;UID&gt;{EB7DFBD4-9F23-4230-989A-ED34B556EB96}&lt;/UID&gt;&lt;Title&gt;A survey of index decomposition analysis in energy and environmental studies&lt;/Title&gt;&lt;Template&gt;Journal Article&lt;/Template&gt;&lt;Star&gt;0&lt;/Star&gt;&lt;Tag&gt;0&lt;/Tag&gt;&lt;Author&gt;Ang, B W; Zhang, F Q&lt;/Author&gt;&lt;Year&gt;2000&lt;/Year&gt;&lt;Details&gt;&lt;_accessed&gt;59325727&lt;/_accessed&gt;&lt;_alternate_title&gt;Energy&lt;/_alternate_title&gt;&lt;_bibtex_key&gt;AngZhang-42&lt;/_bibtex_key&gt;&lt;_created&gt;58448834&lt;/_created&gt;&lt;_date_display&gt;2000/12//&lt;/_date_display&gt;&lt;_db_updated&gt;ScienceDirectIP&lt;/_db_updated&gt;&lt;_isbn&gt;0360-5442&lt;/_isbn&gt;&lt;_issue&gt;12&lt;/_issue&gt;&lt;_journal&gt;Energy&lt;/_journal&gt;&lt;_modified&gt;58448834&lt;/_modified&gt;&lt;_pages&gt;1149-1176&lt;/_pages&gt;&lt;_url&gt;http://www.sciencedirect.com/science/article/B6V2S-41TMTN6-1/2/c35c06edb9e927e8518132f11a7e5d67&lt;/_url&gt;&lt;_volume&gt;25&lt;/_volume&gt;&lt;/Details&gt;&lt;Extra&gt;&lt;DBUID&gt;{502CA3C0-22CA-4511-973C-E02D6A2BD88D}&lt;/DBUID&gt;&lt;/Extra&gt;&lt;/Item&gt;&lt;/References&gt;&lt;/Group&gt;&lt;/Citation&gt;_x000a_"/>
    <w:docVar w:name="NE.Ref{0625B741-B0A8-418E-991A-A8D991100237}" w:val=" ADDIN NE.Ref.{0625B741-B0A8-418E-991A-A8D991100237}&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0651832A-7CEB-4093-934A-D0795329AD2A}" w:val=" ADDIN NE.Ref.{0651832A-7CEB-4093-934A-D0795329AD2A}&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06E9BB74-AD6D-43D4-88BF-4C465D57F34E}" w:val=" ADDIN NE.Ref.{06E9BB74-AD6D-43D4-88BF-4C465D57F34E}&lt;Citation&gt;&lt;Group&gt;&lt;References&gt;&lt;Item&gt;&lt;ID&gt;1262&lt;/ID&gt;&lt;UID&gt;{940E0933-A190-4725-9ACC-24D3FAB8939F}&lt;/UID&gt;&lt;Title&gt;基于CGE模型的我国低碳经济发展政策模拟分析&lt;/Title&gt;&lt;Template&gt;Thesis&lt;/Template&gt;&lt;Star&gt;0&lt;/Star&gt;&lt;Tag&gt;0&lt;/Tag&gt;&lt;Author&gt;郭正权&lt;/Author&gt;&lt;Year&gt;2011&lt;/Year&gt;&lt;Details&gt;&lt;_accessed&gt;59082771&lt;/_accessed&gt;&lt;_created&gt;59082771&lt;/_created&gt;&lt;_language&gt;Chinese&lt;/_language&gt;&lt;_modified&gt;59082772&lt;/_modified&gt;&lt;_place_published&gt;北京&lt;/_place_published&gt;&lt;_publisher&gt;中国矿业大学（北京）&lt;/_publisher&gt;&lt;_tertiary_author&gt;刘海滨&lt;/_tertiary_author&gt;&lt;_volume&gt;博士论文&lt;/_volume&gt;&lt;/Details&gt;&lt;Extra&gt;&lt;DBUID&gt;{502CA3C0-22CA-4511-973C-E02D6A2BD88D}&lt;/DBUID&gt;&lt;/Extra&gt;&lt;/Item&gt;&lt;/References&gt;&lt;/Group&gt;&lt;/Citation&gt;_x000a_"/>
    <w:docVar w:name="NE.Ref{079C5377-9D71-4841-B840-4BF15708C379}" w:val=" ADDIN NE.Ref.{079C5377-9D71-4841-B840-4BF15708C379}&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08239985-4841-4D45-B403-FCEA03D22BAA}" w:val=" ADDIN NE.Ref.{08239985-4841-4D45-B403-FCEA03D22BAA}&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094CFE50-B0F0-4E95-9DA7-D63061DB47F1}" w:val=" ADDIN NE.Ref.{094CFE50-B0F0-4E95-9DA7-D63061DB47F1}&lt;Citation&gt;&lt;Group&gt;&lt;References&gt;&lt;Item&gt;&lt;ID&gt;1013&lt;/ID&gt;&lt;UID&gt;{DD0344DF-835C-4A02-89CA-C4529531BD1A}&lt;/UID&gt;&lt;Title&gt;From production-based to consumption-based national emission inventories&lt;/Title&gt;&lt;Template&gt;Journal Article&lt;/Template&gt;&lt;Star&gt;0&lt;/Star&gt;&lt;Tag&gt;0&lt;/Tag&gt;&lt;Author&gt;Peters, G P&lt;/Author&gt;&lt;Year&gt;2008&lt;/Year&gt;&lt;Details&gt;&lt;_accessed&gt;59353097&lt;/_accessed&gt;&lt;_created&gt;57975140&lt;/_created&gt;&lt;_date_display&gt;2008_x000d__x000a_MAR 15&lt;/_date_display&gt;&lt;_isbn&gt;0921-8009&lt;/_isbn&gt;&lt;_issue&gt;1&lt;/_issue&gt;&lt;_journal&gt;Ecological Economics&lt;/_journal&gt;&lt;_keywords&gt;emission inventory; carbon leakage; shared responsibility; multi-regional input-output; Kyoto Protocol; clean development mechanism; GLOBAL ENVIRONMENTAL-IMPACT; GREENHOUSE-GAS EMISSIONS; CONSUMER RESPONSIBILITY; CO2 EMISSIONS; INPUT-OUTPUT; TRADE; POLLUTION; IMPORTS; CARBON; SYSTEM&lt;/_keywords&gt;&lt;_language&gt;English&lt;/_language&gt;&lt;_modified&gt;58801603&lt;/_modified&gt;&lt;_number&gt;ISI:000254423100002&lt;/_number&gt;&lt;_pages&gt;13-23&lt;/_pages&gt;&lt;_type_work&gt;Article&lt;/_type_work&gt;&lt;_volume&gt;65&lt;/_volume&gt;&lt;/Details&gt;&lt;Extra&gt;&lt;DBUID&gt;{502CA3C0-22CA-4511-973C-E02D6A2BD88D}&lt;/DBUID&gt;&lt;/Extra&gt;&lt;/Item&gt;&lt;/References&gt;&lt;/Group&gt;&lt;/Citation&gt;_x000a_"/>
    <w:docVar w:name="NE.Ref{0964B533-17B5-492C-8CBA-A56C129A7AD6}" w:val=" ADDIN NE.Ref.{0964B533-17B5-492C-8CBA-A56C129A7AD6}&lt;Citation SecTmpl=&quot;1&quot;&gt;&lt;Group&gt;&lt;References&gt;&lt;Item&gt;&lt;ID&gt;1137&lt;/ID&gt;&lt;UID&gt;{5812F07A-DDDC-44C6-B6F0-6720E1403483}&lt;/UID&gt;&lt;Title&gt;The contribution of Chinese exports to climate change&lt;/Title&gt;&lt;Template&gt;Journal Article&lt;/Template&gt;&lt;Star&gt;0&lt;/Star&gt;&lt;Tag&gt;0&lt;/Tag&gt;&lt;Author&gt;Weber, Christopher L; Peters, Glen P; Guan, Dabo; Hubacek, Klaus&lt;/Author&gt;&lt;Year&gt;2008&lt;/Year&gt;&lt;Details&gt;&lt;_accessed&gt;59388288&lt;/_accessed&gt;&lt;_alternate_title&gt;Energy Policy&lt;/_alternate_title&gt;&lt;_created&gt;58210077&lt;/_created&gt;&lt;_date_display&gt;2008/9//&lt;/_date_display&gt;&lt;_isbn&gt;0301-4215&lt;/_isbn&gt;&lt;_issue&gt;9&lt;/_issue&gt;&lt;_journal&gt;Energy Policy&lt;/_journal&gt;&lt;_keywords&gt;China; Exports; Climate change&lt;/_keywords&gt;&lt;_modified&gt;58210077&lt;/_modified&gt;&lt;_pages&gt;3572-3577&lt;/_pages&gt;&lt;_url&gt;http://www.sciencedirect.com/science/article/B6V2W-4T1SFRC-1/2/cf8906ef3be99e992f09a8ef53adb59c&lt;/_url&gt;&lt;_volume&gt;36&lt;/_volume&gt;&lt;/Details&gt;&lt;Extra&gt;&lt;DBUID&gt;{502CA3C0-22CA-4511-973C-E02D6A2BD88D}&lt;/DBUID&gt;&lt;/Extra&gt;&lt;/Item&gt;&lt;/References&gt;&lt;/Group&gt;&lt;/Citation&gt;_x000a_"/>
    <w:docVar w:name="NE.Ref{09BF929C-C4C0-44CB-8E55-E657983A2ACC}" w:val=" ADDIN NE.Ref.{09BF929C-C4C0-44CB-8E55-E657983A2ACC}&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09CEB497-5D43-4734-BABF-7DD393915D57}" w:val=" ADDIN NE.Ref.{09CEB497-5D43-4734-BABF-7DD393915D57} ADDIN NE.Ref.{09CEB497-5D43-4734-BABF-7DD393915D57}&lt;Citation&gt;&lt;Group&gt;&lt;References&gt;&lt;Item&gt;&lt;ID&gt;1208&lt;/ID&gt;&lt;UID&gt;{BBE586E6-493B-4739-AF6E-DAB749ADEDE2}&lt;/UID&gt;&lt;Title&gt;An Environmental/Input-Output Linear Programming Model to Reach the Targets for Greenhouse Gas Emissions Set by the Kyoto Protocol&lt;/Title&gt;&lt;Template&gt;Journal Article&lt;/Template&gt;&lt;Star&gt;0&lt;/Star&gt;&lt;Tag&gt;0&lt;/Tag&gt;&lt;Author&gt;Cristóbal, José Ramon San&lt;/Author&gt;&lt;Year&gt;2010&lt;/Year&gt;&lt;Details&gt;&lt;_accessed&gt;58748566&lt;/_accessed&gt;&lt;_created&gt;58748565&lt;/_created&gt;&lt;_issue&gt;3&lt;/_issue&gt;&lt;_journal&gt;Economic Systems Research&lt;/_journal&gt;&lt;_modified&gt;58748566&lt;/_modified&gt;&lt;_pages&gt;223-236&lt;/_pages&gt;&lt;_volume&gt;22&lt;/_volume&gt;&lt;/Details&gt;&lt;Extra&gt;&lt;DBUID&gt;{502CA3C0-22CA-4511-973C-E02D6A2BD88D}&lt;/DBUID&gt;&lt;/Extra&gt;&lt;/Item&gt;&lt;/References&gt;&lt;/Group&gt;&lt;/Citation&gt;_x000a_"/>
    <w:docVar w:name="NE.Ref{09FDAF94-240A-4BCE-997B-3CB0079A05DE}" w:val=" ADDIN NE.Ref.{09FDAF94-240A-4BCE-997B-3CB0079A05DE}&lt;Citation&gt;&lt;Group&gt;&lt;References&gt;&lt;Item&gt;&lt;ID&gt;1282&lt;/ID&gt;&lt;UID&gt;{A5098DAD-7B2B-43E1-BE56-E30D05FBE716}&lt;/UID&gt;&lt;Title&gt;The LMDI approach to decomposition analysis: a practical guide&lt;/Title&gt;&lt;Template&gt;Journal Article&lt;/Template&gt;&lt;Star&gt;0&lt;/Star&gt;&lt;Tag&gt;0&lt;/Tag&gt;&lt;Author&gt;Ang, B W&lt;/Author&gt;&lt;Year&gt;2005&lt;/Year&gt;&lt;Details&gt;&lt;_accessed&gt;59326076&lt;/_accessed&gt;&lt;_created&gt;59326076&lt;/_created&gt;&lt;_issue&gt;7&lt;/_issue&gt;&lt;_journal&gt;Energy Policy&lt;/_journal&gt;&lt;_modified&gt;59326076&lt;/_modified&gt;&lt;_pages&gt;867-871&lt;/_pages&gt;&lt;_volume&gt;33&lt;/_volume&gt;&lt;/Details&gt;&lt;Extra&gt;&lt;DBUID&gt;{502CA3C0-22CA-4511-973C-E02D6A2BD88D}&lt;/DBUID&gt;&lt;/Extra&gt;&lt;/Item&gt;&lt;/References&gt;&lt;/Group&gt;&lt;/Citation&gt;_x000a_"/>
    <w:docVar w:name="NE.Ref{0A5DAEF5-1528-47FF-95ED-6A849C2E7B30}" w:val=" ADDIN NE.Ref.{0A5DAEF5-1528-47FF-95ED-6A849C2E7B30} ADDIN NE.Ref.{0A5DAEF5-1528-47FF-95ED-6A849C2E7B30}&lt;Citation SecTmpl=&quot;1&quot;&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0D6B445D-D0B2-496D-9ACE-C907FBF49BEC}" w:val=" ADDIN NE.Ref.{0D6B445D-D0B2-496D-9ACE-C907FBF49BEC}&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0D7BDFDE-6F19-4213-A49F-56005F4894E4}" w:val=" ADDIN NE.Ref.{0D7BDFDE-6F19-4213-A49F-56005F4894E4}&lt;Citation&gt;&lt;Group&gt;&lt;References&gt;&lt;Item&gt;&lt;ID&gt;1006&lt;/ID&gt;&lt;UID&gt;{08E7436E-6435-4ADE-9342-543A11AD5CFD}&lt;/UID&gt;&lt;Title&gt;A three-perspective view of greenhouse gas emission responsibilities in New Zealand&lt;/Title&gt;&lt;Template&gt;Journal Article&lt;/Template&gt;&lt;Star&gt;0&lt;/Star&gt;&lt;Tag&gt;0&lt;/Tag&gt;&lt;Author&gt;Andrew, R; Forgie, V&lt;/Author&gt;&lt;Year&gt;2008&lt;/Year&gt;&lt;Details&gt;&lt;_accessed&gt;58752910&lt;/_accessed&gt;&lt;_created&gt;57975140&lt;/_created&gt;&lt;_date_display&gt;2008_x000d__x000a_DEC 1&lt;/_date_display&gt;&lt;_isbn&gt;0921-8009&lt;/_isbn&gt;&lt;_issue&gt;1-2&lt;/_issue&gt;&lt;_journal&gt;Ecological Economics&lt;/_journal&gt;&lt;_keywords&gt;Producer responsibility; Consumer responsibility; Shared responsibility; Contribution analysis; Input-output analysis; INPUT-OUTPUT-ANALYSIS; CONSUMER RESPONSIBILITY; ECOLOGICAL FOOTPRINTS; CONSUMPTION; PRODUCER; TRADE&lt;/_keywords&gt;&lt;_language&gt;English&lt;/_language&gt;&lt;_modified&gt;58752910&lt;/_modified&gt;&lt;_number&gt;ISI:000261308100017&lt;/_number&gt;&lt;_pages&gt;194-204&lt;/_pages&gt;&lt;_type_work&gt;Article&lt;/_type_work&gt;&lt;_volume&gt;68&lt;/_volume&gt;&lt;/Details&gt;&lt;Extra&gt;&lt;DBUID&gt;{502CA3C0-22CA-4511-973C-E02D6A2BD88D}&lt;/DBUID&gt;&lt;/Extra&gt;&lt;/Item&gt;&lt;/References&gt;&lt;/Group&gt;&lt;/Citation&gt;_x000a_"/>
    <w:docVar w:name="NE.Ref{0E429384-51D4-4D24-A924-05ED44CAFD64}" w:val=" ADDIN NE.Ref.{0E429384-51D4-4D24-A924-05ED44CAFD64}&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0E68AA9F-8475-47D4-B229-8C4F4A41F8D2}" w:val=" ADDIN NE.Ref.{0E68AA9F-8475-47D4-B229-8C4F4A41F8D2}&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0E8D2564-9E27-4FD6-AE8D-6D3A3E77A21B}" w:val=" ADDIN NE.Ref.{0E8D2564-9E27-4FD6-AE8D-6D3A3E77A21B}&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0F61C7D3-CD4C-40B6-8BD6-7F731ED8F003}" w:val=" ADDIN NE.Ref.{0F61C7D3-CD4C-40B6-8BD6-7F731ED8F003}&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10DF575F-714D-4C4E-A83B-F7A0922920D4}" w:val=" ADDIN NE.Ref.{10DF575F-714D-4C4E-A83B-F7A0922920D4}&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2755CB0-05C2-42B1-B025-607AFA70CEE6}" w:val=" ADDIN NE.Ref.{12755CB0-05C2-42B1-B025-607AFA70CEE6}&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129CED2B-9677-44E8-8169-1D1FD67A0D76}" w:val=" ADDIN NE.Ref.{129CED2B-9677-44E8-8169-1D1FD67A0D76}&lt;Citation&gt;&lt;Group&gt;&lt;References&gt;&lt;Item&gt;&lt;ID&gt;1180&lt;/ID&gt;&lt;UID&gt;{70A8FFE4-1CFD-49C8-B7D1-177730FE3DB6}&lt;/UID&gt;&lt;Title&gt;Construction of Chinese Energy and Emissions Inventory&lt;/Title&gt;&lt;Template&gt;Report&lt;/Template&gt;&lt;Star&gt;0&lt;/Star&gt;&lt;Tag&gt;0&lt;/Tag&gt;&lt;Author&gt;Peters, Glen&lt;/Author&gt;&lt;Year&gt;2006&lt;/Year&gt;&lt;Details&gt;&lt;_accessed&gt;59094290&lt;/_accessed&gt;&lt;_created&gt;58014522&lt;/_created&gt;&lt;_modified&gt;58014522&lt;/_modified&gt;&lt;_place_published&gt;Trondheim, Norway&lt;/_place_published&gt;&lt;_publisher&gt;Industrial Ecology Programme, Norwegian University of Science and Technology&lt;/_publisher&gt;&lt;/Details&gt;&lt;Extra&gt;&lt;DBUID&gt;{502CA3C0-22CA-4511-973C-E02D6A2BD88D}&lt;/DBUID&gt;&lt;/Extra&gt;&lt;/Item&gt;&lt;/References&gt;&lt;/Group&gt;&lt;/Citation&gt;_x000a_"/>
    <w:docVar w:name="NE.Ref{13C9EB03-E8CB-4773-845F-86FA3418B733}" w:val=" ADDIN NE.Ref.{13C9EB03-E8CB-4773-845F-86FA3418B733}&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13F5E426-10D2-4332-BAB3-781B7A902CAC}" w:val=" ADDIN NE.Ref.{13F5E426-10D2-4332-BAB3-781B7A902CAC}&lt;Citation&gt;&lt;Group&gt;&lt;References&gt;&lt;Item&gt;&lt;ID&gt;1225&lt;/ID&gt;&lt;UID&gt;{7BCE73C0-07B3-4C96-AD7D-321BF647CA22}&lt;/UID&gt;&lt;Title&gt;最终消费与碳减排责任的经济学分析&lt;/Title&gt;&lt;Template&gt;Journal Article&lt;/Template&gt;&lt;Star&gt;0&lt;/Star&gt;&lt;Tag&gt;0&lt;/Tag&gt;&lt;Author&gt;樊纲; 苏铭; 曹静&lt;/Author&gt;&lt;Year&gt;2010&lt;/Year&gt;&lt;Details&gt;&lt;_accessed&gt;58750575&lt;/_accessed&gt;&lt;_created&gt;58750575&lt;/_created&gt;&lt;_issue&gt;1&lt;/_issue&gt;&lt;_journal&gt;经济研究&lt;/_journal&gt;&lt;_modified&gt;58750575&lt;/_modified&gt;&lt;_pages&gt;4-14, 64&lt;/_pages&gt;&lt;/Details&gt;&lt;Extra&gt;&lt;DBUID&gt;{502CA3C0-22CA-4511-973C-E02D6A2BD88D}&lt;/DBUID&gt;&lt;/Extra&gt;&lt;/Item&gt;&lt;/References&gt;&lt;/Group&gt;&lt;/Citation&gt;_x000a_"/>
    <w:docVar w:name="NE.Ref{145BB334-758A-4421-B0CF-05E7459FACF3}" w:val=" ADDIN NE.Ref.{145BB334-758A-4421-B0CF-05E7459FACF3}&lt;Citation SecTmpl=&quot;1&quot;&gt;&lt;Group&gt;&lt;References&gt;&lt;Item&gt;&lt;ID&gt;1312&lt;/ID&gt;&lt;UID&gt;{55B5874F-37C0-4A40-B56F-CC8FDC8F61D6}&lt;/UID&gt;&lt;Title&gt;中国居民间接生活能源消费的结构分解分析&lt;/Title&gt;&lt;Template&gt;Journal Article&lt;/Template&gt;&lt;Star&gt;0&lt;/Star&gt;&lt;Tag&gt;0&lt;/Tag&gt;&lt;Author&gt;李艳梅; 张雷&lt;/Author&gt;&lt;Year&gt;2008&lt;/Year&gt;&lt;Details&gt;&lt;_accessed&gt;59335808&lt;/_accessed&gt;&lt;_cate&gt;F426.2&lt;/_cate&gt;&lt;_created&gt;59333287&lt;/_created&gt;&lt;_db_provider&gt;CNKI&lt;/_db_provider&gt;&lt;_db_updated&gt;CNKI&lt;/_db_updated&gt;&lt;_issue&gt;6&lt;/_issue&gt;&lt;_journal&gt;资源科学&lt;/_journal&gt;&lt;_keywords&gt;生活能源消费;直接;间接;投入产出;结构分解分析;&lt;/_keywords&gt;&lt;_language&gt;Chinese&lt;/_language&gt;&lt;_modified&gt;59333288&lt;/_modified&gt;&lt;_pages&gt;890-895&lt;/_pages&gt;&lt;_tertiary_title&gt;Resources Science&lt;/_tertiary_title&gt;&lt;_url&gt;http://epub.cnki.net/grid2008/brief/detailj.aspx?filename=ZRZY200806013&amp;amp;dbname=CJFQ2008&lt;/_url&gt;&lt;_volume&gt;30&lt;/_volume&gt;&lt;/Details&gt;&lt;Extra&gt;&lt;DBUID&gt;{502CA3C0-22CA-4511-973C-E02D6A2BD88D}&lt;/DBUID&gt;&lt;/Extra&gt;&lt;/Item&gt;&lt;/References&gt;&lt;/Group&gt;&lt;/Citation&gt;_x000a_"/>
    <w:docVar w:name="NE.Ref{15A7222E-AC65-4D08-A895-84D583BB164A}" w:val=" ADDIN NE.Ref.{15A7222E-AC65-4D08-A895-84D583BB164A}&lt;Citation&gt;&lt;Group&gt;&lt;References&gt;&lt;Item&gt;&lt;ID&gt;1176&lt;/ID&gt;&lt;UID&gt;{64433B34-7010-4CA3-8AAE-BFBD967D2744}&lt;/UID&gt;&lt;Title&gt;中国应对气候变化国家方案&lt;/Title&gt;&lt;Template&gt;Report&lt;/Template&gt;&lt;Star&gt;0&lt;/Star&gt;&lt;Tag&gt;0&lt;/Tag&gt;&lt;Author&gt;国家发展和改革委员会&lt;/Author&gt;&lt;Year&gt;2007&lt;/Year&gt;&lt;Details&gt;&lt;_accessed&gt;59085824&lt;/_accessed&gt;&lt;_created&gt;58020044&lt;/_created&gt;&lt;_language&gt;Chinese&lt;/_language&gt;&lt;_modified&gt;59085824&lt;/_modified&gt;&lt;_place_published&gt;北京&lt;/_place_published&gt;&lt;_publisher&gt;国家发展和改革委员会&lt;/_publisher&gt;&lt;/Details&gt;&lt;Extra&gt;&lt;DBUID&gt;{502CA3C0-22CA-4511-973C-E02D6A2BD88D}&lt;/DBUID&gt;&lt;/Extra&gt;&lt;/Item&gt;&lt;/References&gt;&lt;/Group&gt;&lt;/Citation&gt;_x000a_"/>
    <w:docVar w:name="NE.Ref{1632B224-66D6-4770-860C-F250C6A0CF9E}" w:val=" ADDIN NE.Ref.{1632B224-66D6-4770-860C-F250C6A0CF9E}&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Citation&gt;_x000a_"/>
    <w:docVar w:name="NE.Ref{164F99DD-E761-48B5-AA46-7B0CA57A26E5}" w:val=" ADDIN NE.Ref.{164F99DD-E761-48B5-AA46-7B0CA57A26E5}&lt;Citation SecTmpl=&quot;1&quot;&gt;&lt;Group&gt;&lt;References&gt;&lt;Item&gt;&lt;ID&gt;1310&lt;/ID&gt;&lt;UID&gt;{44A66B68-49A0-4B7A-BD09-45E7CB38BF5F}&lt;/UID&gt;&lt;Title&gt;中国能源强度变化原因及投入结构的作用&lt;/Title&gt;&lt;Template&gt;Journal Article&lt;/Template&gt;&lt;Star&gt;0&lt;/Star&gt;&lt;Tag&gt;0&lt;/Tag&gt;&lt;Author&gt;夏炎; 杨翠红; 陈锡康&lt;/Author&gt;&lt;Year&gt;2010&lt;/Year&gt;&lt;Details&gt;&lt;_accessed&gt;59335728&lt;/_accessed&gt;&lt;_created&gt;59333272&lt;/_created&gt;&lt;_issue&gt;3&lt;/_issue&gt;&lt;_journal&gt;北京大学学报(自然科学版)&lt;/_journal&gt;&lt;_language&gt;Chinese&lt;/_language&gt;&lt;_modified&gt;59333272&lt;/_modified&gt;&lt;_pages&gt;442-448&lt;/_pages&gt;&lt;_volume&gt;46&lt;/_volume&gt;&lt;/Details&gt;&lt;Extra&gt;&lt;DBUID&gt;{502CA3C0-22CA-4511-973C-E02D6A2BD88D}&lt;/DBUID&gt;&lt;/Extra&gt;&lt;/Item&gt;&lt;/References&gt;&lt;/Group&gt;&lt;/Citation&gt;_x000a_"/>
    <w:docVar w:name="NE.Ref{167150CF-F021-43F5-995B-B0A14D8B8CAA}" w:val=" ADDIN NE.Ref.{167150CF-F021-43F5-995B-B0A14D8B8CAA}&lt;Citation&gt;&lt;Group&gt;&lt;References&gt;&lt;Item&gt;&lt;ID&gt;1252&lt;/ID&gt;&lt;UID&gt;{CC0DBC16-DEB4-41A0-9AF1-3B8D7400D6B7}&lt;/UID&gt;&lt;Title&gt;World Urbanization Prospects: The 2011 Revision&lt;/Title&gt;&lt;Template&gt;Report&lt;/Template&gt;&lt;Star&gt;0&lt;/Star&gt;&lt;Tag&gt;0&lt;/Tag&gt;&lt;Author&gt;&amp;quot;UN Population Division&amp;quot;&lt;/Author&gt;&lt;Year&gt;2012&lt;/Year&gt;&lt;Details&gt;&lt;_accessed&gt;59082732&lt;/_accessed&gt;&lt;_created&gt;59082732&lt;/_created&gt;&lt;_language&gt;English&lt;/_language&gt;&lt;_modified&gt;59082732&lt;/_modified&gt;&lt;_place_published&gt;New York&lt;/_place_published&gt;&lt;_publisher&gt;United Nations, Department of Economic and Social Affairs, Population Division&lt;/_publisher&gt;&lt;_url&gt;http://esa.un.org/unpd/wup/index.htm&lt;/_url&gt;&lt;/Details&gt;&lt;Extra&gt;&lt;DBUID&gt;{502CA3C0-22CA-4511-973C-E02D6A2BD88D}&lt;/DBUID&gt;&lt;/Extra&gt;&lt;/Item&gt;&lt;/References&gt;&lt;/Group&gt;&lt;/Citation&gt;_x000a_"/>
    <w:docVar w:name="NE.Ref{16C85E97-4688-4033-AD7D-6516D7DC4B0B}" w:val=" ADDIN NE.Ref.{16C85E97-4688-4033-AD7D-6516D7DC4B0B}&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171DBCD7-A35B-45DF-99FD-A4078A24949B}" w:val=" ADDIN NE.Ref.{171DBCD7-A35B-45DF-99FD-A4078A24949B}&lt;Citation SecTmpl=&quot;1&quot;&gt;&lt;Group&gt;&lt;References&gt;&lt;Item&gt;&lt;ID&gt;1180&lt;/ID&gt;&lt;UID&gt;{70A8FFE4-1CFD-49C8-B7D1-177730FE3DB6}&lt;/UID&gt;&lt;Title&gt;Construction of Chinese Energy and Emissions Inventory&lt;/Title&gt;&lt;Template&gt;Report&lt;/Template&gt;&lt;Star&gt;0&lt;/Star&gt;&lt;Tag&gt;0&lt;/Tag&gt;&lt;Author&gt;Peters, Glen&lt;/Author&gt;&lt;Year&gt;2006&lt;/Year&gt;&lt;Details&gt;&lt;_accessed&gt;59094290&lt;/_accessed&gt;&lt;_created&gt;58014522&lt;/_created&gt;&lt;_modified&gt;58014522&lt;/_modified&gt;&lt;_place_published&gt;Trondheim, Norway&lt;/_place_published&gt;&lt;_publisher&gt;Industrial Ecology Programme, Norwegian University of Science and Technology&lt;/_publisher&gt;&lt;/Details&gt;&lt;Extra&gt;&lt;DBUID&gt;{502CA3C0-22CA-4511-973C-E02D6A2BD88D}&lt;/DBUID&gt;&lt;/Extra&gt;&lt;/Item&gt;&lt;/References&gt;&lt;/Group&gt;&lt;/Citation&gt;_x000a_"/>
    <w:docVar w:name="NE.Ref{1789E2B0-C9B5-4BAC-9D7B-629CEA8EE720}" w:val=" ADDIN NE.Ref.{1789E2B0-C9B5-4BAC-9D7B-629CEA8EE720}&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864A22B-5EDC-4DAF-8339-6B40A36E7F15}" w:val=" ADDIN NE.Ref.{1864A22B-5EDC-4DAF-8339-6B40A36E7F15}&lt;Citation SecTmpl=&quot;1&quot;&gt;&lt;Group&gt;&lt;References&gt;&lt;Item&gt;&lt;ID&gt;1296&lt;/ID&gt;&lt;UID&gt;{86B15D05-F8B6-4A45-826D-33E1FD26874B}&lt;/UID&gt;&lt;Title&gt;CO2 emissions embodied in China&amp;apos;s exports from 2002 to 2008: A structural decomposition analysis&lt;/Title&gt;&lt;Template&gt;Journal Article&lt;/Template&gt;&lt;Star&gt;0&lt;/Star&gt;&lt;Tag&gt;0&lt;/Tag&gt;&lt;Author&gt;Xu, Ming; Li, Ran; Crittenden, John C; Chen, Yongsheng&lt;/Author&gt;&lt;Year&gt;2011&lt;/Year&gt;&lt;Details&gt;&lt;_accessed&gt;59336149&lt;/_accessed&gt;&lt;_alternate_title&gt;Energy Policy_x000d__x000a_Asian Energy Security&lt;/_alternate_title&gt;&lt;_created&gt;59332958&lt;/_created&gt;&lt;_date_display&gt;2011/11//&lt;/_date_display&gt;&lt;_db_updated&gt;ScienceDirect&lt;/_db_updated&gt;&lt;_isbn&gt;0301-4215&lt;/_isbn&gt;&lt;_issue&gt;11&lt;/_issue&gt;&lt;_journal&gt;Energy Policy&lt;/_journal&gt;&lt;_keywords&gt;Emissions embodied in trade; Input–output analysis; China&lt;/_keywords&gt;&lt;_marked_fields&gt;title;SUB|3|1 _x000d__x000a_&lt;/_marked_fields&gt;&lt;_modified&gt;59332975&lt;/_modified&gt;&lt;_pages&gt;7381-7388&lt;/_pages&gt;&lt;_url&gt;http://www.sciencedirect.com/science/article/pii/S0301421511006896&lt;/_url&gt;&lt;_volume&gt;39&lt;/_volume&gt;&lt;/Details&gt;&lt;Extra&gt;&lt;DBUID&gt;{502CA3C0-22CA-4511-973C-E02D6A2BD88D}&lt;/DBUID&gt;&lt;/Extra&gt;&lt;/Item&gt;&lt;/References&gt;&lt;/Group&gt;&lt;/Citation&gt;_x000a_"/>
    <w:docVar w:name="NE.Ref{18B59DAD-DA1A-41BA-8589-D95C1E5FD908}" w:val=" ADDIN NE.Ref.{18B59DAD-DA1A-41BA-8589-D95C1E5FD908}&lt;Citation SecTmpl=&quot;1&quot;&gt;&lt;Group&gt;&lt;References&gt;&lt;Item&gt;&lt;ID&gt;1297&lt;/ID&gt;&lt;UID&gt;{20AC68C4-37B5-414D-A52D-2ECCAF469611}&lt;/UID&gt;&lt;Title&gt;中国居民消费隐含的碳排放量变化的驱动因素&lt;/Title&gt;&lt;Template&gt;Journal Article&lt;/Template&gt;&lt;Star&gt;0&lt;/Star&gt;&lt;Tag&gt;0&lt;/Tag&gt;&lt;Author&gt;姚亮; 刘晶茹; 王如松&lt;/Author&gt;&lt;Year&gt;2011&lt;/Year&gt;&lt;Details&gt;&lt;_accessed&gt;59335804&lt;/_accessed&gt;&lt;_created&gt;59332967&lt;/_created&gt;&lt;_issue&gt;19&lt;/_issue&gt;&lt;_journal&gt;生态学报&lt;/_journal&gt;&lt;_language&gt;Chinese&lt;/_language&gt;&lt;_modified&gt;59332968&lt;/_modified&gt;&lt;_pages&gt;5632-5637&lt;/_pages&gt;&lt;_tertiary_title&gt;Acta Ecologica Sinica&lt;/_tertiary_title&gt;&lt;_volume&gt;31&lt;/_volume&gt;&lt;/Details&gt;&lt;Extra&gt;&lt;DBUID&gt;{502CA3C0-22CA-4511-973C-E02D6A2BD88D}&lt;/DBUID&gt;&lt;/Extra&gt;&lt;/Item&gt;&lt;/References&gt;&lt;/Group&gt;&lt;/Citation&gt;_x000a_"/>
    <w:docVar w:name="NE.Ref{19B8811D-B2D4-4588-A769-892617F52754}" w:val=" ADDIN NE.Ref.{19B8811D-B2D4-4588-A769-892617F52754}&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9C00EF1-0673-4218-8983-74C899F2D011}" w:val=" ADDIN NE.Ref.{19C00EF1-0673-4218-8983-74C899F2D011}&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1ABCD4B5-66D9-4E3A-AD79-18CA984C655B}" w:val=" ADDIN NE.Ref.{1ABCD4B5-66D9-4E3A-AD79-18CA984C655B} ADDIN NE.Ref.{1ABCD4B5-66D9-4E3A-AD79-18CA984C655B}&lt;Citation&gt;&lt;Group&gt;&lt;References&gt;&lt;Item&gt;&lt;ID&gt;1197&lt;/ID&gt;&lt;UID&gt;{0D10A30D-874D-4664-942C-1FDA7A615DB9}&lt;/UID&gt;&lt;Title&gt;Interregional and regional input–output analysis: A model of a space economy&lt;/Title&gt;&lt;Template&gt;Journal Article&lt;/Template&gt;&lt;Star&gt;0&lt;/Star&gt;&lt;Tag&gt;0&lt;/Tag&gt;&lt;Author&gt;Isard, W&lt;/Author&gt;&lt;Year&gt;1951&lt;/Year&gt;&lt;Details&gt;&lt;_accessed&gt;58745431&lt;/_accessed&gt;&lt;_created&gt;58745431&lt;/_created&gt;&lt;_issue&gt;4&lt;/_issue&gt;&lt;_journal&gt;Review of Economics and Statistics&lt;/_journal&gt;&lt;_language&gt;English&lt;/_language&gt;&lt;_modified&gt;58745431&lt;/_modified&gt;&lt;_pages&gt;318–328&lt;/_pages&gt;&lt;_volume&gt;33&lt;/_volume&gt;&lt;/Details&gt;&lt;Extra&gt;&lt;DBUID&gt;{502CA3C0-22CA-4511-973C-E02D6A2BD88D}&lt;/DBUID&gt;&lt;/Extra&gt;&lt;/Item&gt;&lt;/References&gt;&lt;/Group&gt;&lt;/Citation&gt;_x000a_"/>
    <w:docVar w:name="NE.Ref{1BE75445-C325-4B00-AAE5-76AB93EF3B2E}" w:val=" ADDIN NE.Ref.{1BE75445-C325-4B00-AAE5-76AB93EF3B2E}&lt;Citation SecTmpl=&quot;1&quot;&gt;&lt;Group&gt;&lt;References&gt;&lt;Item&gt;&lt;ID&gt;1293&lt;/ID&gt;&lt;UID&gt;{3CAE860D-BF42-4733-81D0-55E38CF8D801}&lt;/UID&gt;&lt;Title&gt;Energy embodied in the international trade of China: An energy input–output analysis&lt;/Title&gt;&lt;Template&gt;Journal Article&lt;/Template&gt;&lt;Star&gt;0&lt;/Star&gt;&lt;Tag&gt;0&lt;/Tag&gt;&lt;Author&gt;Liu, Hongtao; Xi, Youmin; Guo, Ju E; Li, Xia&lt;/Author&gt;&lt;Year&gt;2010&lt;/Year&gt;&lt;Details&gt;&lt;_alternate_title&gt;Energy Policy&lt;/_alternate_title&gt;&lt;_created&gt;59332927&lt;/_created&gt;&lt;_date_display&gt;2010/8//&lt;/_date_display&gt;&lt;_db_updated&gt;ScienceDirect&lt;/_db_updated&gt;&lt;_isbn&gt;0301-4215&lt;/_isbn&gt;&lt;_issue&gt;8&lt;/_issue&gt;&lt;_journal&gt;Energy Policy&lt;/_journal&gt;&lt;_keywords&gt;Energy input–output analysis; Embodied energy; Structural decomposition analysis&lt;/_keywords&gt;&lt;_modified&gt;59332927&lt;/_modified&gt;&lt;_pages&gt;3957-3964&lt;/_pages&gt;&lt;_url&gt;http://www.sciencedirect.com/science/article/pii/S0301421510001825&lt;/_url&gt;&lt;_volume&gt;38&lt;/_volume&gt;&lt;/Details&gt;&lt;Extra&gt;&lt;DBUID&gt;{502CA3C0-22CA-4511-973C-E02D6A2BD88D}&lt;/DBUID&gt;&lt;/Extra&gt;&lt;/Item&gt;&lt;/References&gt;&lt;/Group&gt;&lt;/Citation&gt;_x000a_"/>
    <w:docVar w:name="NE.Ref{1C5109B1-5732-4912-B6CB-CBBFC84B9C8C}" w:val=" ADDIN NE.Ref.{1C5109B1-5732-4912-B6CB-CBBFC84B9C8C}&lt;Citation&gt;&lt;Group&gt;&lt;References&gt;&lt;Item&gt;&lt;ID&gt;1148&lt;/ID&gt;&lt;UID&gt;{F1F17E4A-9DF7-49E1-8241-7B080B87C1F6}&lt;/UID&gt;&lt;Title&gt;Input-output structural decomposition analysis: A critical appraisal&lt;/Title&gt;&lt;Template&gt;Journal Article&lt;/Template&gt;&lt;Star&gt;0&lt;/Star&gt;&lt;Tag&gt;0&lt;/Tag&gt;&lt;Author&gt;Rose, Adam; Casler, Stephen&lt;/Author&gt;&lt;Year&gt;1996&lt;/Year&gt;&lt;Details&gt;&lt;_accessed&gt;59366985&lt;/_accessed&gt;&lt;_created&gt;58204349&lt;/_created&gt;&lt;_isbn&gt;0953-5314&lt;/_isbn&gt;&lt;_issue&gt;1&lt;/_issue&gt;&lt;_journal&gt;Economic Systems Research&lt;/_journal&gt;&lt;_modified&gt;59366985&lt;/_modified&gt;&lt;_pages&gt;33-62&lt;/_pages&gt;&lt;_url&gt;http://www.informaworld.com/10.1080/09535319600000003&lt;/_url&gt;&lt;_volume&gt;8&lt;/_volume&gt;&lt;/Details&gt;&lt;Extra&gt;&lt;DBUID&gt;{502CA3C0-22CA-4511-973C-E02D6A2BD88D}&lt;/DBUID&gt;&lt;/Extra&gt;&lt;/Item&gt;&lt;/References&gt;&lt;/Group&gt;&lt;Group&gt;&lt;References&gt;&lt;Item&gt;&lt;ID&gt;1203&lt;/ID&gt;&lt;UID&gt;{F605FD22-EC78-4DCE-B9EA-9308D986DDF4}&lt;/UID&gt;&lt;Title&gt;Input–Output Analysis: Foundations and Extensions, Second Edition&lt;/Title&gt;&lt;Template&gt;Book&lt;/Template&gt;&lt;Star&gt;0&lt;/Star&gt;&lt;Tag&gt;0&lt;/Tag&gt;&lt;Author&gt;Miller, Ronald E; Blair, Peter D&lt;/Author&gt;&lt;Year&gt;2009&lt;/Year&gt;&lt;Details&gt;&lt;_accessed&gt;58747318&lt;/_accessed&gt;&lt;_created&gt;58747318&lt;/_created&gt;&lt;_label&gt;IO&lt;/_label&gt;&lt;_language&gt;English&lt;/_language&gt;&lt;_modified&gt;58747318&lt;/_modified&gt;&lt;_place_published&gt;Cambridge, UK&lt;/_place_published&gt;&lt;_publisher&gt;Cambridge University Press&lt;/_publisher&gt;&lt;/Details&gt;&lt;Extra&gt;&lt;DBUID&gt;{502CA3C0-22CA-4511-973C-E02D6A2BD88D}&lt;/DBUID&gt;&lt;/Extra&gt;&lt;/Item&gt;&lt;/References&gt;&lt;/Group&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1C5CA376-CA18-4ACF-9551-AD5BB61C7700}" w:val=" ADDIN NE.Ref.{1C5CA376-CA18-4ACF-9551-AD5BB61C7700}&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1C71EEB0-F8C6-44B1-A4AB-73AD144D2743}" w:val=" ADDIN NE.Ref.{1C71EEB0-F8C6-44B1-A4AB-73AD144D2743}&lt;Citation SecTmpl=&quot;1&quot;&gt;&lt;Group&gt;&lt;References&gt;&lt;Item&gt;&lt;ID&gt;1288&lt;/ID&gt;&lt;UID&gt;{6C6C7355-E0FA-45BF-A470-3900DFB3E4C9}&lt;/UID&gt;&lt;Title&gt;Why has the energy-output ratio fallen in China?&lt;/Title&gt;&lt;Template&gt;Journal Article&lt;/Template&gt;&lt;Star&gt;0&lt;/Star&gt;&lt;Tag&gt;0&lt;/Tag&gt;&lt;Author&gt;Garbaccio, Richard F; Ho, Mun S; Jorgenson, Dale W&lt;/Author&gt;&lt;Year&gt;1999&lt;/Year&gt;&lt;Details&gt;&lt;_accessed&gt;59366977&lt;/_accessed&gt;&lt;_created&gt;59331795&lt;/_created&gt;&lt;_issue&gt;3&lt;/_issue&gt;&lt;_journal&gt;The Energy Journal&lt;/_journal&gt;&lt;_language&gt;English&lt;/_language&gt;&lt;_modified&gt;59366977&lt;/_modified&gt;&lt;_pages&gt;63-91&lt;/_pages&gt;&lt;_volume&gt;20&lt;/_volume&gt;&lt;/Details&gt;&lt;Extra&gt;&lt;DBUID&gt;{502CA3C0-22CA-4511-973C-E02D6A2BD88D}&lt;/DBUID&gt;&lt;/Extra&gt;&lt;/Item&gt;&lt;/References&gt;&lt;/Group&gt;&lt;/Citation&gt;_x000a_"/>
    <w:docVar w:name="NE.Ref{1D8CBBEC-632E-4719-AB2F-8B5030C30455}" w:val=" ADDIN NE.Ref.{1D8CBBEC-632E-4719-AB2F-8B5030C30455}&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1DF27415-FA3A-445E-BD1C-3F6E80719C53}" w:val=" ADDIN NE.Ref.{1DF27415-FA3A-445E-BD1C-3F6E80719C53}&lt;Citation&gt;&lt;Group&gt;&lt;References&gt;&lt;Item&gt;&lt;ID&gt;1148&lt;/ID&gt;&lt;UID&gt;{F1F17E4A-9DF7-49E1-8241-7B080B87C1F6}&lt;/UID&gt;&lt;Title&gt;Input-Output Structural Decomposition Analysis: A Critical Appraisal&lt;/Title&gt;&lt;Template&gt;Journal Article&lt;/Template&gt;&lt;Star&gt;0&lt;/Star&gt;&lt;Tag&gt;0&lt;/Tag&gt;&lt;Author&gt;Rose, Adam; Casler, Stephen&lt;/Author&gt;&lt;Year&gt;1996&lt;/Year&gt;&lt;Details&gt;&lt;_accessed&gt;59328950&lt;/_accessed&gt;&lt;_created&gt;58204349&lt;/_created&gt;&lt;_isbn&gt;0953-5314&lt;/_isbn&gt;&lt;_issue&gt;1&lt;/_issue&gt;&lt;_journal&gt;Economic Systems Research&lt;/_journal&gt;&lt;_modified&gt;59085822&lt;/_modified&gt;&lt;_pages&gt;33-62&lt;/_pages&gt;&lt;_url&gt;http://www.informaworld.com/10.1080/09535319600000003&lt;/_url&gt;&lt;_volume&gt;8&lt;/_volume&gt;&lt;/Details&gt;&lt;Extra&gt;&lt;DBUID&gt;{502CA3C0-22CA-4511-973C-E02D6A2BD88D}&lt;/DBUID&gt;&lt;/Extra&gt;&lt;/Item&gt;&lt;/References&gt;&lt;/Group&gt;&lt;/Citation&gt;_x000a_"/>
    <w:docVar w:name="NE.Ref{1EB64AA2-C541-41B2-B002-609B58D17320}" w:val=" ADDIN NE.Ref.{1EB64AA2-C541-41B2-B002-609B58D17320}&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206F620F-6388-4376-89A1-D9D7642078AD}" w:val=" ADDIN NE.Ref.{206F620F-6388-4376-89A1-D9D7642078AD}&lt;Citation SecTmpl=&quot;1&quot;&gt;&lt;Group&gt;&lt;References&gt;&lt;Item&gt;&lt;ID&gt;1311&lt;/ID&gt;&lt;UID&gt;{21EDD523-DD61-4A12-8A4B-521A81337E6C}&lt;/UID&gt;&lt;Title&gt;中国能源消耗变动影响因素的结构分解&lt;/Title&gt;&lt;Template&gt;Journal Article&lt;/Template&gt;&lt;Star&gt;0&lt;/Star&gt;&lt;Tag&gt;0&lt;/Tag&gt;&lt;Author&gt;尚红云; 蒋萍&lt;/Author&gt;&lt;Year&gt;2009&lt;/Year&gt;&lt;Details&gt;&lt;_accessed&gt;59334716&lt;/_accessed&gt;&lt;_cate&gt;F426.2;F224&lt;/_cate&gt;&lt;_created&gt;59333284&lt;/_created&gt;&lt;_db_provider&gt;CNKI&lt;/_db_provider&gt;&lt;_db_updated&gt;CNKI&lt;/_db_updated&gt;&lt;_issue&gt;2&lt;/_issue&gt;&lt;_journal&gt;资源科学&lt;/_journal&gt;&lt;_keywords&gt;能源消耗;影响因素;投入产出;结构分解分析;政策建议;中国;&lt;/_keywords&gt;&lt;_language&gt;Chinese&lt;/_language&gt;&lt;_modified&gt;59333285&lt;/_modified&gt;&lt;_pages&gt;214-223&lt;/_pages&gt;&lt;_tertiary_title&gt;Resources Science&lt;/_tertiary_title&gt;&lt;_url&gt;http://epub.cnki.net/grid2008/brief/detailj.aspx?filename=ZRZY200902007&amp;amp;dbname=CJFQ2009&lt;/_url&gt;&lt;_volume&gt;31&lt;/_volume&gt;&lt;/Details&gt;&lt;Extra&gt;&lt;DBUID&gt;{502CA3C0-22CA-4511-973C-E02D6A2BD88D}&lt;/DBUID&gt;&lt;/Extra&gt;&lt;/Item&gt;&lt;/References&gt;&lt;/Group&gt;&lt;/Citation&gt;_x000a_"/>
    <w:docVar w:name="NE.Ref{2114A02D-D6D8-4D0E-AEB3-9E0E1FD1FC41}" w:val=" ADDIN NE.Ref.{2114A02D-D6D8-4D0E-AEB3-9E0E1FD1FC41}&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21153626-AFC8-41C9-9A08-3088C3D65BB2}" w:val=" ADDIN NE.Ref.{21153626-AFC8-41C9-9A08-3088C3D65BB2}&lt;Citation SecTmpl=&quot;1&quot;&gt;&lt;Group&gt;&lt;References&gt;&lt;Item&gt;&lt;ID&gt;1261&lt;/ID&gt;&lt;UID&gt;{73E1F906-F8F7-44CE-88D9-8A9CADADFA41}&lt;/UID&gt;&lt;Title&gt;基于动态CGE模型的中国气候政策模拟与分析&lt;/Title&gt;&lt;Template&gt;Thesis&lt;/Template&gt;&lt;Star&gt;0&lt;/Star&gt;&lt;Tag&gt;0&lt;/Tag&gt;&lt;Author&gt;王灿&lt;/Author&gt;&lt;Year&gt;2003&lt;/Year&gt;&lt;Details&gt;&lt;_accessed&gt;59314550&lt;/_accessed&gt;&lt;_created&gt;59082769&lt;/_created&gt;&lt;_language&gt;Chinese&lt;/_language&gt;&lt;_modified&gt;59082769&lt;/_modified&gt;&lt;_place_published&gt;北京&lt;/_place_published&gt;&lt;_publisher&gt;清华大学&lt;/_publisher&gt;&lt;_section&gt;环境系&lt;/_section&gt;&lt;_tertiary_author&gt;陈吉宁&lt;/_tertiary_author&gt;&lt;_volume&gt;博士论文&lt;/_volume&gt;&lt;/Details&gt;&lt;Extra&gt;&lt;DBUID&gt;{502CA3C0-22CA-4511-973C-E02D6A2BD88D}&lt;/DBUID&gt;&lt;/Extra&gt;&lt;/Item&gt;&lt;/References&gt;&lt;/Group&gt;&lt;/Citation&gt;_x000a_"/>
    <w:docVar w:name="NE.Ref{21CFDF8E-D4D3-4B65-8AFA-BCE4575C5B35}" w:val=" ADDIN NE.Ref.{21CFDF8E-D4D3-4B65-8AFA-BCE4575C5B35}&lt;Citation SecTmpl=&quot;1&quot;&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334695&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Citation&gt;_x000a_"/>
    <w:docVar w:name="NE.Ref{23F5D9FA-28A3-43BF-B569-229BC691C176}" w:val=" ADDIN NE.Ref.{23F5D9FA-28A3-43BF-B569-229BC691C176}&lt;Citation SecTmpl=&quot;1&quot;&gt;&lt;Group&gt;&lt;References&gt;&lt;Item&gt;&lt;ID&gt;1258&lt;/ID&gt;&lt;UID&gt;{918273A2-7D38-4B7C-8F2D-7F7184BB5AEA}&lt;/UID&gt;&lt;Title&gt;2009-2020年中国节能减排重点行业环境经济形势分析与预测&lt;/Title&gt;&lt;Template&gt;Book&lt;/Template&gt;&lt;Star&gt;0&lt;/Star&gt;&lt;Tag&gt;0&lt;/Tag&gt;&lt;Author&gt;环境保护部环境规划院; 国家信息中心&lt;/Author&gt;&lt;Year&gt;2009&lt;/Year&gt;&lt;Details&gt;&lt;_accessed&gt;59082761&lt;/_accessed&gt;&lt;_created&gt;59082761&lt;/_created&gt;&lt;_language&gt;Chinese&lt;/_language&gt;&lt;_modified&gt;59082761&lt;/_modified&gt;&lt;_place_published&gt;北京&lt;/_place_published&gt;&lt;_publisher&gt;中国环境科学出版社&lt;/_publisher&gt;&lt;/Details&gt;&lt;Extra&gt;&lt;DBUID&gt;{502CA3C0-22CA-4511-973C-E02D6A2BD88D}&lt;/DBUID&gt;&lt;/Extra&gt;&lt;/Item&gt;&lt;/References&gt;&lt;/Group&gt;&lt;/Citation&gt;_x000a_"/>
    <w:docVar w:name="NE.Ref{245BB677-C35D-46D5-8207-804F2659C14A}" w:val=" ADDIN NE.Ref.{245BB677-C35D-46D5-8207-804F2659C14A}&lt;Citation SecTmpl=&quot;1&quot;&gt;&lt;Group&gt;&lt;References&gt;&lt;Item&gt;&lt;ID&gt;1314&lt;/ID&gt;&lt;UID&gt;{68706F92-4AEB-447C-9EC4-135EAF4E6BFD}&lt;/UID&gt;&lt;Title&gt;中国碳排放增长的驱动因素及减排政策评价&lt;/Title&gt;&lt;Template&gt;Book&lt;/Template&gt;&lt;Star&gt;0&lt;/Star&gt;&lt;Tag&gt;0&lt;/Tag&gt;&lt;Author&gt;王锋&lt;/Author&gt;&lt;Year&gt;2011&lt;/Year&gt;&lt;Details&gt;&lt;_accessed&gt;59337317&lt;/_accessed&gt;&lt;_created&gt;59337317&lt;/_created&gt;&lt;_language&gt;Chinese&lt;/_language&gt;&lt;_modified&gt;59337317&lt;/_modified&gt;&lt;_pages&gt;53-54&lt;/_pages&gt;&lt;_place_published&gt;北京&lt;/_place_published&gt;&lt;_publisher&gt;经济科学出版社&lt;/_publisher&gt;&lt;/Details&gt;&lt;Extra&gt;&lt;DBUID&gt;{502CA3C0-22CA-4511-973C-E02D6A2BD88D}&lt;/DBUID&gt;&lt;/Extra&gt;&lt;/Item&gt;&lt;/References&gt;&lt;/Group&gt;&lt;/Citation&gt;_x000a_"/>
    <w:docVar w:name="NE.Ref{246A348E-6E2D-484E-BC51-445D497F501A}" w:val=" ADDIN NE.Ref.{246A348E-6E2D-484E-BC51-445D497F501A}&lt;Citation SecTmpl=&quot;1&quot;&gt;&lt;Group&gt;&lt;References&gt;&lt;Item&gt;&lt;ID&gt;1351&lt;/ID&gt;&lt;UID&gt;{595E33E1-DC9E-419F-8174-A70F18F4026E}&lt;/UID&gt;&lt;Title&gt;An inventory of primary air pollutants and CO2 emissions from cement production in China, 1990–2020&lt;/Title&gt;&lt;Template&gt;Journal Article&lt;/Template&gt;&lt;Star&gt;0&lt;/Star&gt;&lt;Tag&gt;0&lt;/Tag&gt;&lt;Author&gt;Lei, Yu; Zhang, Qiang; Nielsen, Chris; He, Kebin&lt;/Author&gt;&lt;Year&gt;2011&lt;/Year&gt;&lt;Details&gt;&lt;_accessed&gt;59393437&lt;/_accessed&gt;&lt;_alternate_title&gt;Atmospheric Environment&lt;/_alternate_title&gt;&lt;_created&gt;59354967&lt;/_created&gt;&lt;_date_display&gt;2011/1//&lt;/_date_display&gt;&lt;_db_updated&gt;ScienceDirect&lt;/_db_updated&gt;&lt;_isbn&gt;1352-2310&lt;/_isbn&gt;&lt;_issue&gt;1&lt;/_issue&gt;&lt;_journal&gt;Atmospheric Environment&lt;/_journal&gt;&lt;_keywords&gt;Cement industry; Emission inventory; China; Technology-based methodology&lt;/_keywords&gt;&lt;_marked_fields&gt;title;SUB|46|1 _x000d__x000a_&lt;/_marked_fields&gt;&lt;_modified&gt;59393437&lt;/_modified&gt;&lt;_pages&gt;147-154&lt;/_pages&gt;&lt;_url&gt;http://www.sciencedirect.com/science/article/pii/S1352231010008095&lt;/_url&gt;&lt;_volume&gt;45&lt;/_volume&gt;&lt;/Details&gt;&lt;Extra&gt;&lt;DBUID&gt;{502CA3C0-22CA-4511-973C-E02D6A2BD88D}&lt;/DBUID&gt;&lt;/Extra&gt;&lt;/Item&gt;&lt;/References&gt;&lt;/Group&gt;&lt;/Citation&gt;_x000a_"/>
    <w:docVar w:name="NE.Ref{25192D44-1C30-434D-B170-211C75965FC4}" w:val=" ADDIN NE.Ref.{25192D44-1C30-434D-B170-211C75965FC4}&lt;Citation SecTmpl=&quot;1&quot;&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25C073DD-AC39-4B2A-A07E-6E8D0A76A884}" w:val=" ADDIN NE.Ref.{25C073DD-AC39-4B2A-A07E-6E8D0A76A884}&lt;Citation&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26AC17B0-6E33-4BD8-AC2E-E9415071D4E0}" w:val=" ADDIN NE.Ref.{26AC17B0-6E33-4BD8-AC2E-E9415071D4E0}&lt;Citation&gt;&lt;Group&gt;&lt;References&gt;&lt;Item&gt;&lt;ID&gt;162&lt;/ID&gt;&lt;UID&gt;{CFDD96BA-EF9C-42B4-A6D8-BAEDF6FCB65D}&lt;/UID&gt;&lt;Title&gt;Impact of regional climate change on human health&lt;/Title&gt;&lt;Template&gt;Journal Article&lt;/Template&gt;&lt;Star&gt;0&lt;/Star&gt;&lt;Tag&gt;0&lt;/Tag&gt;&lt;Author&gt;Patz, Jonathan A; Campbell-Lendrum, Diarmid; Holloway, Tracey; Foley, Jonathan A&lt;/Author&gt;&lt;Year&gt;2005&lt;/Year&gt;&lt;Details&gt;&lt;_accessed&gt;57719348&lt;/_accessed&gt;&lt;_alternate_title&gt;Nature&lt;/_alternate_title&gt;&lt;_created&gt;57719348&lt;/_created&gt;&lt;_date_display&gt;2005/11/17/print&lt;/_date_display&gt;&lt;_isbn&gt;0028-0836&lt;/_isbn&gt;&lt;_issue&gt;7066&lt;/_issue&gt;&lt;_journal&gt;Nature&lt;/_journal&gt;&lt;_language&gt;English&lt;/_language&gt;&lt;_modified&gt;57719349&lt;/_modified&gt;&lt;_ori_publication&gt;Nature Publishing Group&lt;/_ori_publication&gt;&lt;_pages&gt;310-317&lt;/_pages&gt;&lt;_url&gt;http://dx.doi.org/10.1038/nature04188&lt;/_url&gt;&lt;_volume&gt;438&lt;/_volume&gt;&lt;/Details&gt;&lt;Extra&gt;&lt;DBUID&gt;{C1C6AFFD-40D7-4280-B372-B074675E48C0}&lt;/DBUID&gt;&lt;/Extra&gt;&lt;/Item&gt;&lt;/References&gt;&lt;/Group&gt;&lt;/Citation&gt;_x000a_"/>
    <w:docVar w:name="NE.Ref{27312C51-EDA4-4CAA-A745-61FE4F5CAE93}" w:val=" ADDIN NE.Ref.{27312C51-EDA4-4CAA-A745-61FE4F5CAE93}&lt;Citation&gt;&lt;Group&gt;&lt;References&gt;&lt;Item&gt;&lt;ID&gt;1161&lt;/ID&gt;&lt;UID&gt;{9F474BD8-8E5F-49B6-89DB-26F44232A646}&lt;/UID&gt;&lt;Title&gt;关于公布2009年中国区域电网基准线排放因子的公告&lt;/Title&gt;&lt;Template&gt;Web Page&lt;/Template&gt;&lt;Star&gt;0&lt;/Star&gt;&lt;Tag&gt;0&lt;/Tag&gt;&lt;Author&gt;国家发展和改革委员会应对气候变化司&lt;/Author&gt;&lt;Year&gt;2009&lt;/Year&gt;&lt;Details&gt;&lt;_accessed&gt;59393439&lt;/_accessed&gt;&lt;_created&gt;58032614&lt;/_created&gt;&lt;_date&gt;57591360&lt;/_date&gt;&lt;_issue&gt;2011-5-3&lt;/_issue&gt;&lt;_modified&gt;59393439&lt;/_modified&gt;&lt;_number&gt;2010-5-3&lt;/_number&gt;&lt;_place_published&gt;北京&lt;/_place_published&gt;&lt;_publisher&gt;国家发展和改革委员会应对气候变化司&lt;/_publisher&gt;&lt;_url&gt;http://qhs.ndrc.gov.cn/qjfzjz/t20090703_289357.htm&lt;/_url&gt;&lt;_volume&gt;2011&lt;/_volume&gt;&lt;/Details&gt;&lt;Extra&gt;&lt;DBUID&gt;{502CA3C0-22CA-4511-973C-E02D6A2BD88D}&lt;/DBUID&gt;&lt;/Extra&gt;&lt;/Item&gt;&lt;/References&gt;&lt;/Group&gt;&lt;/Citation&gt;_x000a_"/>
    <w:docVar w:name="NE.Ref{2738E997-5100-4B59-9301-8255FCEB5B2F}" w:val=" ADDIN NE.Ref.{2738E997-5100-4B59-9301-8255FCEB5B2F}&lt;Citation SecTmpl=&quot;1&quot;&gt;&lt;Group&gt;&lt;References&gt;&lt;Item&gt;&lt;ID&gt;1294&lt;/ID&gt;&lt;UID&gt;{45F97360-1EEB-4DC7-99BD-67922752FDA9}&lt;/UID&gt;&lt;Title&gt;Calculation and decomposition of indirect carbon emissions from residential consumption in China based on the input–output model&lt;/Title&gt;&lt;Template&gt;Journal Article&lt;/Template&gt;&lt;Star&gt;0&lt;/Star&gt;&lt;Tag&gt;0&lt;/Tag&gt;&lt;Author&gt;Zhu, Qin; Peng, Xizhe; Wu, Kaiya&lt;/Author&gt;&lt;Year&gt;2012&lt;/Year&gt;&lt;Details&gt;&lt;_accessed&gt;59336180&lt;/_accessed&gt;&lt;_alternate_title&gt;Energy Policy_x000d__x000a_Special Section: Frontiers of Sustainability&lt;/_alternate_title&gt;&lt;_created&gt;59332938&lt;/_created&gt;&lt;_date_display&gt;2012/9//&lt;/_date_display&gt;&lt;_db_updated&gt;ScienceDirect&lt;/_db_updated&gt;&lt;_isbn&gt;0301-4215&lt;/_isbn&gt;&lt;_issue&gt;0&lt;/_issue&gt;&lt;_journal&gt;Energy Policy&lt;/_journal&gt;&lt;_keywords&gt;Residential consumption; Indirect carbon emission; Input–output analysis&lt;/_keywords&gt;&lt;_modified&gt;59332938&lt;/_modified&gt;&lt;_pages&gt;618-626&lt;/_pages&gt;&lt;_url&gt;http://www.sciencedirect.com/science/article/pii/S0301421512004818&lt;/_url&gt;&lt;_volume&gt;48&lt;/_volume&gt;&lt;/Details&gt;&lt;Extra&gt;&lt;DBUID&gt;{502CA3C0-22CA-4511-973C-E02D6A2BD88D}&lt;/DBUID&gt;&lt;/Extra&gt;&lt;/Item&gt;&lt;/References&gt;&lt;/Group&gt;&lt;/Citation&gt;_x000a_"/>
    <w:docVar w:name="NE.Ref{275D6261-D1C0-4EC9-9C6E-E47A0FA3CA4B}" w:val=" ADDIN NE.Ref.{275D6261-D1C0-4EC9-9C6E-E47A0FA3CA4B}&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27695316-F3D9-4907-8040-5AFA75773D9F}" w:val=" ADDIN NE.Ref.{27695316-F3D9-4907-8040-5AFA75773D9F}&lt;Citation SecTmpl=&quot;1&quot;&gt;&lt;Group&gt;&lt;References&gt;&lt;Item&gt;&lt;ID&gt;1306&lt;/ID&gt;&lt;UID&gt;{338DAC0B-2EA8-431A-847F-910F964FC70E}&lt;/UID&gt;&lt;Title&gt;中国贸易增长的能源环境代价&lt;/Title&gt;&lt;Template&gt;Journal Article&lt;/Template&gt;&lt;Star&gt;0&lt;/Star&gt;&lt;Tag&gt;0&lt;/Tag&gt;&lt;Author&gt;张友国&lt;/Author&gt;&lt;Year&gt;2009&lt;/Year&gt;&lt;Details&gt;&lt;_accessed&gt;59389116&lt;/_accessed&gt;&lt;_author_adr&gt;中国社会科学院数量经济与技术经济研究所;&lt;/_author_adr&gt;&lt;_created&gt;59333222&lt;/_created&gt;&lt;_isbn&gt;1000-3894&lt;/_isbn&gt;&lt;_issue&gt;1&lt;/_issue&gt;&lt;_journal&gt;数量经济技术经济研究&lt;/_journal&gt;&lt;_keywords&gt;贸易含污量; 环境贸易条件; 投入产出模型; RAS; SDA&lt;/_keywords&gt;&lt;_modified&gt;59333224&lt;/_modified&gt;&lt;_pages&gt;16-30&lt;/_pages&gt;&lt;/Details&gt;&lt;Extra&gt;&lt;DBUID&gt;{502CA3C0-22CA-4511-973C-E02D6A2BD88D}&lt;/DBUID&gt;&lt;/Extra&gt;&lt;/Item&gt;&lt;/References&gt;&lt;/Group&gt;&lt;/Citation&gt;_x000a_"/>
    <w:docVar w:name="NE.Ref{289430CA-0AF8-4053-887E-F0FED4899D72}" w:val=" ADDIN NE.Ref.{289430CA-0AF8-4053-887E-F0FED4899D72}&lt;Citation&gt;&lt;Group&gt;&lt;References&gt;&lt;Item&gt;&lt;ID&gt;1176&lt;/ID&gt;&lt;UID&gt;{64433B34-7010-4CA3-8AAE-BFBD967D2744}&lt;/UID&gt;&lt;Title&gt;中国应对气候变化国家方案&lt;/Title&gt;&lt;Template&gt;Report&lt;/Template&gt;&lt;Star&gt;0&lt;/Star&gt;&lt;Tag&gt;0&lt;/Tag&gt;&lt;Author&gt;国家发展和改革委员会&lt;/Author&gt;&lt;Year&gt;2007&lt;/Year&gt;&lt;Details&gt;&lt;_accessed&gt;59085824&lt;/_accessed&gt;&lt;_created&gt;58020044&lt;/_created&gt;&lt;_language&gt;Chinese&lt;/_language&gt;&lt;_modified&gt;59085824&lt;/_modified&gt;&lt;_place_published&gt;北京&lt;/_place_published&gt;&lt;_publisher&gt;国家发展和改革委员会&lt;/_publisher&gt;&lt;/Details&gt;&lt;Extra&gt;&lt;DBUID&gt;{502CA3C0-22CA-4511-973C-E02D6A2BD88D}&lt;/DBUID&gt;&lt;/Extra&gt;&lt;/Item&gt;&lt;/References&gt;&lt;/Group&gt;&lt;/Citation&gt;_x000a_"/>
    <w:docVar w:name="NE.Ref{294A141B-A5DE-4ADC-A994-D4A776C055BC}" w:val=" ADDIN NE.Ref.{294A141B-A5DE-4ADC-A994-D4A776C055BC}&lt;Citation SecTmpl=&quot;1&quot;&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2A253232-065F-444C-83F4-FD6FEC5C2410}" w:val=" ADDIN NE.Ref.{2A253232-065F-444C-83F4-FD6FEC5C2410}&lt;Citation&gt;&lt;Group&gt;&lt;References&gt;&lt;Item&gt;&lt;ID&gt;1188&lt;/ID&gt;&lt;UID&gt;{D21672F6-B728-4250-A1C6-458583F2BBB5}&lt;/UID&gt;&lt;Title&gt;Embodied energy analysis and EMERGY analysis: a comparative view&lt;/Title&gt;&lt;Template&gt;Journal Article&lt;/Template&gt;&lt;Star&gt;0&lt;/Star&gt;&lt;Tag&gt;0&lt;/Tag&gt;&lt;Author&gt;Brown, M T; Herendeen, R A&lt;/Author&gt;&lt;Year&gt;1996&lt;/Year&gt;&lt;Details&gt;&lt;_alternate_title&gt;Ecological Economics&lt;/_alternate_title&gt;&lt;_created&gt;58054884&lt;/_created&gt;&lt;_date_display&gt;1996/12//&lt;/_date_display&gt;&lt;_isbn&gt;0921-8009&lt;/_isbn&gt;&lt;_issue&gt;3&lt;/_issue&gt;&lt;_journal&gt;Ecological Economics&lt;/_journal&gt;&lt;_modified&gt;58054884&lt;/_modified&gt;&lt;_pages&gt;219-235&lt;/_pages&gt;&lt;_url&gt;http://www.sciencedirect.com/science/article/B6VDY-3VVT40M-M/2/0024a4e3499ffa472a88cd990bfc0af1&lt;/_url&gt;&lt;_volume&gt;19&lt;/_volume&gt;&lt;/Details&gt;&lt;Extra&gt;&lt;DBUID&gt;{502CA3C0-22CA-4511-973C-E02D6A2BD88D}&lt;/DBUID&gt;&lt;/Extra&gt;&lt;/Item&gt;&lt;/References&gt;&lt;/Group&gt;&lt;Group&gt;&lt;References&gt;&lt;Item&gt;&lt;ID&gt;519&lt;/ID&gt;&lt;UID&gt;{300D951C-C0D8-49E1-B0BF-60A5761D57DA}&lt;/UID&gt;&lt;Title&gt;中国进出口贸易中的隐含碳估算&lt;/Title&gt;&lt;Template&gt;Journal Article&lt;/Template&gt;&lt;Star&gt;0&lt;/Star&gt;&lt;Tag&gt;0&lt;/Tag&gt;&lt;Author&gt;齐晔; 李惠民; 徐明&lt;/Author&gt;&lt;Year&gt;2008&lt;/Year&gt;&lt;Details&gt;&lt;_accessed&gt;59334759&lt;/_accessed&gt;&lt;_created&gt;57702209&lt;/_created&gt;&lt;_isbn&gt;1002-2104&lt;/_isbn&gt;&lt;_issue&gt;3&lt;/_issue&gt;&lt;_journal&gt;中国人口∙资源与环境&lt;/_journal&gt;&lt;_keywords&gt;进出口贸易;;隐含碳;;投入产出法&lt;/_keywords&gt;&lt;_modified&gt;58757243&lt;/_modified&gt;&lt;_pages&gt;8-13&lt;/_pages&gt;&lt;_volume&gt;18&lt;/_volume&gt;&lt;/Details&gt;&lt;Extra&gt;&lt;DBUID&gt;{502CA3C0-22CA-4511-973C-E02D6A2BD88D}&lt;/DBUID&gt;&lt;/Extra&gt;&lt;/Item&gt;&lt;/References&gt;&lt;/Group&gt;&lt;/Citation&gt;_x000a_"/>
    <w:docVar w:name="NE.Ref{2AED80DD-D0F1-43A5-A458-9806B9C5E9E8}" w:val=" ADDIN NE.Ref.{2AED80DD-D0F1-43A5-A458-9806B9C5E9E8}&lt;Citation SecTmpl=&quot;1&quot;&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Citation&gt;_x000a_"/>
    <w:docVar w:name="NE.Ref{2B00D9B6-EDD0-45DE-8294-A6126F77156F}" w:val=" ADDIN NE.Ref.{2B00D9B6-EDD0-45DE-8294-A6126F77156F}&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2B844157-F8C7-4D9C-8EC0-D1D9E7EF9CE5}" w:val=" ADDIN NE.Ref.{2B844157-F8C7-4D9C-8EC0-D1D9E7EF9CE5}&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2B95EC83-74F0-429C-A816-1B5B76034499}" w:val=" ADDIN NE.Ref.{2B95EC83-74F0-429C-A816-1B5B76034499}&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2BE2992B-D20D-4B43-B3A8-8400ADFE8D3B}" w:val=" ADDIN NE.Ref.{2BE2992B-D20D-4B43-B3A8-8400ADFE8D3B}&lt;Citation&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8034324&lt;/_accessed&gt;&lt;_created&gt;58034324&lt;/_created&gt;&lt;_issue&gt;7&lt;/_issue&gt;&lt;_journal&gt;Environmental Science &amp;amp; Technology &lt;/_journal&gt;&lt;_language&gt;English&lt;/_language&gt;&lt;_modified&gt;58034324&lt;/_modified&gt;&lt;_pages&gt;184A-191A&lt;/_pages&gt;&lt;_volume&gt;32&lt;/_volume&gt;&lt;/Details&gt;&lt;Extra&gt;&lt;DBUID&gt;{502CA3C0-22CA-4511-973C-E02D6A2BD88D}&lt;/DBUID&gt;&lt;/Extra&gt;&lt;/Item&gt;&lt;/References&gt;&lt;/Group&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2C405AB9-BEC2-474D-9595-B35BF0F25A47}" w:val=" ADDIN NE.Ref.{2C405AB9-BEC2-474D-9595-B35BF0F25A47}&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2CDF09D4-9365-4014-A84A-B877DCA202AE}" w:val=" ADDIN NE.Ref.{2CDF09D4-9365-4014-A84A-B877DCA202AE}&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2E0FB4BB-4255-4BC1-B8F4-AF53C45FB9C1}" w:val=" ADDIN NE.Ref.{2E0FB4BB-4255-4BC1-B8F4-AF53C45FB9C1}&lt;Citation&gt;&lt;Group&gt;&lt;References&gt;&lt;Item&gt;&lt;ID&gt;1263&lt;/ID&gt;&lt;UID&gt;{00DC775B-E0E0-4492-A9A2-16775A1CB62B}&lt;/UID&gt;&lt;Title&gt;中国能源统计年鉴2010&lt;/Title&gt;&lt;Template&gt;Book&lt;/Template&gt;&lt;Star&gt;0&lt;/Star&gt;&lt;Tag&gt;0&lt;/Tag&gt;&lt;Author&gt;国家统计局能源统计司&lt;/Author&gt;&lt;Year&gt;2011&lt;/Year&gt;&lt;Details&gt;&lt;_accessed&gt;59085526&lt;/_accessed&gt;&lt;_created&gt;59085526&lt;/_created&gt;&lt;_language&gt;Chinese&lt;/_language&gt;&lt;_modified&gt;59085526&lt;/_modified&gt;&lt;_place_published&gt;北京&lt;/_place_published&gt;&lt;_publisher&gt;中国统计出版社&lt;/_publisher&gt;&lt;/Details&gt;&lt;Extra&gt;&lt;DBUID&gt;{502CA3C0-22CA-4511-973C-E02D6A2BD88D}&lt;/DBUID&gt;&lt;/Extra&gt;&lt;/Item&gt;&lt;/References&gt;&lt;/Group&gt;&lt;/Citation&gt;_x000a_"/>
    <w:docVar w:name="NE.Ref{2E6F44FD-85C9-49C3-9591-71E8747C5BF6}" w:val=" ADDIN NE.Ref.{2E6F44FD-85C9-49C3-9591-71E8747C5BF6}&lt;Citation&gt;&lt;Group&gt;&lt;References&gt;&lt;Item&gt;&lt;ID&gt;1137&lt;/ID&gt;&lt;UID&gt;{5812F07A-DDDC-44C6-B6F0-6720E1403483}&lt;/UID&gt;&lt;Title&gt;The contribution of Chinese exports to climate change&lt;/Title&gt;&lt;Template&gt;Journal Article&lt;/Template&gt;&lt;Star&gt;0&lt;/Star&gt;&lt;Tag&gt;0&lt;/Tag&gt;&lt;Author&gt;Weber, Christopher L; Peters, Glen P; Guan, Dabo; Hubacek, Klaus&lt;/Author&gt;&lt;Year&gt;2008&lt;/Year&gt;&lt;Details&gt;&lt;_accessed&gt;59388288&lt;/_accessed&gt;&lt;_alternate_title&gt;Energy Policy&lt;/_alternate_title&gt;&lt;_created&gt;58210077&lt;/_created&gt;&lt;_date_display&gt;2008/9//&lt;/_date_display&gt;&lt;_isbn&gt;0301-4215&lt;/_isbn&gt;&lt;_issue&gt;9&lt;/_issue&gt;&lt;_journal&gt;Energy Policy&lt;/_journal&gt;&lt;_keywords&gt;China; Exports; Climate change&lt;/_keywords&gt;&lt;_modified&gt;58210077&lt;/_modified&gt;&lt;_pages&gt;3572-3577&lt;/_pages&gt;&lt;_url&gt;http://www.sciencedirect.com/science/article/B6V2W-4T1SFRC-1/2/cf8906ef3be99e992f09a8ef53adb59c&lt;/_url&gt;&lt;_volume&gt;36&lt;/_volume&gt;&lt;/Details&gt;&lt;Extra&gt;&lt;DBUID&gt;{502CA3C0-22CA-4511-973C-E02D6A2BD88D}&lt;/DBUID&gt;&lt;/Extra&gt;&lt;/Item&gt;&lt;/References&gt;&lt;/Group&gt;&lt;Group&gt;&lt;References&gt;&lt;Item&gt;&lt;ID&gt;985&lt;/ID&gt;&lt;UID&gt;{0798E421-7332-431F-890B-701F3E7975E9}&lt;/UID&gt;&lt;Title&gt;我国对外贸易的能源环境影响 &lt;/Title&gt;&lt;Template&gt;Thesis&lt;/Template&gt;&lt;Star&gt;0&lt;/Star&gt;&lt;Tag&gt;0&lt;/Tag&gt;&lt;Author&gt;陈红敏&lt;/Author&gt;&lt;Year&gt;2009&lt;/Year&gt;&lt;Details&gt;&lt;_accessed&gt;59082640&lt;/_accessed&gt;&lt;_created&gt;57974405&lt;/_created&gt;&lt;_db_provider&gt;CNKI&lt;/_db_provider&gt;&lt;_keywords&gt;投入产出分析; 隐含能; 隐含碳; 隐含流; 虚拟进口国; 资源投入产出效率&lt;/_keywords&gt;&lt;_modified&gt;59082640&lt;/_modified&gt;&lt;_publisher&gt;复旦大学&lt;/_publisher&gt;&lt;_url&gt;http://acad.cnki.net/KNS55/download.aspx?filename=3bohnV2U1VRtCVnBzS0hjevEmcstEdkR2THp1KTdWdrIzS2d1VQNGOoFWayd0Rvo2dZZFcHN1cNF0V%3d0TShdUVzwGSZ1ET1F3VCNVc1dUU1o1VWNENnVXOSBnU4V0NU92Vrd1UaRUdDl0dvQDMZFDc6BHdHF&amp;amp;tablename=CJFDLAST&amp;amp;dflag=pdfdown 全文链接_x000d__x000a_&lt;/_url&gt;&lt;_volume&gt;博士论文&lt;/_volume&gt;&lt;/Details&gt;&lt;Extra&gt;&lt;DBUID&gt;{502CA3C0-22CA-4511-973C-E02D6A2BD88D}&lt;/DBUID&gt;&lt;/Extra&gt;&lt;/Item&gt;&lt;/References&gt;&lt;/Group&gt;&lt;Group&gt;&lt;References&gt;&lt;Item&gt;&lt;ID&gt;975&lt;/ID&gt;&lt;UID&gt;{807E7CAB-78C9-479E-A2A8-DAD99F820F91}&lt;/UID&gt;&lt;Title&gt;Greenhouse gas emissions in China 2007: Inventory and input-output analysis&lt;/Title&gt;&lt;Template&gt;Journal Article&lt;/Template&gt;&lt;Star&gt;0&lt;/Star&gt;&lt;Tag&gt;0&lt;/Tag&gt;&lt;Author&gt;Chen, G Q; Zhang, Bo&lt;/Author&gt;&lt;Year&gt;2010&lt;/Year&gt;&lt;Details&gt;&lt;_accessed&gt;58463216&lt;/_accessed&gt;&lt;_alternate_title&gt;Energy Policy&lt;/_alternate_title&gt;&lt;_created&gt;58100299&lt;/_created&gt;&lt;_isbn&gt;0301-4215&lt;/_isbn&gt;&lt;_issue&gt;10&lt;/_issue&gt;&lt;_journal&gt;Energy Policy&lt;/_journal&gt;&lt;_keywords&gt;Greenhouse gas emissions; Carbon emission inventory; Input-output analysis&lt;/_keywords&gt;&lt;_label&gt;已打&lt;/_label&gt;&lt;_modified&gt;58463216&lt;/_modified&gt;&lt;_pages&gt;6180-6193&lt;/_pages&gt;&lt;_url&gt;http://www.sciencedirect.com/science/article/B6V2W-50B5WDR-5/2/71d3e7f8b034b083ed50565df1af7e8e&lt;/_url&gt;&lt;_volume&gt;38&lt;/_volume&gt;&lt;/Details&gt;&lt;Extra&gt;&lt;DBUID&gt;{502CA3C0-22CA-4511-973C-E02D6A2BD88D}&lt;/DBUID&gt;&lt;/Extra&gt;&lt;/Item&gt;&lt;/References&gt;&lt;/Group&gt;&lt;Group&gt;&lt;References&gt;&lt;Item&gt;&lt;ID&gt;974&lt;/ID&gt;&lt;UID&gt;{61B18AB6-3CE2-4B7B-99C3-C6C5F624C080}&lt;/UID&gt;&lt;Title&gt;基于投入产出分析的中国碳排放足迹研究&lt;/Title&gt;&lt;Template&gt;Journal Article&lt;/Template&gt;&lt;Star&gt;0&lt;/Star&gt;&lt;Tag&gt;0&lt;/Tag&gt;&lt;Author&gt;孙建卫; 陈志刚; 赵荣钦; 黄贤金; 赖力&lt;/Author&gt;&lt;Year&gt;2010&lt;/Year&gt;&lt;Details&gt;&lt;_accessed&gt;58279675&lt;/_accessed&gt;&lt;_created&gt;58055772&lt;/_created&gt;&lt;_issue&gt;5&lt;/_issue&gt;&lt;_journal&gt;中国人口∙资源与环境&lt;/_journal&gt;&lt;_language&gt;Chinese&lt;/_language&gt;&lt;_modified&gt;58279675&lt;/_modified&gt;&lt;_pages&gt;28-34&lt;/_pages&gt;&lt;_tertiary_title&gt;China Population, Resources and Environment&lt;/_tertiary_title&gt;&lt;_translated_author&gt;Sun, Jianwei; Chen, Zhigang; Zhao, Rongqin; Huang, Xianjin; Lai, Li&lt;/_translated_author&gt;&lt;_translated_title&gt;Research on Carbon emission footprint of China based on input-output model&lt;/_translated_title&gt;&lt;_volume&gt;20&lt;/_volume&gt;&lt;/Details&gt;&lt;Extra&gt;&lt;DBUID&gt;{502CA3C0-22CA-4511-973C-E02D6A2BD88D}&lt;/DBUID&gt;&lt;/Extra&gt;&lt;/Item&gt;&lt;/References&gt;&lt;/Group&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2FF02159-141A-4436-A1BE-F6318E4A58FE}" w:val=" ADDIN NE.Ref.{2FF02159-141A-4436-A1BE-F6318E4A58FE}&lt;Citation&gt;&lt;Group&gt;&lt;References&gt;&lt;Item&gt;&lt;ID&gt;1162&lt;/ID&gt;&lt;UID&gt;{F9B50771-375C-4415-806F-A096A32420A8}&lt;/UID&gt;&lt;Title&gt;CO2 emissions structure of Indian economy&lt;/Title&gt;&lt;Template&gt;Journal Article&lt;/Template&gt;&lt;Star&gt;0&lt;/Star&gt;&lt;Tag&gt;0&lt;/Tag&gt;&lt;Author&gt;Parikh, Jyoti; Panda, Manoj; Ganesh-Kumar, A; Singh, Vinay&lt;/Author&gt;&lt;Year&gt;2009&lt;/Year&gt;&lt;Details&gt;&lt;_accessed&gt;58752909&lt;/_accessed&gt;&lt;_alternate_title&gt;Energy_x000d__x000a_Energy and its sustainable development for India, Energy and its sustainable development for India&lt;/_alternate_title&gt;&lt;_created&gt;58054469&lt;/_created&gt;&lt;_date_display&gt;2009/8//&lt;/_date_display&gt;&lt;_isbn&gt;0360-5442&lt;/_isbn&gt;&lt;_issue&gt;8&lt;/_issue&gt;&lt;_journal&gt;Energy&lt;/_journal&gt;&lt;_keywords&gt;SAM (Social Accounting Matrix); Direct emissions; Indirect emissions&lt;/_keywords&gt;&lt;_label&gt;已打&lt;/_label&gt;&lt;_marked_fields&gt;title;SUB|3|1 _x000d__x000a_&lt;/_marked_fields&gt;&lt;_modified&gt;58752909&lt;/_modified&gt;&lt;_pages&gt;1024-1031&lt;/_pages&gt;&lt;_url&gt;http://www.sciencedirect.com/science/article/B6V2S-4W7B507-1/2/026b6d1dd31115f1486444873a520dc8&lt;/_url&gt;&lt;_volume&gt;34&lt;/_volume&gt;&lt;/Details&gt;&lt;Extra&gt;&lt;DBUID&gt;{502CA3C0-22CA-4511-973C-E02D6A2BD88D}&lt;/DBUID&gt;&lt;/Extra&gt;&lt;/Item&gt;&lt;/References&gt;&lt;/Group&gt;&lt;/Citation&gt;_x000a_"/>
    <w:docVar w:name="NE.Ref{30751FB2-781F-4F04-986C-555E7D916D2E}" w:val=" ADDIN NE.Ref.{30751FB2-781F-4F04-986C-555E7D916D2E}&lt;Citation SecTmpl=&quot;1&quot;&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31D14CD9-7227-4A78-9350-4FEC234E60B7}" w:val=" ADDIN NE.Ref.{31D14CD9-7227-4A78-9350-4FEC234E60B7}&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32577000-F341-4FA7-975C-619D89BDE595}" w:val=" ADDIN NE.Ref.{32577000-F341-4FA7-975C-619D89BDE595}&lt;Citation&gt;&lt;Group&gt;&lt;References&gt;&lt;Item&gt;&lt;ID&gt;155&lt;/ID&gt;&lt;UID&gt;{4143CCE7-BEAF-4212-80DA-3BB831C80864}&lt;/UID&gt;&lt;Title&gt;International Energy Statistics - CO2 Emissions&lt;/Title&gt;&lt;Template&gt;Electronic Source&lt;/Template&gt;&lt;Star&gt;0&lt;/Star&gt;&lt;Tag&gt;0&lt;/Tag&gt;&lt;Author&gt;USEIA&lt;/Author&gt;&lt;Year&gt;2010&lt;/Year&gt;&lt;Details&gt;&lt;_accessed&gt;59082357&lt;/_accessed&gt;&lt;_created&gt;58032017&lt;/_created&gt;&lt;_date&gt;58134240&lt;/_date&gt;&lt;_marked_fields&gt;title;SUB|37|1 _x000d__x000a_&lt;/_marked_fields&gt;&lt;_modified&gt;59082357&lt;/_modified&gt;&lt;_number&gt;2011-4-10&lt;/_number&gt;&lt;_place_published&gt;Washington, DC&lt;/_place_published&gt;&lt;_publisher&gt;U.S. Energy Information Administration&lt;/_publisher&gt;&lt;_url&gt;http://tonto.eia.doe.gov/cfapps/ipdbproject/IEDIndex3.cfm?tid=90&amp;amp;pid=44&amp;amp;aid=8&lt;/_url&gt;&lt;/Details&gt;&lt;Extra&gt;&lt;DBUID&gt;{502CA3C0-22CA-4511-973C-E02D6A2BD88D}&lt;/DBUID&gt;&lt;/Extra&gt;&lt;/Item&gt;&lt;/References&gt;&lt;/Group&gt;&lt;/Citation&gt;_x000a_"/>
    <w:docVar w:name="NE.Ref{33990696-9C48-4701-A661-1F8E6BEA7F49}" w:val=" ADDIN NE.Ref.{33990696-9C48-4701-A661-1F8E6BEA7F49}&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33C1B193-7896-46B5-9425-288EC2400858}" w:val=" ADDIN NE.Ref.{33C1B193-7896-46B5-9425-288EC2400858}&lt;Citation&gt;&lt;Group&gt;&lt;References&gt;&lt;Item&gt;&lt;ID&gt;1204&lt;/ID&gt;&lt;UID&gt;{F89FB131-9B15-4850-82C1-04BE5F69AE4B}&lt;/UID&gt;&lt;Title&gt;Linear Programming and Economic Analysis&lt;/Title&gt;&lt;Template&gt;Book&lt;/Template&gt;&lt;Star&gt;0&lt;/Star&gt;&lt;Tag&gt;0&lt;/Tag&gt;&lt;Author&gt;Dorfman, R; Samuelson, P; Solow, R&lt;/Author&gt;&lt;Year&gt;1958&lt;/Year&gt;&lt;Details&gt;&lt;_accessed&gt;58828258&lt;/_accessed&gt;&lt;_created&gt;58747322&lt;/_created&gt;&lt;_language&gt;English&lt;/_language&gt;&lt;_modified&gt;58747322&lt;/_modified&gt;&lt;_place_published&gt;New York, US&lt;/_place_published&gt;&lt;_publisher&gt;McGraw Hill&lt;/_publisher&gt;&lt;/Details&gt;&lt;Extra&gt;&lt;DBUID&gt;{502CA3C0-22CA-4511-973C-E02D6A2BD88D}&lt;/DBUID&gt;&lt;/Extra&gt;&lt;/Item&gt;&lt;/References&gt;&lt;/Group&gt;&lt;Group&gt;&lt;References&gt;&lt;Item&gt;&lt;ID&gt;1205&lt;/ID&gt;&lt;UID&gt;{DF6DD03F-6305-41B3-AE01-D0BCAC7C81BB}&lt;/UID&gt;&lt;Title&gt;Linear Programming Estimates of Changes in Input Coefficients&lt;/Title&gt;&lt;Template&gt;Journal Article&lt;/Template&gt;&lt;Star&gt;0&lt;/Star&gt;&lt;Tag&gt;0&lt;/Tag&gt;&lt;Author&gt;Matuszewski, T I; Pitts, P R; Sawyer, J A&lt;/Author&gt;&lt;Year&gt;1964&lt;/Year&gt;&lt;Details&gt;&lt;_accessed&gt;59085814&lt;/_accessed&gt;&lt;_created&gt;58747325&lt;/_created&gt;&lt;_issue&gt;2&lt;/_issue&gt;&lt;_journal&gt;Canadian Journal of Economics and Political Science&lt;/_journal&gt;&lt;_modified&gt;59085814&lt;/_modified&gt;&lt;_pages&gt;203-210&lt;/_pages&gt;&lt;_volume&gt;30&lt;/_volume&gt;&lt;/Details&gt;&lt;Extra&gt;&lt;DBUID&gt;{502CA3C0-22CA-4511-973C-E02D6A2BD88D}&lt;/DBUID&gt;&lt;/Extra&gt;&lt;/Item&gt;&lt;/References&gt;&lt;/Group&gt;&lt;Group&gt;&lt;References&gt;&lt;Item&gt;&lt;ID&gt;1206&lt;/ID&gt;&lt;UID&gt;{DF81BF40-495F-4808-AB29-56608C72E57A}&lt;/UID&gt;&lt;Title&gt;A Linear Programming System Analysing Embodied Technological Change&lt;/Title&gt;&lt;Template&gt;Book Section&lt;/Template&gt;&lt;Star&gt;0&lt;/Star&gt;&lt;Tag&gt;0&lt;/Tag&gt;&lt;Author&gt;Carter, A P&lt;/Author&gt;&lt;Year&gt;1970&lt;/Year&gt;&lt;Details&gt;&lt;_accessed&gt;59085811&lt;/_accessed&gt;&lt;_created&gt;58747328&lt;/_created&gt;&lt;_modified&gt;59085811&lt;/_modified&gt;&lt;_pages&gt;77-98&lt;/_pages&gt;&lt;_place_published&gt;Amsterdam&lt;/_place_published&gt;&lt;_publisher&gt;North-Holland&lt;/_publisher&gt;&lt;_secondary_author&gt;Carter, A P; Brody, A&lt;/_secondary_author&gt;&lt;_secondary_title&gt;Applications of Input-Output Analysis&lt;/_secondary_title&gt;&lt;/Details&gt;&lt;Extra&gt;&lt;DBUID&gt;{502CA3C0-22CA-4511-973C-E02D6A2BD88D}&lt;/DBUID&gt;&lt;/Extra&gt;&lt;/Item&gt;&lt;/References&gt;&lt;/Group&gt;&lt;Group&gt;&lt;References&gt;&lt;Item&gt;&lt;ID&gt;1207&lt;/ID&gt;&lt;UID&gt;{7EA69E36-74D1-4A7B-80CA-8CBD654AF9B8}&lt;/UID&gt;&lt;Title&gt;Input-Output Analysis and Linear Programming: The General Input-Output Model&lt;/Title&gt;&lt;Template&gt;Conference Paper&lt;/Template&gt;&lt;Star&gt;0&lt;/Star&gt;&lt;Tag&gt;0&lt;/Tag&gt;&lt;Author&gt;Beutel, J&lt;/Author&gt;&lt;Year&gt;1983&lt;/Year&gt;&lt;Details&gt;&lt;_accessed&gt;58753129&lt;/_accessed&gt;&lt;_created&gt;58747333&lt;/_created&gt;&lt;_modified&gt;58753129&lt;/_modified&gt;&lt;_place_published&gt;Laxenburg&lt;/_place_published&gt;&lt;_publisher&gt;IIASA&lt;/_publisher&gt;&lt;_secondary_title&gt;The 3rd IIASA Task Force Meeting&lt;/_secondary_title&gt;&lt;_tertiary_author&gt;Grassini, M; Smyshlyaev, A&lt;/_tertiary_author&gt;&lt;_tertiary_title&gt;Input–Output Modeling&lt;/_tertiary_title&gt;&lt;/Details&gt;&lt;Extra&gt;&lt;DBUID&gt;{502CA3C0-22CA-4511-973C-E02D6A2BD88D}&lt;/DBUID&gt;&lt;/Extra&gt;&lt;/Item&gt;&lt;/References&gt;&lt;/Group&gt;&lt;/Citation&gt;_x000a_"/>
    <w:docVar w:name="NE.Ref{35A06119-0A4A-4207-86CE-EEBE915F0767}" w:val=" ADDIN NE.Ref.{35A06119-0A4A-4207-86CE-EEBE915F0767}&lt;Citation SecTmpl=&quot;1&quot;&gt;&lt;Group&gt;&lt;References&gt;&lt;Item&gt;&lt;ID&gt;1189&lt;/ID&gt;&lt;UID&gt;{A6520ABB-D663-46F7-AD07-CF1FE9E67A6C}&lt;/UID&gt;&lt;Title&gt;Using input-output analysis to estimate economy-wide discharges&lt;/Title&gt;&lt;Template&gt;Journal Article&lt;/Template&gt;&lt;Star&gt;0&lt;/Star&gt;&lt;Tag&gt;0&lt;/Tag&gt;&lt;Author&gt;Lave, Lester B; Cobas-Flores, Elisa; Hendrickson, Chris T; McMichael, Francis C&lt;/Author&gt;&lt;Year&gt;1995&lt;/Year&gt;&lt;Details&gt;&lt;_alternate_title&gt;Environmental Science &amp;amp; Technology&lt;/_alternate_title&gt;&lt;_created&gt;58034313&lt;/_created&gt;&lt;_date&gt;1995-09-01&lt;/_date&gt;&lt;_date_display&gt;1995_x000d__x000a_1995/09/01/&lt;/_date_display&gt;&lt;_isbn&gt;0013-936X&lt;/_isbn&gt;&lt;_issue&gt;9&lt;/_issue&gt;&lt;_journal&gt;Environmental Science &amp;amp; Technology&lt;/_journal&gt;&lt;_modified&gt;58034313&lt;/_modified&gt;&lt;_ori_publication&gt;American Chemical Society&lt;/_ori_publication&gt;&lt;_pages&gt;420A-426A&lt;/_pages&gt;&lt;_url&gt;http://dx.doi.org/10.1021/es00009a003&lt;/_url&gt;&lt;_volume&gt;29&lt;/_volume&gt;&lt;/Details&gt;&lt;Extra&gt;&lt;DBUID&gt;{502CA3C0-22CA-4511-973C-E02D6A2BD88D}&lt;/DBUID&gt;&lt;/Extra&gt;&lt;/Item&gt;&lt;/References&gt;&lt;/Group&gt;&lt;/Citation&gt;_x000a_"/>
    <w:docVar w:name="NE.Ref{36E3B4A6-9E88-449F-B51C-0A27CD19DFEA}" w:val=" ADDIN NE.Ref.{36E3B4A6-9E88-449F-B51C-0A27CD19DFEA}&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3825B477-3F5D-4567-95FC-3883ED0EB16A}" w:val=" ADDIN NE.Ref.{3825B477-3F5D-4567-95FC-3883ED0EB16A}&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3884CB41-39E0-44BE-BDD7-DEAFF7D3F25C}" w:val=" ADDIN NE.Ref.{3884CB41-39E0-44BE-BDD7-DEAFF7D3F25C}&lt;Citation&gt;&lt;Group&gt;&lt;References&gt;&lt;Item&gt;&lt;ID&gt;1208&lt;/ID&gt;&lt;UID&gt;{BBE586E6-493B-4739-AF6E-DAB749ADEDE2}&lt;/UID&gt;&lt;Title&gt;An Environmental/Input-Output Linear Programming Model to Reach the Targets for Greenhouse Gas Emissions Set by the Kyoto Protocol&lt;/Title&gt;&lt;Template&gt;Journal Article&lt;/Template&gt;&lt;Star&gt;0&lt;/Star&gt;&lt;Tag&gt;0&lt;/Tag&gt;&lt;Author&gt;Cristóbal, José Ramon San&lt;/Author&gt;&lt;Year&gt;2010&lt;/Year&gt;&lt;Details&gt;&lt;_accessed&gt;58748566&lt;/_accessed&gt;&lt;_created&gt;58748565&lt;/_created&gt;&lt;_issue&gt;3&lt;/_issue&gt;&lt;_journal&gt;Economic Systems Research&lt;/_journal&gt;&lt;_modified&gt;58748566&lt;/_modified&gt;&lt;_pages&gt;223-236&lt;/_pages&gt;&lt;_volume&gt;22&lt;/_volume&gt;&lt;/Details&gt;&lt;Extra&gt;&lt;DBUID&gt;{502CA3C0-22CA-4511-973C-E02D6A2BD88D}&lt;/DBUID&gt;&lt;/Extra&gt;&lt;/Item&gt;&lt;/References&gt;&lt;/Group&gt;&lt;/Citation&gt;_x000a_"/>
    <w:docVar w:name="NE.Ref{389AB318-BEC2-4D63-9639-28BB07809E87}" w:val=" ADDIN NE.Ref.{389AB318-BEC2-4D63-9639-28BB07809E87}&lt;Citation&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38D640C9-AFA5-4C5A-851B-0C57A30C1B31}" w:val=" ADDIN NE.Ref.{38D640C9-AFA5-4C5A-851B-0C57A30C1B31}&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38E1074E-8F31-4DE6-A495-E519198410F7}" w:val=" ADDIN NE.Ref.{38E1074E-8F31-4DE6-A495-E519198410F7}&lt;Citation SecTmpl=&quot;1&quot;&gt;&lt;Group&gt;&lt;References&gt;&lt;Item&gt;&lt;ID&gt;1049&lt;/ID&gt;&lt;UID&gt;{7257A63E-8127-4502-8860-3C0EC8F209E0}&lt;/UID&gt;&lt;Title&gt;Methane emissions by Chinese economy: Inventory and embodiment analysis&lt;/Title&gt;&lt;Template&gt;Journal Article&lt;/Template&gt;&lt;Star&gt;0&lt;/Star&gt;&lt;Tag&gt;0&lt;/Tag&gt;&lt;Author&gt;Zhang, Bo; Chen, Guo Qian&lt;/Author&gt;&lt;Year&gt;2010&lt;/Year&gt;&lt;Details&gt;&lt;_accessed&gt;58486258&lt;/_accessed&gt;&lt;_alternate_title&gt;Energy Policy&lt;/_alternate_title&gt;&lt;_created&gt;58000911&lt;/_created&gt;&lt;_isbn&gt;0301-4215&lt;/_isbn&gt;&lt;_issue&gt;8&lt;/_issue&gt;&lt;_journal&gt;Energy Policy&lt;/_journal&gt;&lt;_keywords&gt;Methane emission; Inventory; Input-output embodiment analysis&lt;/_keywords&gt;&lt;_modified&gt;58486260&lt;/_modified&gt;&lt;_pages&gt;4304-4316&lt;/_pages&gt;&lt;_url&gt;http://www.sciencedirect.com/science/article/B6V2W-4YTSM5D-3/2/e005984c82449091037f9df6ea2a1b12&lt;/_url&gt;&lt;_volume&gt;38&lt;/_volume&gt;&lt;/Details&gt;&lt;Extra&gt;&lt;DBUID&gt;{502CA3C0-22CA-4511-973C-E02D6A2BD88D}&lt;/DBUID&gt;&lt;/Extra&gt;&lt;/Item&gt;&lt;/References&gt;&lt;/Group&gt;&lt;/Citation&gt;_x000a_"/>
    <w:docVar w:name="NE.Ref{392B4D8F-A8EA-4626-A92A-158FDB6331B0}" w:val=" ADDIN NE.Ref.{392B4D8F-A8EA-4626-A92A-158FDB6331B0}&lt;Citation&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Citation&gt;_x000a_"/>
    <w:docVar w:name="NE.Ref{3A36475C-2065-43AB-B5A1-77B1391D6732}" w:val=" ADDIN NE.Ref.{3A36475C-2065-43AB-B5A1-77B1391D6732}&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3A3684B8-5865-4708-ACCF-079E2940A651}" w:val=" ADDIN NE.Ref.{3A3684B8-5865-4708-ACCF-079E2940A651}&lt;Citation SecTmpl=&quot;1&quot;&gt;&lt;Group&gt;&lt;References&gt;&lt;Item&gt;&lt;ID&gt;1287&lt;/ID&gt;&lt;UID&gt;{3CB564FD-2782-464C-BD38-9FC2292BC7B1}&lt;/UID&gt;&lt;Title&gt;Input–output anatomy of China&amp;apos;s energy use changes in the 1980s&lt;/Title&gt;&lt;Template&gt;Journal Article&lt;/Template&gt;&lt;Star&gt;0&lt;/Star&gt;&lt;Tag&gt;0&lt;/Tag&gt;&lt;Author&gt;Lin, Xiannuan; Polenske, Karen R&lt;/Author&gt;&lt;Year&gt;1995&lt;/Year&gt;&lt;Details&gt;&lt;_accessed&gt;59366981&lt;/_accessed&gt;&lt;_created&gt;59331782&lt;/_created&gt;&lt;_issue&gt;1&lt;/_issue&gt;&lt;_journal&gt;Economic Systems Research&lt;/_journal&gt;&lt;_language&gt;English&lt;/_language&gt;&lt;_modified&gt;59366982&lt;/_modified&gt;&lt;_pages&gt;67-84&lt;/_pages&gt;&lt;_volume&gt;7&lt;/_volume&gt;&lt;/Details&gt;&lt;Extra&gt;&lt;DBUID&gt;{502CA3C0-22CA-4511-973C-E02D6A2BD88D}&lt;/DBUID&gt;&lt;/Extra&gt;&lt;/Item&gt;&lt;/References&gt;&lt;/Group&gt;&lt;/Citation&gt;_x000a_"/>
    <w:docVar w:name="NE.Ref{3A55F68A-76B3-49B3-A1E8-09F612C70EFE}" w:val=" ADDIN NE.Ref.{3A55F68A-76B3-49B3-A1E8-09F612C70EFE} ADDIN NE.Ref.{3A55F68A-76B3-49B3-A1E8-09F612C70EFE}&lt;Citation&gt;&lt;Group&gt;&lt;References&gt;&lt;Item&gt;&lt;ID&gt;5&lt;/ID&gt;&lt;UID&gt;{2494B224-016F-45AC-9229-994A718B72CF}&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B1C6C6ED-A304-4C0D-9312-ADA72474D14E}&lt;/DBUID&gt;&lt;/Extra&gt;&lt;/Item&gt;&lt;/References&gt;&lt;/Group&gt;&lt;Group&gt;&lt;References&gt;&lt;Item&gt;&lt;ID&gt;15&lt;/ID&gt;&lt;UID&gt;{A655163A-403C-47D3-8A1E-8B0886EBB8AE}&lt;/UID&gt;&lt;Title&gt;中国应对气候变化国家方案&lt;/Title&gt;&lt;Template&gt;Report&lt;/Template&gt;&lt;Star&gt;0&lt;/Star&gt;&lt;Tag&gt;0&lt;/Tag&gt;&lt;Author&gt;国家发展和改革委员会&lt;/Author&gt;&lt;Year&gt;2007&lt;/Year&gt;&lt;Details&gt;&lt;_accessed&gt;58020044&lt;/_accessed&gt;&lt;_created&gt;58020044&lt;/_created&gt;&lt;_language&gt;Chinese&lt;/_language&gt;&lt;_modified&gt;58020044&lt;/_modified&gt;&lt;_pages&gt;6&lt;/_pages&gt;&lt;_place_published&gt;北京&lt;/_place_published&gt;&lt;_publisher&gt;国家发展和改革委员会&lt;/_publisher&gt;&lt;/Details&gt;&lt;Extra&gt;&lt;DBUID&gt;{B1C6C6ED-A304-4C0D-9312-ADA72474D14E}&lt;/DBUID&gt;&lt;/Extra&gt;&lt;/Item&gt;&lt;/References&gt;&lt;/Group&gt;&lt;Group&gt;&lt;References&gt;&lt;Item&gt;&lt;ID&gt;13&lt;/ID&gt;&lt;UID&gt;{FE69C7D1-FA25-4CEE-BC96-CACFDBF5ED5D}&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B1C6C6ED-A304-4C0D-9312-ADA72474D14E}&lt;/DBUID&gt;&lt;/Extra&gt;&lt;/Item&gt;&lt;/References&gt;&lt;/Group&gt;&lt;/Citation&gt;_x000a_"/>
    <w:docVar w:name="NE.Ref{3B1661E6-1A31-4E9C-B454-45CB26D8A023}" w:val=" ADDIN NE.Ref.{3B1661E6-1A31-4E9C-B454-45CB26D8A023}&lt;Citation SecTmpl=&quot;1&quot;&gt;&lt;Group&gt;&lt;References&gt;&lt;Item&gt;&lt;ID&gt;1118&lt;/ID&gt;&lt;UID&gt;{4E64C9B5-98EF-4A76-BD1E-522C44AE3FFE}&lt;/UID&gt;&lt;Title&gt;A structure decomposition analysis of China&amp;apos;s production-source CO2 emissions: 1992-2002&lt;/Title&gt;&lt;Template&gt;Journal Article&lt;/Template&gt;&lt;Star&gt;0&lt;/Star&gt;&lt;Tag&gt;0&lt;/Tag&gt;&lt;Author&gt;Zhang, Huanbo; Qi, Ye&lt;/Author&gt;&lt;Year&gt;2011&lt;/Year&gt;&lt;Details&gt;&lt;_accessed&gt;59366986&lt;/_accessed&gt;&lt;_created&gt;58441611&lt;/_created&gt;&lt;_doi&gt;10.1007/s10640-010-9424-z&lt;/_doi&gt;&lt;_issue&gt;1&lt;/_issue&gt;&lt;_journal&gt;Environmental and Resource Economics&lt;/_journal&gt;&lt;_marked_fields&gt;title;SUB|67|1 _x000d__x000a_&lt;/_marked_fields&gt;&lt;_modified&gt;59366987&lt;/_modified&gt;&lt;_pages&gt;65-77&lt;/_pages&gt;&lt;_volume&gt;49&lt;/_volume&gt;&lt;/Details&gt;&lt;Extra&gt;&lt;DBUID&gt;{502CA3C0-22CA-4511-973C-E02D6A2BD88D}&lt;/DBUID&gt;&lt;/Extra&gt;&lt;/Item&gt;&lt;/References&gt;&lt;/Group&gt;&lt;/Citation&gt;_x000a_"/>
    <w:docVar w:name="NE.Ref{3C282489-E757-4320-A1B8-51D5942D4270}" w:val=" ADDIN NE.Ref.{3C282489-E757-4320-A1B8-51D5942D4270}&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3C65453E-9DA0-4716-B119-3E2858B53018}" w:val=" ADDIN NE.Ref.{3C65453E-9DA0-4716-B119-3E2858B53018} ADDIN NE.Ref.{3C65453E-9DA0-4716-B119-3E2858B53018}&lt;Citation SecTmpl=&quot;1&quot;&gt;&lt;Group&gt;&lt;References&gt;&lt;Item&gt;&lt;ID&gt;1196&lt;/ID&gt;&lt;UID&gt;{AA5498BB-88DB-4D07-806B-C5C68DB756A2}&lt;/UID&gt;&lt;Title&gt;The stability of interregional trading patterns and input–output analysis&lt;/Title&gt;&lt;Template&gt;Journal Article&lt;/Template&gt;&lt;Star&gt;0&lt;/Star&gt;&lt;Tag&gt;0&lt;/Tag&gt;&lt;Author&gt;Moses, L N&lt;/Author&gt;&lt;Year&gt;1955&lt;/Year&gt;&lt;Details&gt;&lt;_accessed&gt;58745426&lt;/_accessed&gt;&lt;_created&gt;58745426&lt;/_created&gt;&lt;_issue&gt;5&lt;/_issue&gt;&lt;_journal&gt;American Economic Review&lt;/_journal&gt;&lt;_label&gt;MRIO&lt;/_label&gt;&lt;_language&gt;English&lt;/_language&gt;&lt;_modified&gt;58745426&lt;/_modified&gt;&lt;_pages&gt;803–826&lt;/_pages&gt;&lt;_volume&gt;45&lt;/_volume&gt;&lt;/Details&gt;&lt;Extra&gt;&lt;DBUID&gt;{502CA3C0-22CA-4511-973C-E02D6A2BD88D}&lt;/DBUID&gt;&lt;/Extra&gt;&lt;/Item&gt;&lt;/References&gt;&lt;/Group&gt;&lt;/Citation&gt;_x000a_"/>
    <w:docVar w:name="NE.Ref{3CBF7032-35CD-424A-A9AB-CE09FC1FBB1A}" w:val=" ADDIN NE.Ref.{3CBF7032-35CD-424A-A9AB-CE09FC1FBB1A}&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3CD25092-145A-49E2-985B-02C2EDAA68AF}" w:val=" ADDIN NE.Ref.{3CD25092-145A-49E2-985B-02C2EDAA68AF}&lt;Citation&gt;&lt;Group&gt;&lt;References&gt;&lt;Item&gt;&lt;ID&gt;1264&lt;/ID&gt;&lt;UID&gt;{0427D0B5-F102-4760-8FA0-DB83B7DDB6D2}&lt;/UID&gt;&lt;Title&gt;中国能源统计年鉴1991-1996&lt;/Title&gt;&lt;Template&gt;Book&lt;/Template&gt;&lt;Star&gt;0&lt;/Star&gt;&lt;Tag&gt;0&lt;/Tag&gt;&lt;Author&gt;国家统计局工业交通统计司&lt;/Author&gt;&lt;Year&gt;1998&lt;/Year&gt;&lt;Details&gt;&lt;_accessed&gt;59085538&lt;/_accessed&gt;&lt;_created&gt;59085538&lt;/_created&gt;&lt;_language&gt;Chinese&lt;/_language&gt;&lt;_modified&gt;59085538&lt;/_modified&gt;&lt;_place_published&gt;北京&lt;/_place_published&gt;&lt;_publisher&gt;中国统计出版社&lt;/_publisher&gt;&lt;/Details&gt;&lt;Extra&gt;&lt;DBUID&gt;{502CA3C0-22CA-4511-973C-E02D6A2BD88D}&lt;/DBUID&gt;&lt;/Extra&gt;&lt;/Item&gt;&lt;/References&gt;&lt;/Group&gt;&lt;/Citation&gt;_x000a_"/>
    <w:docVar w:name="NE.Ref{3CF89E77-AC55-4EED-8BCE-89011BA5DF8C}" w:val=" ADDIN NE.Ref.{3CF89E77-AC55-4EED-8BCE-89011BA5DF8C}&lt;Citation SecTmpl=&quot;1&quot;&gt;&lt;Group&gt;&lt;References&gt;&lt;Item&gt;&lt;ID&gt;1257&lt;/ID&gt;&lt;UID&gt;{C300B79E-9F6F-495D-9BE1-DFE1FD89C301}&lt;/UID&gt;&lt;Title&gt;我国低碳经济发展框架与科学基础&lt;/Title&gt;&lt;Template&gt;Book&lt;/Template&gt;&lt;Star&gt;0&lt;/Star&gt;&lt;Tag&gt;0&lt;/Tag&gt;&lt;Author&gt;刘卫东; 陆大道; 张雷; 王礼茂; 赵建安; 李胜功; 马丽; 唐志鹏&lt;/Author&gt;&lt;Year&gt;2010&lt;/Year&gt;&lt;Details&gt;&lt;_accessed&gt;59082759&lt;/_accessed&gt;&lt;_created&gt;59082759&lt;/_created&gt;&lt;_language&gt;Chinese&lt;/_language&gt;&lt;_modified&gt;59082759&lt;/_modified&gt;&lt;_place_published&gt;北京&lt;/_place_published&gt;&lt;_publisher&gt;商务印书馆&lt;/_publisher&gt;&lt;/Details&gt;&lt;Extra&gt;&lt;DBUID&gt;{502CA3C0-22CA-4511-973C-E02D6A2BD88D}&lt;/DBUID&gt;&lt;/Extra&gt;&lt;/Item&gt;&lt;/References&gt;&lt;/Group&gt;&lt;/Citation&gt;_x000a_"/>
    <w:docVar w:name="NE.Ref{3F7A1120-256B-435C-B5DE-C0723B93DB17}" w:val=" ADDIN NE.Ref.{3F7A1120-256B-435C-B5DE-C0723B93DB17}&lt;Citation SecTmpl=&quot;1&quot;&gt;&lt;Group&gt;&lt;References&gt;&lt;Item&gt;&lt;ID&gt;1302&lt;/ID&gt;&lt;UID&gt;{8C30F164-1198-4633-A17C-632C94DBCE01}&lt;/UID&gt;&lt;Title&gt;外贸隐含碳排放变化的驱动因素研究——基于I-O SDA模型的分析&lt;/Title&gt;&lt;Template&gt;Journal Article&lt;/Template&gt;&lt;Star&gt;0&lt;/Star&gt;&lt;Tag&gt;0&lt;/Tag&gt;&lt;Author&gt;黄敏; 刘剑锋&lt;/Author&gt;&lt;Year&gt;2011&lt;/Year&gt;&lt;Details&gt;&lt;_accessed&gt;59335816&lt;/_accessed&gt;&lt;_author_adr&gt;浙江农林大学经济管理学院;&lt;/_author_adr&gt;&lt;_created&gt;59333222&lt;/_created&gt;&lt;_isbn&gt;1002-4670&lt;/_isbn&gt;&lt;_issue&gt;4&lt;/_issue&gt;&lt;_journal&gt;国际贸易问题&lt;/_journal&gt;&lt;_keywords&gt;隐含碳; 驱动因素; 结构分解分析&lt;/_keywords&gt;&lt;_language&gt;Chinese&lt;/_language&gt;&lt;_modified&gt;59333304&lt;/_modified&gt;&lt;_pages&gt;94-103&lt;/_pages&gt;&lt;/Details&gt;&lt;Extra&gt;&lt;DBUID&gt;{502CA3C0-22CA-4511-973C-E02D6A2BD88D}&lt;/DBUID&gt;&lt;/Extra&gt;&lt;/Item&gt;&lt;/References&gt;&lt;/Group&gt;&lt;/Citation&gt;_x000a_"/>
    <w:docVar w:name="NE.Ref{408320DE-4865-471B-AA61-F5EDE74785EA}" w:val=" ADDIN NE.Ref.{408320DE-4865-471B-AA61-F5EDE74785EA}&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40CD4109-9041-4D1D-AA25-D67185490F37}" w:val=" ADDIN NE.Ref.{40CD4109-9041-4D1D-AA25-D67185490F37}&lt;Citation&gt;&lt;Group&gt;&lt;References&gt;&lt;Item&gt;&lt;ID&gt;1203&lt;/ID&gt;&lt;UID&gt;{F605FD22-EC78-4DCE-B9EA-9308D986DDF4}&lt;/UID&gt;&lt;Title&gt;Input–Output Analysis: Foundations and Extensions, Second Edition&lt;/Title&gt;&lt;Template&gt;Book&lt;/Template&gt;&lt;Star&gt;0&lt;/Star&gt;&lt;Tag&gt;0&lt;/Tag&gt;&lt;Author&gt;Miller, Ronald E; Blair, Peter D&lt;/Author&gt;&lt;Year&gt;2009&lt;/Year&gt;&lt;Details&gt;&lt;_accessed&gt;58747318&lt;/_accessed&gt;&lt;_created&gt;58747318&lt;/_created&gt;&lt;_label&gt;IO&lt;/_label&gt;&lt;_language&gt;English&lt;/_language&gt;&lt;_modified&gt;58747318&lt;/_modified&gt;&lt;_place_published&gt;Cambridge, UK&lt;/_place_published&gt;&lt;_publisher&gt;Cambridge University Press&lt;/_publisher&gt;&lt;/Details&gt;&lt;Extra&gt;&lt;DBUID&gt;{502CA3C0-22CA-4511-973C-E02D6A2BD88D}&lt;/DBUID&gt;&lt;/Extra&gt;&lt;/Item&gt;&lt;/References&gt;&lt;/Group&gt;&lt;/Citation&gt;_x000a_"/>
    <w:docVar w:name="NE.Ref{41D97B7B-A7A9-4F00-A6E7-956BEC8A6B31}" w:val=" ADDIN NE.Ref.{41D97B7B-A7A9-4F00-A6E7-956BEC8A6B31} ADDIN NE.Ref.{41D97B7B-A7A9-4F00-A6E7-956BEC8A6B31}&lt;Citation SecTmpl=&quot;1&quot;&gt;&lt;Group&gt;&lt;References&gt;&lt;Item&gt;&lt;ID&gt;1223&lt;/ID&gt;&lt;UID&gt;{BE0B28F6-9255-4BB2-A069-A53F919F6D0B}&lt;/UID&gt;&lt;Title&gt;Opportunities and challenges for environmental MRIO modeling: Illustrations with the GTAP database&lt;/Title&gt;&lt;Template&gt;Conference Paper&lt;/Template&gt;&lt;Star&gt;0&lt;/Star&gt;&lt;Tag&gt;0&lt;/Tag&gt;&lt;Author&gt;Peters, G P&lt;/Author&gt;&lt;Year&gt;2007&lt;/Year&gt;&lt;Details&gt;&lt;_accessed&gt;58750543&lt;/_accessed&gt;&lt;_created&gt;58750543&lt;/_created&gt;&lt;_modified&gt;58750543&lt;/_modified&gt;&lt;_place_published&gt;Istanbul, Turkey&lt;/_place_published&gt;&lt;_publisher&gt;IIOA&lt;/_publisher&gt;&lt;_secondary_title&gt;16th International Input–Output Conference of the International Input–Output Association (IIOA)&lt;/_secondary_title&gt;&lt;/Details&gt;&lt;Extra&gt;&lt;DBUID&gt;{502CA3C0-22CA-4511-973C-E02D6A2BD88D}&lt;/DBUID&gt;&lt;/Extra&gt;&lt;/Item&gt;&lt;/References&gt;&lt;/Group&gt;&lt;/Citation&gt;_x000a_"/>
    <w:docVar w:name="NE.Ref{421BA3AF-BC3E-4467-8B46-BF3378B34A35}" w:val=" ADDIN NE.Ref.{421BA3AF-BC3E-4467-8B46-BF3378B34A35}&lt;Citation SecTmpl=&quot;1&quot;&gt;&lt;Group&gt;&lt;References&gt;&lt;Item&gt;&lt;ID&gt;1280&lt;/ID&gt;&lt;UID&gt;{600949A8-045C-458B-9AEB-9B62C494E70A}&lt;/UID&gt;&lt;Title&gt;Impact of population growth&lt;/Title&gt;&lt;Template&gt;Journal Article&lt;/Template&gt;&lt;Star&gt;0&lt;/Star&gt;&lt;Tag&gt;0&lt;/Tag&gt;&lt;Author&gt;Ehrlich, Paul R; Holdren, John P&lt;/Author&gt;&lt;Year&gt;1971&lt;/Year&gt;&lt;Details&gt;&lt;_accessed&gt;59366977&lt;/_accessed&gt;&lt;_created&gt;59326027&lt;/_created&gt;&lt;_issue&gt;3977&lt;/_issue&gt;&lt;_journal&gt;Science&lt;/_journal&gt;&lt;_language&gt;English&lt;/_language&gt;&lt;_modified&gt;59366977&lt;/_modified&gt;&lt;_pages&gt;1212-1217&lt;/_pages&gt;&lt;_volume&gt;171&lt;/_volume&gt;&lt;/Details&gt;&lt;Extra&gt;&lt;DBUID&gt;{502CA3C0-22CA-4511-973C-E02D6A2BD88D}&lt;/DBUID&gt;&lt;/Extra&gt;&lt;/Item&gt;&lt;/References&gt;&lt;/Group&gt;&lt;/Citation&gt;_x000a_"/>
    <w:docVar w:name="NE.Ref{428AA17F-8794-4104-BF4E-79DDA6F8E0FC}" w:val=" ADDIN NE.Ref.{428AA17F-8794-4104-BF4E-79DDA6F8E0FC}&lt;Citation SecTmpl=&quot;1&quot;&gt;&lt;Group&gt;&lt;References&gt;&lt;Item&gt;&lt;ID&gt;431&lt;/ID&gt;&lt;UID&gt;{80B4777B-871A-4625-9698-28D884DE2205}&lt;/UID&gt;&lt;Title&gt;Energy embodied in the international trade of China: An energy input–output analysis&lt;/Title&gt;&lt;Template&gt;Journal Article&lt;/Template&gt;&lt;Star&gt;0&lt;/Star&gt;&lt;Tag&gt;0&lt;/Tag&gt;&lt;Author&gt;Liu, Hongtao; Xi, Youmin; Guo, Ju&amp;apos;e; Li, Xia&lt;/Author&gt;&lt;Year&gt;2010&lt;/Year&gt;&lt;Details&gt;&lt;_accessed&gt;59334684&lt;/_accessed&gt;&lt;_created&gt;57978395&lt;/_created&gt;&lt;_issue&gt;8&lt;/_issue&gt;&lt;_journal&gt;Energy Policy&lt;/_journal&gt;&lt;_language&gt;English&lt;/_language&gt;&lt;_modified&gt;58751095&lt;/_modified&gt;&lt;_pages&gt;3957-3964&lt;/_pages&gt;&lt;_volume&gt;38&lt;/_volume&gt;&lt;/Details&gt;&lt;Extra&gt;&lt;DBUID&gt;{502CA3C0-22CA-4511-973C-E02D6A2BD88D}&lt;/DBUID&gt;&lt;/Extra&gt;&lt;/Item&gt;&lt;/References&gt;&lt;/Group&gt;&lt;/Citation&gt;_x000a_"/>
    <w:docVar w:name="NE.Ref{429576F1-9668-40AB-9B94-20801F227B0D}" w:val=" ADDIN NE.Ref.{429576F1-9668-40AB-9B94-20801F227B0D}&lt;Citation&gt;&lt;Group&gt;&lt;References&gt;&lt;Item&gt;&lt;ID&gt;1281&lt;/ID&gt;&lt;UID&gt;{43509457-9E90-483D-9319-194AF00FCD57}&lt;/UID&gt;&lt;Title&gt;Impact of carbon dioxide emission control on GNP growth: Interpretation of proposed_x000d__x000a_scenarios&lt;/Title&gt;&lt;Template&gt;Report&lt;/Template&gt;&lt;Star&gt;0&lt;/Star&gt;&lt;Tag&gt;0&lt;/Tag&gt;&lt;Author&gt;Kaya, Yoyichi&lt;/Author&gt;&lt;Year&gt;1989&lt;/Year&gt;&lt;Details&gt;&lt;_secondary_title&gt;IPCC Response Strategies Working Group Memorandum&lt;/_secondary_title&gt;&lt;_modified&gt;59326063&lt;/_modified&gt;&lt;_created&gt;59326063&lt;/_created&gt;&lt;_accessed&gt;59326063&lt;/_accessed&gt;&lt;/Details&gt;&lt;Extra&gt;&lt;DBUID&gt;{502CA3C0-22CA-4511-973C-E02D6A2BD88D}&lt;/DBUID&gt;&lt;/Extra&gt;&lt;/Item&gt;&lt;/References&gt;&lt;/Group&gt;&lt;/Citation&gt;_x000a_"/>
    <w:docVar w:name="NE.Ref{42C14797-D8B3-4DAB-8EE7-6661E10AD9B2}" w:val=" ADDIN NE.Ref.{42C14797-D8B3-4DAB-8EE7-6661E10AD9B2}&lt;Citation SecTmpl=&quot;1&quot;&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88296&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arked_fields&gt;title;SUB|48|1 _x000d__x000a_&lt;/_marked_fields&gt;&lt;_modified&gt;59366970&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Citation&gt;_x000a_"/>
    <w:docVar w:name="NE.Ref{42ED659B-F49B-4C87-AD2E-8947B61407F9}" w:val=" ADDIN NE.Ref.{42ED659B-F49B-4C87-AD2E-8947B61407F9}&lt;Citation&gt;&lt;Group&gt;&lt;References&gt;&lt;Item&gt;&lt;ID&gt;1261&lt;/ID&gt;&lt;UID&gt;{73E1F906-F8F7-44CE-88D9-8A9CADADFA41}&lt;/UID&gt;&lt;Title&gt;基于动态CGE模型的中国气候政策模拟与分析&lt;/Title&gt;&lt;Template&gt;Thesis&lt;/Template&gt;&lt;Star&gt;0&lt;/Star&gt;&lt;Tag&gt;0&lt;/Tag&gt;&lt;Author&gt;王灿&lt;/Author&gt;&lt;Year&gt;2003&lt;/Year&gt;&lt;Details&gt;&lt;_accessed&gt;59082769&lt;/_accessed&gt;&lt;_created&gt;59082769&lt;/_created&gt;&lt;_language&gt;Chinese&lt;/_language&gt;&lt;_modified&gt;59082769&lt;/_modified&gt;&lt;_place_published&gt;北京&lt;/_place_published&gt;&lt;_publisher&gt;清华大学&lt;/_publisher&gt;&lt;_section&gt;环境系&lt;/_section&gt;&lt;_tertiary_author&gt;陈吉宁&lt;/_tertiary_author&gt;&lt;_volume&gt;博士论文&lt;/_volume&gt;&lt;/Details&gt;&lt;Extra&gt;&lt;DBUID&gt;{502CA3C0-22CA-4511-973C-E02D6A2BD88D}&lt;/DBUID&gt;&lt;/Extra&gt;&lt;/Item&gt;&lt;/References&gt;&lt;/Group&gt;&lt;/Citation&gt;_x000a_"/>
    <w:docVar w:name="NE.Ref{48C0987A-6454-4B7A-B2F4-33503103E6C0}" w:val=" ADDIN NE.Ref.{48C0987A-6454-4B7A-B2F4-33503103E6C0}&lt;Citation SecTmpl=&quot;1&quot;&gt;&lt;Group&gt;&lt;References&gt;&lt;Item&gt;&lt;ID&gt;1195&lt;/ID&gt;&lt;UID&gt;{24297EDD-3DF1-488B-92B2-148AE2A704B3}&lt;/UID&gt;&lt;Title&gt;Regional analysis&lt;/Title&gt;&lt;Template&gt;Book Section&lt;/Template&gt;&lt;Star&gt;0&lt;/Star&gt;&lt;Tag&gt;0&lt;/Tag&gt;&lt;Author&gt;Chenery, H&lt;/Author&gt;&lt;Year&gt;1953&lt;/Year&gt;&lt;Details&gt;&lt;_accessed&gt;59085812&lt;/_accessed&gt;&lt;_created&gt;58745413&lt;/_created&gt;&lt;_label&gt;MRIO&lt;/_label&gt;&lt;_modified&gt;59085812&lt;/_modified&gt;&lt;_pages&gt;96-115&lt;/_pages&gt;&lt;_place_published&gt;Rome, Italy&lt;/_place_published&gt;&lt;_publisher&gt;Mutual Security Agency&lt;/_publisher&gt;&lt;_secondary_author&gt;Chenery, H; Clark, P&lt;/_secondary_author&gt;&lt;_secondary_title&gt;The Structure and Growth of the Italian Economy&lt;/_secondary_title&gt;&lt;/Details&gt;&lt;Extra&gt;&lt;DBUID&gt;{502CA3C0-22CA-4511-973C-E02D6A2BD88D}&lt;/DBUID&gt;&lt;/Extra&gt;&lt;/Item&gt;&lt;/References&gt;&lt;/Group&gt;&lt;/Citation&gt;_x000a_"/>
    <w:docVar w:name="NE.Ref{48FEC060-E96C-488F-AA81-98DAB6E1C47A}" w:val=" ADDIN NE.Ref.{48FEC060-E96C-488F-AA81-98DAB6E1C47A}&lt;Citation&gt;&lt;Group&gt;&lt;References&gt;&lt;Item&gt;&lt;ID&gt;1132&lt;/ID&gt;&lt;UID&gt;{5F7AD348-E7AE-4FC8-BD0B-7671C70739CD}&lt;/UID&gt;&lt;Title&gt;Measuring structural change and energy use: Decomposition of the US economy from 1997 to 2002&lt;/Title&gt;&lt;Template&gt;Journal Article&lt;/Template&gt;&lt;Star&gt;0&lt;/Star&gt;&lt;Tag&gt;0&lt;/Tag&gt;&lt;Author&gt;Weber, Christopher L&lt;/Author&gt;&lt;Year&gt;2009&lt;/Year&gt;&lt;Details&gt;&lt;_alternate_title&gt;Energy Policy&lt;/_alternate_title&gt;&lt;_created&gt;58202867&lt;/_created&gt;&lt;_date_display&gt;2009/4//&lt;/_date_display&gt;&lt;_isbn&gt;0301-4215&lt;/_isbn&gt;&lt;_issue&gt;4&lt;/_issue&gt;&lt;_journal&gt;Energy Policy&lt;/_journal&gt;&lt;_keywords&gt;Structural decomposition analysis; Index decomposition analysis; Structural change&lt;/_keywords&gt;&lt;_label&gt;已打&lt;/_label&gt;&lt;_modified&gt;58202867&lt;/_modified&gt;&lt;_pages&gt;1561-1570&lt;/_pages&gt;&lt;_url&gt;http://www.sciencedirect.com/science/article/B6V2W-4VJJWFX-3/2/ed3eb60c033c8a8476e9969bd8e6f2ee&lt;/_url&gt;&lt;_volume&gt;37&lt;/_volume&gt;&lt;/Details&gt;&lt;Extra&gt;&lt;DBUID&gt;{502CA3C0-22CA-4511-973C-E02D6A2BD88D}&lt;/DBUID&gt;&lt;/Extra&gt;&lt;/Item&gt;&lt;/References&gt;&lt;/Group&gt;&lt;/Citation&gt;_x000a_"/>
    <w:docVar w:name="NE.Ref{49CFC123-F2A3-4FF7-8D68-1EF6697C3957}" w:val=" ADDIN NE.Ref.{49CFC123-F2A3-4FF7-8D68-1EF6697C3957}&lt;Citation&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49E9ECC5-BCF7-4B41-AAD8-5BAC23F0A557}" w:val=" ADDIN NE.Ref.{49E9ECC5-BCF7-4B41-AAD8-5BAC23F0A557}&lt;Citation SecTmpl=&quot;1&quot;&gt;&lt;Group&gt;&lt;References&gt;&lt;Item&gt;&lt;ID&gt;1299&lt;/ID&gt;&lt;UID&gt;{96A00A3C-4D24-406E-A338-8870FEBAAAA3}&lt;/UID&gt;&lt;Title&gt;中国贸易含碳量及其影响因素——基于（进口）非竞争型投入产出表的分析&lt;/Title&gt;&lt;Template&gt;Journal Article&lt;/Template&gt;&lt;Star&gt;0&lt;/Star&gt;&lt;Tag&gt;0&lt;/Tag&gt;&lt;Author&gt;张友国&lt;/Author&gt;&lt;Year&gt;2010&lt;/Year&gt;&lt;Details&gt;&lt;_accessed&gt;59389117&lt;/_accessed&gt;&lt;_created&gt;59332984&lt;/_created&gt;&lt;_issue&gt;4&lt;/_issue&gt;&lt;_journal&gt;经济学（季刊）&lt;/_journal&gt;&lt;_language&gt;Chinese&lt;/_language&gt;&lt;_modified&gt;59332985&lt;/_modified&gt;&lt;_pages&gt;1287-1310&lt;/_pages&gt;&lt;_volume&gt;9&lt;/_volume&gt;&lt;/Details&gt;&lt;Extra&gt;&lt;DBUID&gt;{502CA3C0-22CA-4511-973C-E02D6A2BD88D}&lt;/DBUID&gt;&lt;/Extra&gt;&lt;/Item&gt;&lt;/References&gt;&lt;/Group&gt;&lt;/Citation&gt;_x000a_"/>
    <w:docVar w:name="NE.Ref{4A11C80E-39FE-45A6-8588-C0A4983D11B1}" w:val=" ADDIN NE.Ref.{4A11C80E-39FE-45A6-8588-C0A4983D11B1}&lt;Citation&gt;&lt;Group&gt;&lt;References&gt;&lt;Item&gt;&lt;ID&gt;860&lt;/ID&gt;&lt;UID&gt;{FB08EF99-4578-45EF-AA5D-831FD99C509A}&lt;/UID&gt;&lt;Title&gt;The greenhouse gas protocol: a corporate accounting and reporting standard (revised edition)&lt;/Title&gt;&lt;Template&gt;Book&lt;/Template&gt;&lt;Star&gt;0&lt;/Star&gt;&lt;Tag&gt;0&lt;/Tag&gt;&lt;Author&gt;WRI&lt;/Author&gt;&lt;Year&gt;2004&lt;/Year&gt;&lt;Details&gt;&lt;_accessed&gt;58065134&lt;/_accessed&gt;&lt;_created&gt;57730236&lt;/_created&gt;&lt;_language&gt;English&lt;/_language&gt;&lt;_modified&gt;58065134&lt;/_modified&gt;&lt;_place_published&gt;Geneva, Switzerland&lt;/_place_published&gt;&lt;_publisher&gt;World Business Council For Sustainable Development and World Resource Institute&lt;/_publisher&gt;&lt;/Details&gt;&lt;Extra&gt;&lt;DBUID&gt;{502CA3C0-22CA-4511-973C-E02D6A2BD88D}&lt;/DBUID&gt;&lt;/Extra&gt;&lt;/Item&gt;&lt;/References&gt;&lt;/Group&gt;&lt;/Citation&gt;_x000a_"/>
    <w:docVar w:name="NE.Ref{4AC061AD-0A9D-456F-B442-6D2D01FAB267}" w:val=" ADDIN NE.Ref.{4AC061AD-0A9D-456F-B442-6D2D01FAB267}&lt;Citation&gt;&lt;Group&gt;&lt;References&gt;&lt;Item&gt;&lt;ID&gt;156&lt;/ID&gt;&lt;UID&gt;{715F32E1-CD6C-40A3-AC97-E40FCF1A854A}&lt;/UID&gt;&lt;Title&gt;Global, Regional, and National Fossil-Fuel CO2 Emissions&lt;/Title&gt;&lt;Template&gt;Electronic Source&lt;/Template&gt;&lt;Star&gt;0&lt;/Star&gt;&lt;Tag&gt;0&lt;/Tag&gt;&lt;Author&gt;Boden, T A; Marland, G; Andres, R J&lt;/Author&gt;&lt;Year&gt;2010&lt;/Year&gt;&lt;Details&gt;&lt;_accessed&gt;59085640&lt;/_accessed&gt;&lt;_created&gt;58031997&lt;/_created&gt;&lt;_date&gt;58082400&lt;/_date&gt;&lt;_date_display&gt;2010&lt;/_date_display&gt;&lt;_doi&gt;10.3334/CDIAC/00001&lt;/_doi&gt;&lt;_marked_fields&gt;title;SUB|46|1 _x000d__x000a_&lt;/_marked_fields&gt;&lt;_modified&gt;59085640&lt;/_modified&gt;&lt;_number&gt;2011-2-12&lt;/_number&gt;&lt;_place_published&gt;Oak Ridge, Tenn., U.S.A.&lt;/_place_published&gt;&lt;_publisher&gt;Carbon Dioxide Information Analysis Center, Oak Ridge National Laboratory, U.S. Department of Energy&lt;/_publisher&gt;&lt;_url&gt;http://cdiac.ornl.gov/ftp/trends/emissions/prc.dat&lt;/_url&gt;&lt;/Details&gt;&lt;Extra&gt;&lt;DBUID&gt;{502CA3C0-22CA-4511-973C-E02D6A2BD88D}&lt;/DBUID&gt;&lt;/Extra&gt;&lt;/Item&gt;&lt;/References&gt;&lt;/Group&gt;&lt;/Citation&gt;_x000a_"/>
    <w:docVar w:name="NE.Ref{4B3E6B9C-6899-4BFD-B637-613ACE511A50}" w:val=" ADDIN NE.Ref.{4B3E6B9C-6899-4BFD-B637-613ACE511A50}&lt;Citation SecTmpl=&quot;1&quot;&gt;&lt;Group&gt;&lt;References&gt;&lt;Item&gt;&lt;ID&gt;1305&lt;/ID&gt;&lt;UID&gt;{EF8656CE-D856-4D9B-9E3D-CBA79B15B59D}&lt;/UID&gt;&lt;Title&gt;经济发展方式变化对中国碳排放强度的影响&lt;/Title&gt;&lt;Template&gt;Journal Article&lt;/Template&gt;&lt;Star&gt;0&lt;/Star&gt;&lt;Tag&gt;1&lt;/Tag&gt;&lt;Author&gt;张友国&lt;/Author&gt;&lt;Year&gt;2010&lt;/Year&gt;&lt;Details&gt;&lt;_accessed&gt;59335767&lt;/_accessed&gt;&lt;_author_adr&gt;中国社会科学院数量经济与技术经济研究所;中国社会科学院环境与发展研究中心;&lt;/_author_adr&gt;&lt;_created&gt;59333222&lt;/_created&gt;&lt;_isbn&gt;0577-9154&lt;/_isbn&gt;&lt;_issue&gt;4&lt;/_issue&gt;&lt;_journal&gt;经济研究&lt;/_journal&gt;&lt;_keywords&gt;经济发展方式; 碳排放强度; 投入产出结构分解&lt;/_keywords&gt;&lt;_language&gt;Chinese&lt;/_language&gt;&lt;_modified&gt;59335767&lt;/_modified&gt;&lt;_pages&gt;120-133&lt;/_pages&gt;&lt;/Details&gt;&lt;Extra&gt;&lt;DBUID&gt;{502CA3C0-22CA-4511-973C-E02D6A2BD88D}&lt;/DBUID&gt;&lt;/Extra&gt;&lt;/Item&gt;&lt;/References&gt;&lt;/Group&gt;&lt;/Citation&gt;_x000a_"/>
    <w:docVar w:name="NE.Ref{4BEF06DC-4A8E-4473-A051-C7C3C06BF3B2}" w:val=" ADDIN NE.Ref.{4BEF06DC-4A8E-4473-A051-C7C3C06BF3B2}&lt;Citation&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Weber, Christopher; Guan, Dabo; Hubacek, Klaus&lt;/Author&gt;&lt;Year&gt;2007&lt;/Year&gt;&lt;Details&gt;&lt;_accessed&gt;59051405&lt;/_accessed&gt;&lt;_created&gt;58014525&lt;/_created&gt;&lt;_issue&gt;17&lt;/_issue&gt;&lt;_journal&gt;Environmental Science &amp;amp; Technology&lt;/_journal&gt;&lt;_language&gt;English&lt;/_language&gt;&lt;_marked_fields&gt;title;SUB|19|1 _x000d__x000a_&lt;/_marked_fields&gt;&lt;_modified&gt;59051406&lt;/_modified&gt;&lt;_pages&gt;5939-5944&lt;/_pages&gt;&lt;_volume&gt;41&lt;/_volume&gt;&lt;/Details&gt;&lt;Extra&gt;&lt;DBUID&gt;{502CA3C0-22CA-4511-973C-E02D6A2BD88D}&lt;/DBUID&gt;&lt;/Extra&gt;&lt;/Item&gt;&lt;/References&gt;&lt;/Group&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4CD6DE77-0927-44B5-AA80-4EF95398F58E}" w:val=" ADDIN NE.Ref.{4CD6DE77-0927-44B5-AA80-4EF95398F58E}&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4CFDE270-2AA9-410A-AAE9-30D2396E5DFC}" w:val=" ADDIN NE.Ref.{4CFDE270-2AA9-410A-AAE9-30D2396E5DFC}&lt;Citation&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4E8598C0-369E-4E3F-9ADD-756859589368}" w:val=" ADDIN NE.Ref.{4E8598C0-369E-4E3F-9ADD-756859589368}&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4F5F261F-E407-4DB8-B216-31646934B6DE}" w:val=" ADDIN NE.Ref.{4F5F261F-E407-4DB8-B216-31646934B6DE}&lt;Citation SecTmpl=&quot;1&quot;&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4FB4A0D4-5567-481E-9AC1-6EDF6234D08A}" w:val=" ADDIN NE.Ref.{4FB4A0D4-5567-481E-9AC1-6EDF6234D08A}&lt;Citation&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50271943-B73C-440E-A4F1-DB982093DA4B}" w:val=" ADDIN NE.Ref.{50271943-B73C-440E-A4F1-DB982093DA4B}&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50B88636-B23B-4FDD-BBBF-CF533BADA856}" w:val=" ADDIN NE.Ref.{50B88636-B23B-4FDD-BBBF-CF533BADA856}&lt;Citation SecTmpl=&quot;1&quot;&gt;&lt;Group&gt;&lt;References&gt;&lt;Item&gt;&lt;ID&gt;1292&lt;/ID&gt;&lt;UID&gt;{9187881C-3A39-4269-845A-DE2E75BFC3D9}&lt;/UID&gt;&lt;Title&gt;An analysis of the driving forces of CO2 emissions embodied in Japan-China trade&lt;/Title&gt;&lt;Template&gt;Journal Article&lt;/Template&gt;&lt;Star&gt;0&lt;/Star&gt;&lt;Tag&gt;0&lt;/Tag&gt;&lt;Author&gt;Dong, Yanli; Ishikawa, Masanobu; Liu, Xianbing; Wang, Can&lt;/Author&gt;&lt;Year&gt;2010&lt;/Year&gt;&lt;Details&gt;&lt;_accessed&gt;59389093&lt;/_accessed&gt;&lt;_alternate_title&gt;Energy Policy_x000d__x000a_Energy Efficiency Policies and Strategies with regular papers.&lt;/_alternate_title&gt;&lt;_created&gt;59332921&lt;/_created&gt;&lt;_date_display&gt;2010/11//&lt;/_date_display&gt;&lt;_db_updated&gt;ScienceDirect&lt;/_db_updated&gt;&lt;_isbn&gt;0301-4215&lt;/_isbn&gt;&lt;_issue&gt;11&lt;/_issue&gt;&lt;_journal&gt;Energy Policy&lt;/_journal&gt;&lt;_keywords&gt;CO2 embodiment; Japan–China trade; Index decomposition analysis&lt;/_keywords&gt;&lt;_marked_fields&gt;title;SUB|40|1 _x000d__x000a_&lt;/_marked_fields&gt;&lt;_modified&gt;59366976&lt;/_modified&gt;&lt;_pages&gt;6784-6792&lt;/_pages&gt;&lt;_url&gt;http://www.sciencedirect.com/science/article/pii/S0301421510005148&lt;/_url&gt;&lt;_volume&gt;38&lt;/_volume&gt;&lt;/Details&gt;&lt;Extra&gt;&lt;DBUID&gt;{502CA3C0-22CA-4511-973C-E02D6A2BD88D}&lt;/DBUID&gt;&lt;/Extra&gt;&lt;/Item&gt;&lt;/References&gt;&lt;/Group&gt;&lt;/Citation&gt;_x000a_"/>
    <w:docVar w:name="NE.Ref{511F8B53-E1B2-44FC-9DF4-805826157967}" w:val=" ADDIN NE.Ref.{511F8B53-E1B2-44FC-9DF4-805826157967}&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085618&lt;/_accessed&gt;&lt;_created&gt;59085610&lt;/_created&gt;&lt;_date&gt;58871520&lt;/_date&gt;&lt;_date_display&gt;2011-12-8&lt;/_date_display&gt;&lt;_issue&gt;4-25&lt;/_issue&gt;&lt;_language&gt;English&lt;/_language&gt;&lt;_modified&gt;59085625&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53FFBC27-1954-4669-A12B-37B085C2D759}" w:val=" ADDIN NE.Ref.{53FFBC27-1954-4669-A12B-37B085C2D759}&lt;Citation SecTmpl=&quot;1&quot;&gt;&lt;Group&gt;&lt;References&gt;&lt;Item&gt;&lt;ID&gt;1273&lt;/ID&gt;&lt;UID&gt;{3F4D7FC4-D78B-4FB6-9CD1-66191545D521}&lt;/UID&gt;&lt;Title&gt;基于CGE的技术变化模拟及其在气候政策分析中的应用&lt;/Title&gt;&lt;Template&gt;Thesis&lt;/Template&gt;&lt;Star&gt;0&lt;/Star&gt;&lt;Tag&gt;0&lt;/Tag&gt;&lt;Author&gt;王克&lt;/Author&gt;&lt;Year&gt;2008&lt;/Year&gt;&lt;Details&gt;&lt;_accessed&gt;59314550&lt;/_accessed&gt;&lt;_created&gt;59314550&lt;/_created&gt;&lt;_language&gt;Chinese&lt;/_language&gt;&lt;_modified&gt;59314550&lt;/_modified&gt;&lt;_place_published&gt;北京&lt;/_place_published&gt;&lt;_publisher&gt;清华大学&lt;/_publisher&gt;&lt;_volume&gt;博士论文&lt;/_volume&gt;&lt;/Details&gt;&lt;Extra&gt;&lt;DBUID&gt;{502CA3C0-22CA-4511-973C-E02D6A2BD88D}&lt;/DBUID&gt;&lt;/Extra&gt;&lt;/Item&gt;&lt;/References&gt;&lt;/Group&gt;&lt;/Citation&gt;_x000a_"/>
    <w:docVar w:name="NE.Ref{545280D7-A766-4137-9241-8FDC8D6CC4BD}" w:val=" ADDIN NE.Ref.{545280D7-A766-4137-9241-8FDC8D6CC4BD}&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55E4F212-FD37-4A98-AA42-A43A7C3EDCA5}" w:val=" ADDIN NE.Ref.{55E4F212-FD37-4A98-AA42-A43A7C3EDCA5}&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5682DEDA-B681-4620-B8DB-57A7797BC312}" w:val=" ADDIN NE.Ref.{5682DEDA-B681-4620-B8DB-57A7797BC312}&lt;Citation&gt;&lt;Group&gt;&lt;References&gt;&lt;Item&gt;&lt;ID&gt;164&lt;/ID&gt;&lt;UID&gt;{DA08697F-61F8-437B-A2BA-1263DF953077}&lt;/UID&gt;&lt;Title&gt;中国能源统计年鉴2009&lt;/Title&gt;&lt;Template&gt;Book&lt;/Template&gt;&lt;Star&gt;0&lt;/Star&gt;&lt;Tag&gt;0&lt;/Tag&gt;&lt;Author&gt;国家统计局能源统计司&lt;/Author&gt;&lt;Year&gt;2010&lt;/Year&gt;&lt;Details&gt;&lt;_accessed&gt;59082744&lt;/_accessed&gt;&lt;_created&gt;58014286&lt;/_created&gt;&lt;_language&gt;Chinese&lt;/_language&gt;&lt;_modified&gt;59082745&lt;/_modified&gt;&lt;_place_published&gt;北京&lt;/_place_published&gt;&lt;_publisher&gt;中国统计出版社&lt;/_publisher&gt;&lt;/Details&gt;&lt;Extra&gt;&lt;DBUID&gt;{502CA3C0-22CA-4511-973C-E02D6A2BD88D}&lt;/DBUID&gt;&lt;/Extra&gt;&lt;/Item&gt;&lt;/References&gt;&lt;/Group&gt;&lt;/Citation&gt;_x000a_"/>
    <w:docVar w:name="NE.Ref{573682FB-B60A-4DE2-B811-C6CFE43B49CB}" w:val=" ADDIN NE.Ref.{573682FB-B60A-4DE2-B811-C6CFE43B49CB}&lt;Citation&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Citation&gt;_x000a_"/>
    <w:docVar w:name="NE.Ref{575F2342-C02E-4E6A-937C-51994F49A957}" w:val=" ADDIN NE.Ref.{575F2342-C02E-4E6A-937C-51994F49A957}&lt;Citation SecTmpl=&quot;1&quot;&gt;&lt;Group&gt;&lt;References&gt;&lt;Item&gt;&lt;ID&gt;158&lt;/ID&gt;&lt;UID&gt;{3361B2E2-5C8E-49A5-8D67-0F1C1D54E97D}&lt;/UID&gt;&lt;Title&gt;Comparing structural decomposition analysis and index&lt;/Title&gt;&lt;Template&gt;Journal Article&lt;/Template&gt;&lt;Star&gt;0&lt;/Star&gt;&lt;Tag&gt;0&lt;/Tag&gt;&lt;Author&gt;Hoekstra, Rutger; van den Bergh, Jeroen C J M&lt;/Author&gt;&lt;Year&gt;2003&lt;/Year&gt;&lt;Details&gt;&lt;_accessed&gt;59328681&lt;/_accessed&gt;&lt;_alternate_title&gt;Energy Economics&lt;/_alternate_title&gt;&lt;_created&gt;58537266&lt;/_created&gt;&lt;_date_display&gt;2003/1//&lt;/_date_display&gt;&lt;_isbn&gt;0140-9883&lt;/_isbn&gt;&lt;_issue&gt;1&lt;/_issue&gt;&lt;_journal&gt;Energy Economics&lt;/_journal&gt;&lt;_keywords&gt;Comparative static analysis; Energy use; Index properties; Structural change; Technological change; CO2-emissions&lt;/_keywords&gt;&lt;_modified&gt;58537266&lt;/_modified&gt;&lt;_pages&gt;39-64&lt;/_pages&gt;&lt;_url&gt;http://www.sciencedirect.com/science/article/B6V7G-46X2KFF-1/2/1360ff3f895739fd979bd39e7c114394&lt;/_url&gt;&lt;_volume&gt;25&lt;/_volume&gt;&lt;/Details&gt;&lt;Extra&gt;&lt;DBUID&gt;{502CA3C0-22CA-4511-973C-E02D6A2BD88D}&lt;/DBUID&gt;&lt;/Extra&gt;&lt;/Item&gt;&lt;/References&gt;&lt;/Group&gt;&lt;/Citation&gt;_x000a_"/>
    <w:docVar w:name="NE.Ref{58EE2ED5-F40F-413B-8BEE-4B32CD65A23B}" w:val=" ADDIN NE.Ref.{58EE2ED5-F40F-413B-8BEE-4B32CD65A23B}&lt;Citation SecTmpl=&quot;1&quot;&gt;&lt;Group&gt;&lt;References&gt;&lt;Item&gt;&lt;ID&gt;1284&lt;/ID&gt;&lt;UID&gt;{3C52116C-B0DF-4F24-8A8D-8EAC0FFE03A2}&lt;/UID&gt;&lt;Title&gt;Air Pollution and the Economic Structure: Empirical Results of Input-output Computations&lt;/Title&gt;&lt;Template&gt;Book Section&lt;/Template&gt;&lt;Star&gt;0&lt;/Star&gt;&lt;Tag&gt;0&lt;/Tag&gt;&lt;Author&gt;Leontief, Wassily; Ford, Daniel&lt;/Author&gt;&lt;Year&gt;1972&lt;/Year&gt;&lt;Details&gt;&lt;_accessed&gt;59366981&lt;/_accessed&gt;&lt;_created&gt;59328977&lt;/_created&gt;&lt;_modified&gt;59328977&lt;/_modified&gt;&lt;_pages&gt;9-30&lt;/_pages&gt;&lt;_place_published&gt;Amsterdam-London&lt;/_place_published&gt;&lt;_publisher&gt;North-Holland Publishing Company&lt;/_publisher&gt;&lt;_secondary_author&gt;Brody, Andrew; Carter, Anne P&lt;/_secondary_author&gt;&lt;_secondary_title&gt;Input-Output Techniques&lt;/_secondary_title&gt;&lt;/Details&gt;&lt;Extra&gt;&lt;DBUID&gt;{502CA3C0-22CA-4511-973C-E02D6A2BD88D}&lt;/DBUID&gt;&lt;/Extra&gt;&lt;/Item&gt;&lt;/References&gt;&lt;/Group&gt;&lt;/Citation&gt;_x000a_"/>
    <w:docVar w:name="NE.Ref{58EE83DC-109C-43E7-9EFF-6CE870DD1EB1}" w:val=" ADDIN NE.Ref.{58EE83DC-109C-43E7-9EFF-6CE870DD1EB1}&lt;Citation SecTmpl=&quot;1&quot;&gt;&lt;Group&gt;&lt;References&gt;&lt;Item&gt;&lt;ID&gt;1161&lt;/ID&gt;&lt;UID&gt;{9F474BD8-8E5F-49B6-89DB-26F44232A646}&lt;/UID&gt;&lt;Title&gt;关于公布2009年中国区域电网基准线排放因子的公告&lt;/Title&gt;&lt;Template&gt;Web Page&lt;/Template&gt;&lt;Star&gt;0&lt;/Star&gt;&lt;Tag&gt;0&lt;/Tag&gt;&lt;Author&gt;国家发展和改革委员会应对气候变化司&lt;/Author&gt;&lt;Year&gt;2009&lt;/Year&gt;&lt;Details&gt;&lt;_accessed&gt;59393439&lt;/_accessed&gt;&lt;_created&gt;58032614&lt;/_created&gt;&lt;_date&gt;57591360&lt;/_date&gt;&lt;_issue&gt;2011-5-3&lt;/_issue&gt;&lt;_modified&gt;59393439&lt;/_modified&gt;&lt;_number&gt;2010-5-3&lt;/_number&gt;&lt;_place_published&gt;北京&lt;/_place_published&gt;&lt;_publisher&gt;国家发展和改革委员会应对气候变化司&lt;/_publisher&gt;&lt;_url&gt;http://qhs.ndrc.gov.cn/qjfzjz/t20090703_289357.htm&lt;/_url&gt;&lt;_volume&gt;2011&lt;/_volume&gt;&lt;/Details&gt;&lt;Extra&gt;&lt;DBUID&gt;{502CA3C0-22CA-4511-973C-E02D6A2BD88D}&lt;/DBUID&gt;&lt;/Extra&gt;&lt;/Item&gt;&lt;/References&gt;&lt;/Group&gt;&lt;/Citation&gt;_x000a_"/>
    <w:docVar w:name="NE.Ref{58F6FCA2-C0E8-486F-AF78-5F156F1A98EE}" w:val=" ADDIN NE.Ref.{58F6FCA2-C0E8-486F-AF78-5F156F1A98EE}&lt;Citation&gt;&lt;Group&gt;&lt;References&gt;&lt;Item&gt;&lt;ID&gt;169&lt;/ID&gt;&lt;UID&gt;{B2C361EF-4138-423E-B7B5-492854CF3353}&lt;/UID&gt;&lt;Title&gt;The greenhouse gas protocol: a corporate accounting and reporting standard (revised edition)&lt;/Title&gt;&lt;Template&gt;Book&lt;/Template&gt;&lt;Star&gt;0&lt;/Star&gt;&lt;Tag&gt;0&lt;/Tag&gt;&lt;Author&gt;WRI&lt;/Author&gt;&lt;Year&gt;2004&lt;/Year&gt;&lt;Details&gt;&lt;_accessed&gt;58065134&lt;/_accessed&gt;&lt;_created&gt;57730236&lt;/_created&gt;&lt;_language&gt;English&lt;/_language&gt;&lt;_modified&gt;58065134&lt;/_modified&gt;&lt;_place_published&gt;Geneva, Switzerland&lt;/_place_published&gt;&lt;_publisher&gt;World Business Council For Sustainable Development and World Resource Institute&lt;/_publisher&gt;&lt;/Details&gt;&lt;Extra&gt;&lt;DBUID&gt;{C1C6AFFD-40D7-4280-B372-B074675E48C0}&lt;/DBUID&gt;&lt;/Extra&gt;&lt;/Item&gt;&lt;/References&gt;&lt;/Group&gt;&lt;/Citation&gt;_x000a_"/>
    <w:docVar w:name="NE.Ref{59467B8F-5716-4C9A-980A-E7C444611572}" w:val=" ADDIN NE.Ref.{59467B8F-5716-4C9A-980A-E7C444611572}&lt;Citation SecTmpl=&quot;1&quot;&gt;&lt;Group&gt;&lt;References&gt;&lt;Item&gt;&lt;ID&gt;1290&lt;/ID&gt;&lt;UID&gt;{49F22177-85B8-42FC-8CBD-A4F2744F7705}&lt;/UID&gt;&lt;Title&gt;Why does energy intensity fluctuate in China?&lt;/Title&gt;&lt;Template&gt;Journal Article&lt;/Template&gt;&lt;Star&gt;0&lt;/Star&gt;&lt;Tag&gt;0&lt;/Tag&gt;&lt;Author&gt;Chai, Jian; Guo, Ju-E; Wang, Shou-Yang; Lai, Kin Keung&lt;/Author&gt;&lt;Year&gt;2009&lt;/Year&gt;&lt;Details&gt;&lt;_accessed&gt;59334389&lt;/_accessed&gt;&lt;_alternate_title&gt;Energy Policy&lt;/_alternate_title&gt;&lt;_created&gt;59332914&lt;/_created&gt;&lt;_date_display&gt;2009/12//&lt;/_date_display&gt;&lt;_db_updated&gt;ScienceDirect&lt;/_db_updated&gt;&lt;_isbn&gt;0301-4215&lt;/_isbn&gt;&lt;_issue&gt;12&lt;/_issue&gt;&lt;_journal&gt;Energy Policy&lt;/_journal&gt;&lt;_keywords&gt;Input–occupancy–output table; Structure decomposition analysis; Path analysis&lt;/_keywords&gt;&lt;_modified&gt;59334389&lt;/_modified&gt;&lt;_pages&gt;5717-5731&lt;/_pages&gt;&lt;_url&gt;http://www.sciencedirect.com/science/article/pii/S0301421509006259&lt;/_url&gt;&lt;_volume&gt;37&lt;/_volume&gt;&lt;/Details&gt;&lt;Extra&gt;&lt;DBUID&gt;{502CA3C0-22CA-4511-973C-E02D6A2BD88D}&lt;/DBUID&gt;&lt;/Extra&gt;&lt;/Item&gt;&lt;/References&gt;&lt;/Group&gt;&lt;/Citation&gt;_x000a_"/>
    <w:docVar w:name="NE.Ref{59636E84-1F8F-4EDE-AECE-3936531E694F}" w:val=" ADDIN NE.Ref.{59636E84-1F8F-4EDE-AECE-3936531E694F}&lt;Citation&gt;&lt;Group&gt;&lt;References&gt;&lt;Item&gt;&lt;ID&gt;158&lt;/ID&gt;&lt;UID&gt;{3361B2E2-5C8E-49A5-8D67-0F1C1D54E97D}&lt;/UID&gt;&lt;Title&gt;Comparing structural decomposition analysis and index&lt;/Title&gt;&lt;Template&gt;Journal Article&lt;/Template&gt;&lt;Star&gt;0&lt;/Star&gt;&lt;Tag&gt;0&lt;/Tag&gt;&lt;Author&gt;Hoekstra, Rutger; van den Bergh, Jeroen C J M&lt;/Author&gt;&lt;Year&gt;2003&lt;/Year&gt;&lt;Details&gt;&lt;_accessed&gt;59328681&lt;/_accessed&gt;&lt;_alternate_title&gt;Energy Economics&lt;/_alternate_title&gt;&lt;_created&gt;58537266&lt;/_created&gt;&lt;_date_display&gt;2003/1//&lt;/_date_display&gt;&lt;_isbn&gt;0140-9883&lt;/_isbn&gt;&lt;_issue&gt;1&lt;/_issue&gt;&lt;_journal&gt;Energy Economics&lt;/_journal&gt;&lt;_keywords&gt;Comparative static analysis; Energy use; Index properties; Structural change; Technological change; CO2-emissions&lt;/_keywords&gt;&lt;_modified&gt;58537266&lt;/_modified&gt;&lt;_pages&gt;39-64&lt;/_pages&gt;&lt;_url&gt;http://www.sciencedirect.com/science/article/B6V7G-46X2KFF-1/2/1360ff3f895739fd979bd39e7c114394&lt;/_url&gt;&lt;_volume&gt;25&lt;/_volume&gt;&lt;/Details&gt;&lt;Extra&gt;&lt;DBUID&gt;{502CA3C0-22CA-4511-973C-E02D6A2BD88D}&lt;/DBUID&gt;&lt;/Extra&gt;&lt;/Item&gt;&lt;/References&gt;&lt;/Group&gt;&lt;/Citation&gt;_x000a_"/>
    <w:docVar w:name="NE.Ref{5C67398D-21DE-4DE7-8136-788254CE994D}" w:val=" ADDIN NE.Ref.{5C67398D-21DE-4DE7-8136-788254CE994D}&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5D376D52-00E4-41C0-A5A5-474FBA617DDF}" w:val=" ADDIN NE.Ref.{5D376D52-00E4-41C0-A5A5-474FBA617DDF}&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5D7A02A6-1D95-4CC7-ABD7-8E80F994A2EE}" w:val=" ADDIN NE.Ref.{5D7A02A6-1D95-4CC7-ABD7-8E80F994A2EE}&lt;Citation SecTmpl=&quot;1&quot;&gt;&lt;Group&gt;&lt;References&gt;&lt;Item&gt;&lt;ID&gt;1213&lt;/ID&gt;&lt;UID&gt;{DFB60615-93DF-410C-8E75-E1446173D4E2}&lt;/UID&gt;&lt;Title&gt;Pollution embodied in trade: the Norwegian case&lt;/Title&gt;&lt;Template&gt;Journal Article&lt;/Template&gt;&lt;Star&gt;0&lt;/Star&gt;&lt;Tag&gt;0&lt;/Tag&gt;&lt;Author&gt;Peters, G P; Hertwich, E G&lt;/Author&gt;&lt;Year&gt;2006&lt;/Year&gt;&lt;Details&gt;&lt;_accessed&gt;59352983&lt;/_accessed&gt;&lt;_created&gt;58750020&lt;/_created&gt;&lt;_issue&gt;4&lt;/_issue&gt;&lt;_journal&gt;Global Environmental Change&lt;/_journal&gt;&lt;_modified&gt;59085817&lt;/_modified&gt;&lt;_pages&gt;379-387&lt;/_pages&gt;&lt;_volume&gt;16&lt;/_volume&gt;&lt;/Details&gt;&lt;Extra&gt;&lt;DBUID&gt;{502CA3C0-22CA-4511-973C-E02D6A2BD88D}&lt;/DBUID&gt;&lt;/Extra&gt;&lt;/Item&gt;&lt;/References&gt;&lt;/Group&gt;&lt;Group&gt;&lt;References&gt;&lt;Item&gt;&lt;ID&gt;428&lt;/ID&gt;&lt;UID&gt;{0154BBD7-2231-4EC3-B456-F9373290D111}&lt;/UID&gt;&lt;Title&gt;Embodied environmental emissions in U.S. international trade, 1997-2004&lt;/Title&gt;&lt;Template&gt;Journal Article&lt;/Template&gt;&lt;Star&gt;0&lt;/Star&gt;&lt;Tag&gt;0&lt;/Tag&gt;&lt;Author&gt;Weber, Christopher L; Matthews, H Scott&lt;/Author&gt;&lt;Year&gt;2007&lt;/Year&gt;&lt;Details&gt;&lt;_accessed&gt;59366986&lt;/_accessed&gt;&lt;_alternate_title&gt;Environmental Science &amp;amp; Technology&lt;/_alternate_title&gt;&lt;_created&gt;58024278&lt;/_created&gt;&lt;_date&gt;2007-06-13&lt;/_date&gt;&lt;_date_display&gt;2007/07/01/_x000d__x000a_2007/06/13/&lt;/_date_display&gt;&lt;_isbn&gt;0013-936X&lt;/_isbn&gt;&lt;_issue&gt;14&lt;/_issue&gt;&lt;_journal&gt;Environmental Science &amp;amp; Technology&lt;/_journal&gt;&lt;_modified&gt;59366986&lt;/_modified&gt;&lt;_ori_publication&gt;American Chemical Society&lt;/_ori_publication&gt;&lt;_pages&gt;4875-4881&lt;/_pages&gt;&lt;_url&gt;http://dx.doi.org/10.1021/es0629110&lt;/_url&gt;&lt;_volume&gt;41&lt;/_volume&gt;&lt;/Details&gt;&lt;Extra&gt;&lt;DBUID&gt;{502CA3C0-22CA-4511-973C-E02D6A2BD88D}&lt;/DBUID&gt;&lt;/Extra&gt;&lt;/Item&gt;&lt;/References&gt;&lt;/Group&gt;&lt;Group&gt;&lt;References&gt;&lt;Item&gt;&lt;ID&gt;1010&lt;/ID&gt;&lt;UID&gt;{EAD26CCF-2390-40FF-B32E-98F085BC4A8B}&lt;/UID&gt;&lt;Title&gt;The CO2 &amp;apos;trade balance&amp;apos; between Scotland and the rest of the UK: Performing a multi-region environmental input-output analysis with limited data&lt;/Title&gt;&lt;Template&gt;Journal Article&lt;/Template&gt;&lt;Star&gt;0&lt;/Star&gt;&lt;Tag&gt;0&lt;/Tag&gt;&lt;Author&gt;McGregor, P G; Swales, J K; Turner, K&lt;/Author&gt;&lt;Year&gt;2008&lt;/Year&gt;&lt;Details&gt;&lt;_accessed&gt;59352983&lt;/_accessed&gt;&lt;_created&gt;57975140&lt;/_created&gt;&lt;_date_display&gt;2008_x000d__x000a_JUL 15&lt;/_date_display&gt;&lt;_isbn&gt;0921-8009&lt;/_isbn&gt;&lt;_issue&gt;4&lt;/_issue&gt;&lt;_journal&gt;Ecological Economics&lt;/_journal&gt;&lt;_keywords&gt;multi-region input-output models; CO2 trade balance; environmental responsibility; REGIONAL CONSUMPTION ACTIVITIES; GREENHOUSE-GAS EMISSIONS; RESPONSIBILITY; IMPORTS; IMPACT&lt;/_keywords&gt;&lt;_label&gt;MRIO&lt;/_label&gt;&lt;_language&gt;English&lt;/_language&gt;&lt;_marked_fields&gt;title;SUB|7|1 _x000d__x000a_&lt;/_marked_fields&gt;&lt;_modified&gt;58801602&lt;/_modified&gt;&lt;_number&gt;ISI:000257973900012&lt;/_number&gt;&lt;_pages&gt;662-673&lt;/_pages&gt;&lt;_type_work&gt;Article&lt;/_type_work&gt;&lt;_volume&gt;66&lt;/_volume&gt;&lt;/Details&gt;&lt;Extra&gt;&lt;DBUID&gt;{502CA3C0-22CA-4511-973C-E02D6A2BD88D}&lt;/DBUID&gt;&lt;/Extra&gt;&lt;/Item&gt;&lt;/References&gt;&lt;/Group&gt;&lt;Group&gt;&lt;References&gt;&lt;Item&gt;&lt;ID&gt;1171&lt;/ID&gt;&lt;UID&gt;{AA6FCF86-2302-41C6-BC38-A52575F23628}&lt;/UID&gt;&lt;Title&gt;CO2 embodied in international trade with implications for global climate policy&lt;/Title&gt;&lt;Template&gt;Journal Article&lt;/Template&gt;&lt;Star&gt;0&lt;/Star&gt;&lt;Tag&gt;0&lt;/Tag&gt;&lt;Author&gt;Peters, Glen P; Hertwich, Edgar G&lt;/Author&gt;&lt;Year&gt;2008&lt;/Year&gt;&lt;Details&gt;&lt;_accessed&gt;59366983&lt;/_accessed&gt;&lt;_alternate_title&gt;Environmental Science &amp;amp; Technology&lt;/_alternate_title&gt;&lt;_created&gt;58054492&lt;/_created&gt;&lt;_date&gt;2008-01-30&lt;/_date&gt;&lt;_date_display&gt;2008/03/01/_x000d__x000a_2008/01/30/&lt;/_date_display&gt;&lt;_isbn&gt;0013-936X&lt;/_isbn&gt;&lt;_issue&gt;5&lt;/_issue&gt;&lt;_journal&gt;Environmental Science &amp;amp; Technology&lt;/_journal&gt;&lt;_marked_fields&gt;title;SUB|3|1 _x000d__x000a_&lt;/_marked_fields&gt;&lt;_modified&gt;59366983&lt;/_modified&gt;&lt;_ori_publication&gt;American Chemical Society&lt;/_ori_publication&gt;&lt;_pages&gt;1401-1407&lt;/_pages&gt;&lt;_url&gt;http://dx.doi.org/10.1021/es072023k&lt;/_url&gt;&lt;_volume&gt;42&lt;/_volume&gt;&lt;/Details&gt;&lt;Extra&gt;&lt;DBUID&gt;{502CA3C0-22CA-4511-973C-E02D6A2BD88D}&lt;/DBUID&gt;&lt;/Extra&gt;&lt;/Item&gt;&lt;/References&gt;&lt;/Group&gt;&lt;Group&gt;&lt;References&gt;&lt;Item&gt;&lt;ID&gt;1221&lt;/ID&gt;&lt;UID&gt;{8D68E225-1D9B-418F-B868-D3705DF67C44}&lt;/UID&gt;&lt;Title&gt;The measurement of CO2 embodiments in international trade: evidence from the harmonised input-output and bilaterial trade database&lt;/Title&gt;&lt;Template&gt;Report&lt;/Template&gt;&lt;Star&gt;0&lt;/Star&gt;&lt;Tag&gt;0&lt;/Tag&gt;&lt;Author&gt;Nakano, S; Okamura, A; Sakurai, N; Suzuki, M; Tojo, Y; Yamano, N&lt;/Author&gt;&lt;Year&gt;2009&lt;/Year&gt;&lt;Details&gt;&lt;_accessed&gt;59085816&lt;/_accessed&gt;&lt;_created&gt;58750354&lt;/_created&gt;&lt;_marked_fields&gt;title;SUB|22|1 _x000d__x000a_&lt;/_marked_fields&gt;&lt;_modified&gt;59085816&lt;/_modified&gt;&lt;_place_published&gt;Paris&lt;/_place_published&gt;&lt;_publisher&gt;Directorate for Science Technology and Industry, Organisation for Economic Cooperation and Development (OECD)&lt;/_publisher&gt;&lt;/Details&gt;&lt;Extra&gt;&lt;DBUID&gt;{502CA3C0-22CA-4511-973C-E02D6A2BD88D}&lt;/DBUID&gt;&lt;/Extra&gt;&lt;/Item&gt;&lt;/References&gt;&lt;/Group&gt;&lt;/Citation&gt;_x000a_"/>
    <w:docVar w:name="NE.Ref{5D9C5D0E-490B-4291-870A-F651D2798AFE}" w:val=" ADDIN NE.Ref.{5D9C5D0E-490B-4291-870A-F651D2798AFE}&lt;Citation SecTmpl=&quot;1&quot;&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5DF066DE-C45B-4C1E-AA19-F547C694E985}" w:val=" ADDIN NE.Ref.{5DF066DE-C45B-4C1E-AA19-F547C694E985} ADDIN NE.Ref.{5DF066DE-C45B-4C1E-AA19-F547C694E985}&lt;Citation SecTmpl=&quot;1&quot;&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750017&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5F63CAC5-1010-4630-AF55-8AB890D7A982}" w:val=" ADDIN NE.Ref.{5F63CAC5-1010-4630-AF55-8AB890D7A982}&lt;Citation&gt;&lt;Group&gt;&lt;References&gt;&lt;Item&gt;&lt;ID&gt;816&lt;/ID&gt;&lt;UID&gt;{0E7788BF-E7B1-482A-BCC5-11D01BC4065E}&lt;/UID&gt;&lt;Title&gt;The importance of carbon footprint estimation boundaries&lt;/Title&gt;&lt;Template&gt;Journal Article&lt;/Template&gt;&lt;Star&gt;0&lt;/Star&gt;&lt;Tag&gt;5&lt;/Tag&gt;&lt;Author&gt;Matthews, H S; Hendrickson, C T; Weber, C L&lt;/Author&gt;&lt;Year&gt;2008&lt;/Year&gt;&lt;Details&gt;&lt;_accessed&gt;58544635&lt;/_accessed&gt;&lt;_author_adr&gt;[Matthews, H. Scott; Hendrickson, Chris T.; Weber, Christopher L.] Carnegie Mellon Univ, Pittsburgh, PA 15213 USA. Matthews, HS, Carnegie Mellon Univ, Pittsburgh, PA 15213 USA. E-Mail: hsm@cmu.edu&lt;/_author_adr&gt;&lt;_created&gt;57657204&lt;/_created&gt;&lt;_isbn&gt;0013-936X %/ AMER CHEMICAL SOC&lt;/_isbn&gt;&lt;_issue&gt;16&lt;/_issue&gt;&lt;_journal&gt;Environmental Science &amp;amp; Technology&lt;/_journal&gt;&lt;_keywords&gt;CONSUMER RESPONSIBILITY_x000d__x000a_PRODUCER&lt;/_keywords&gt;&lt;_language&gt;English&lt;/_language&gt;&lt;_modified&gt;58171191&lt;/_modified&gt;&lt;_pages&gt;5839-5842&lt;/_pages&gt;&lt;_short_title&gt;The importance of carbon footprint estimation boundaries&lt;/_short_title&gt;&lt;_type_work&gt;Article&lt;/_type_work&gt;&lt;_volume&gt;42&lt;/_volume&gt;&lt;/Details&gt;&lt;Extra&gt;&lt;DBUID&gt;{502CA3C0-22CA-4511-973C-E02D6A2BD88D}&lt;/DBUID&gt;&lt;/Extra&gt;&lt;/Item&gt;&lt;/References&gt;&lt;/Group&gt;&lt;/Citation&gt;_x000a_"/>
    <w:docVar w:name="NE.Ref{5FBC69E9-6A6D-4360-95AB-74E2CB5C0407}" w:val=" ADDIN NE.Ref.{5FBC69E9-6A6D-4360-95AB-74E2CB5C0407}&lt;Citation&gt;&lt;Group&gt;&lt;References&gt;&lt;Item&gt;&lt;ID&gt;1285&lt;/ID&gt;&lt;UID&gt;{4398F837-E06B-4134-AEF4-2BB0214E7CDF}&lt;/UID&gt;&lt;Title&gt;Energy demand, structural change and trade: A decomposition analysis of the Danish manufacturing industry&lt;/Title&gt;&lt;Template&gt;Journal Article&lt;/Template&gt;&lt;Star&gt;0&lt;/Star&gt;&lt;Tag&gt;0&lt;/Tag&gt;&lt;Author&gt;Jacobsen, Henrik K&lt;/Author&gt;&lt;Year&gt;2000&lt;/Year&gt;&lt;Details&gt;&lt;_accessed&gt;59366979&lt;/_accessed&gt;&lt;_created&gt;59330442&lt;/_created&gt;&lt;_issue&gt;3&lt;/_issue&gt;&lt;_journal&gt;Economic Systems Research&lt;/_journal&gt;&lt;_language&gt;English&lt;/_language&gt;&lt;_modified&gt;59366980&lt;/_modified&gt;&lt;_pages&gt;319-343&lt;/_pages&gt;&lt;_volume&gt;12&lt;/_volume&gt;&lt;/Details&gt;&lt;Extra&gt;&lt;DBUID&gt;{502CA3C0-22CA-4511-973C-E02D6A2BD88D}&lt;/DBUID&gt;&lt;/Extra&gt;&lt;/Item&gt;&lt;/References&gt;&lt;/Group&gt;&lt;/Citation&gt;_x000a_"/>
    <w:docVar w:name="NE.Ref{5FC87DAD-6B2C-4E7A-A057-6819DA0F2FA2}" w:val=" ADDIN NE.Ref.{5FC87DAD-6B2C-4E7A-A057-6819DA0F2FA2}&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085618&lt;/_accessed&gt;&lt;_created&gt;59085610&lt;/_created&gt;&lt;_date&gt;58871520&lt;/_date&gt;&lt;_date_display&gt;2011-12-8&lt;/_date_display&gt;&lt;_issue&gt;4-25&lt;/_issue&gt;&lt;_language&gt;English&lt;/_language&gt;&lt;_modified&gt;59085625&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60A2DFC0-AF10-4367-B289-3CA756EBC16E}" w:val=" ADDIN NE.Ref.{60A2DFC0-AF10-4367-B289-3CA756EBC16E}&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60C1A1F9-2C0A-4FE9-9C5C-704B50744815}" w:val=" ADDIN NE.Ref.{60C1A1F9-2C0A-4FE9-9C5C-704B50744815}&lt;Citation&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630877AE-13FA-4E8A-8B08-D0CE31498BD7}" w:val=" ADDIN NE.Ref.{630877AE-13FA-4E8A-8B08-D0CE31498BD7} ADDIN NE.Ref.{630877AE-13FA-4E8A-8B08-D0CE31498BD7}&lt;Citation&gt;&lt;Group&gt;&lt;References&gt;&lt;Item&gt;&lt;ID&gt;1224&lt;/ID&gt;&lt;UID&gt;{A62D2BC4-C194-4A6C-A753-0A61D098F7DF}&lt;/UID&gt;&lt;Title&gt;Uncertainties in constructing environmental multiregional input-output models&lt;/Title&gt;&lt;Template&gt;Conference Paper&lt;/Template&gt;&lt;Star&gt;0&lt;/Star&gt;&lt;Tag&gt;0&lt;/Tag&gt;&lt;Author&gt;Weber, C L&lt;/Author&gt;&lt;Year&gt;2008&lt;/Year&gt;&lt;Details&gt;&lt;_accessed&gt;58750559&lt;/_accessed&gt;&lt;_created&gt;58750559&lt;/_created&gt;&lt;_modified&gt;58750559&lt;/_modified&gt;&lt;_place_published&gt;Seville, Spain&lt;/_place_published&gt;&lt;_secondary_title&gt;International Input–Output Meeting on Managing the Environment&lt;/_secondary_title&gt;&lt;/Details&gt;&lt;Extra&gt;&lt;DBUID&gt;{502CA3C0-22CA-4511-973C-E02D6A2BD88D}&lt;/DBUID&gt;&lt;/Extra&gt;&lt;/Item&gt;&lt;/References&gt;&lt;/Group&gt;&lt;/Citation&gt;_x000a_"/>
    <w:docVar w:name="NE.Ref{635DF6BA-1645-41EC-8351-C4C611DAAA7F}" w:val=" ADDIN NE.Ref.{635DF6BA-1645-41EC-8351-C4C611DAAA7F}&lt;Citation&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Citation&gt;_x000a_"/>
    <w:docVar w:name="NE.Ref{6469C291-B3A9-4A6B-8823-A0DB48540441}" w:val=" ADDIN NE.Ref.{6469C291-B3A9-4A6B-8823-A0DB48540441}&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648D382D-C123-4F83-A1A5-9C91C24F7812}" w:val=" ADDIN NE.Ref.{648D382D-C123-4F83-A1A5-9C91C24F7812}&lt;Citation SecTmpl=&quot;1&quot;&gt;&lt;Group&gt;&lt;References&gt;&lt;Item&gt;&lt;ID&gt;1292&lt;/ID&gt;&lt;UID&gt;{9187881C-3A39-4269-845A-DE2E75BFC3D9}&lt;/UID&gt;&lt;Title&gt;An analysis of the driving forces of CO2 emissions embodied in Japan-China trade&lt;/Title&gt;&lt;Template&gt;Journal Article&lt;/Template&gt;&lt;Star&gt;0&lt;/Star&gt;&lt;Tag&gt;0&lt;/Tag&gt;&lt;Author&gt;Dong, Yanli; Ishikawa, Masanobu; Liu, Xianbing; Wang, Can&lt;/Author&gt;&lt;Year&gt;2010&lt;/Year&gt;&lt;Details&gt;&lt;_accessed&gt;59389093&lt;/_accessed&gt;&lt;_alternate_title&gt;Energy Policy_x000d__x000a_Energy Efficiency Policies and Strategies with regular papers.&lt;/_alternate_title&gt;&lt;_created&gt;59332921&lt;/_created&gt;&lt;_date_display&gt;2010/11//&lt;/_date_display&gt;&lt;_db_updated&gt;ScienceDirect&lt;/_db_updated&gt;&lt;_isbn&gt;0301-4215&lt;/_isbn&gt;&lt;_issue&gt;11&lt;/_issue&gt;&lt;_journal&gt;Energy Policy&lt;/_journal&gt;&lt;_keywords&gt;CO2 embodiment; Japan–China trade; Index decomposition analysis&lt;/_keywords&gt;&lt;_marked_fields&gt;title;SUB|40|1 _x000d__x000a_&lt;/_marked_fields&gt;&lt;_modified&gt;59366976&lt;/_modified&gt;&lt;_pages&gt;6784-6792&lt;/_pages&gt;&lt;_url&gt;http://www.sciencedirect.com/science/article/pii/S0301421510005148&lt;/_url&gt;&lt;_volume&gt;38&lt;/_volume&gt;&lt;/Details&gt;&lt;Extra&gt;&lt;DBUID&gt;{502CA3C0-22CA-4511-973C-E02D6A2BD88D}&lt;/DBUID&gt;&lt;/Extra&gt;&lt;/Item&gt;&lt;/References&gt;&lt;/Group&gt;&lt;/Citation&gt;_x000a_"/>
    <w:docVar w:name="NE.Ref{654B5481-DB00-45DF-BD0A-69959A329775}" w:val=" ADDIN NE.Ref.{654B5481-DB00-45DF-BD0A-69959A329775}&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664E8076-06E5-4356-89D8-78BED3C1348C}" w:val=" ADDIN NE.Ref.{664E8076-06E5-4356-89D8-78BED3C1348C} ADDIN NE.Ref.{664E8076-06E5-4356-89D8-78BED3C1348C}&lt;Citation SecTmpl=&quot;1&quot;&gt;&lt;Group&gt;&lt;References&gt;&lt;Item&gt;&lt;ID&gt;1195&lt;/ID&gt;&lt;UID&gt;{24297EDD-3DF1-488B-92B2-148AE2A704B3}&lt;/UID&gt;&lt;Title&gt;Regional analysis&lt;/Title&gt;&lt;Template&gt;Book Section&lt;/Template&gt;&lt;Star&gt;0&lt;/Star&gt;&lt;Tag&gt;0&lt;/Tag&gt;&lt;Author&gt;Chenery, H&lt;/Author&gt;&lt;Year&gt;1953&lt;/Year&gt;&lt;Details&gt;&lt;_accessed&gt;58745421&lt;/_accessed&gt;&lt;_created&gt;58745413&lt;/_created&gt;&lt;_label&gt;MRIO&lt;/_label&gt;&lt;_modified&gt;58745413&lt;/_modified&gt;&lt;_pages&gt;96–115&lt;/_pages&gt;&lt;_place_published&gt;Rome, Italy&lt;/_place_published&gt;&lt;_publisher&gt;Mutual Security Agency&lt;/_publisher&gt;&lt;_secondary_author&gt;Chenery, H; Clark, P&lt;/_secondary_author&gt;&lt;_secondary_title&gt;The Structure and Growth of the Italian Economy&lt;/_secondary_title&gt;&lt;/Details&gt;&lt;Extra&gt;&lt;DBUID&gt;{502CA3C0-22CA-4511-973C-E02D6A2BD88D}&lt;/DBUID&gt;&lt;/Extra&gt;&lt;/Item&gt;&lt;/References&gt;&lt;/Group&gt;&lt;/Citation&gt;_x000a_"/>
    <w:docVar w:name="NE.Ref{66B1FDCE-673D-46C3-98F9-E8CA1B08B25E}" w:val=" ADDIN NE.Ref.{66B1FDCE-673D-46C3-98F9-E8CA1B08B25E}&lt;Citation SecTmpl=&quot;1&quot;&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66D17B8D-5248-43B8-982F-709612DE2D6A}" w:val=" ADDIN NE.Ref.{66D17B8D-5248-43B8-982F-709612DE2D6A}&lt;Citation&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085818&lt;/_accessed&gt;&lt;_created&gt;58014525&lt;/_created&gt;&lt;_issue&gt;17&lt;/_issue&gt;&lt;_journal&gt;Environmental Science &amp;amp; Technology&lt;/_journal&gt;&lt;_language&gt;English&lt;/_language&gt;&lt;_marked_fields&gt;title;SUB|19|1 _x000d__x000a_&lt;/_marked_fields&gt;&lt;_modified&gt;59085819&lt;/_modified&gt;&lt;_pages&gt;5939-5944&lt;/_pages&gt;&lt;_volume&gt;41&lt;/_volume&gt;&lt;/Details&gt;&lt;Extra&gt;&lt;DBUID&gt;{502CA3C0-22CA-4511-973C-E02D6A2BD88D}&lt;/DBUID&gt;&lt;/Extra&gt;&lt;/Item&gt;&lt;/References&gt;&lt;/Group&gt;&lt;Group&gt;&lt;References&gt;&lt;Item&gt;&lt;ID&gt;1227&lt;/ID&gt;&lt;UID&gt;{1BBA8A06-2243-4DA8-87CD-D2376964E497}&lt;/UID&gt;&lt;Title&gt;Trade pattern change impact on industrial CO2 emissions in Taiwan&lt;/Title&gt;&lt;Template&gt;Journal Article&lt;/Template&gt;&lt;Star&gt;0&lt;/Star&gt;&lt;Tag&gt;0&lt;/Tag&gt;&lt;Author&gt;Wu, Jung-Hua; Chen, Yen-Yin; Huang, Yun-Hsun&lt;/Author&gt;&lt;Year&gt;2007&lt;/Year&gt;&lt;Details&gt;&lt;_accessed&gt;58752984&lt;/_accessed&gt;&lt;_created&gt;58751124&lt;/_created&gt;&lt;_issue&gt;11&lt;/_issue&gt;&lt;_journal&gt;Energy Policy&lt;/_journal&gt;&lt;_marked_fields&gt;title;SUB|45|1 _x000d__x000a_&lt;/_marked_fields&gt;&lt;_modified&gt;58752984&lt;/_modified&gt;&lt;_pages&gt;5436-5446&lt;/_pages&gt;&lt;_volume&gt;35&lt;/_volume&gt;&lt;/Details&gt;&lt;Extra&gt;&lt;DBUID&gt;{502CA3C0-22CA-4511-973C-E02D6A2BD88D}&lt;/DBUID&gt;&lt;/Extra&gt;&lt;/Item&gt;&lt;/References&gt;&lt;/Group&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31784&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odified&gt;59033721&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334695&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Citation&gt;_x000a_"/>
    <w:docVar w:name="NE.Ref{679C195A-8F99-4701-86A9-ED293792726B}" w:val=" ADDIN NE.Ref.{679C195A-8F99-4701-86A9-ED293792726B}&lt;Citation&gt;&lt;Group&gt;&lt;References&gt;&lt;Item&gt;&lt;ID&gt;839&lt;/ID&gt;&lt;UID&gt;{4AEB89D7-7AFF-4AB7-A5D1-E6EF916C51FF}&lt;/UID&gt;&lt;Title&gt;Climate Change 2007: Synthesis Report. Contribution of Working Groups I, II and III to the Fourth Assessment Report of the Intergovernmental Panel on Climate Change&lt;/Title&gt;&lt;Template&gt;Book&lt;/Template&gt;&lt;Star&gt;0&lt;/Star&gt;&lt;Tag&gt;0&lt;/Tag&gt;&lt;Author&gt;&amp;quot;Core Writing Team&amp;quot;; Pachauri, R K; Reisinger, A&lt;/Author&gt;&lt;Year&gt;2007&lt;/Year&gt;&lt;Details&gt;&lt;_accessed&gt;58780157&lt;/_accessed&gt;&lt;_created&gt;57710498&lt;/_created&gt;&lt;_language&gt;English&lt;/_language&gt;&lt;_modified&gt;58751427&lt;/_modified&gt;&lt;_place_published&gt;Geneva, Switzerland&lt;/_place_published&gt;&lt;_publisher&gt;IPCC&lt;/_publisher&gt;&lt;_secondary_author&gt;The Core Writing Team,; Pachauri, Rajendra K; Reisinger, Andy&lt;/_secondary_author&gt;&lt;/Details&gt;&lt;Extra&gt;&lt;DBUID&gt;{502CA3C0-22CA-4511-973C-E02D6A2BD88D}&lt;/DBUID&gt;&lt;/Extra&gt;&lt;/Item&gt;&lt;/References&gt;&lt;/Group&gt;&lt;/Citation&gt;_x000a_"/>
    <w:docVar w:name="NE.Ref{68D95DE5-9127-49A4-83F6-9A53B05F992A}" w:val=" ADDIN NE.Ref.{68D95DE5-9127-49A4-83F6-9A53B05F992A} ADDIN NE.Ref.{68D95DE5-9127-49A4-83F6-9A53B05F992A}&lt;Citation SecTmpl=&quot;1&quot;&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8034324&lt;/_accessed&gt;&lt;_created&gt;58034324&lt;/_created&gt;&lt;_issue&gt;7&lt;/_issue&gt;&lt;_journal&gt;Environmental Science &amp;amp; Technology &lt;/_journal&gt;&lt;_language&gt;English&lt;/_language&gt;&lt;_modified&gt;58034324&lt;/_modified&gt;&lt;_pages&gt;184A-191A&lt;/_pages&gt;&lt;_volume&gt;32&lt;/_volume&gt;&lt;/Details&gt;&lt;Extra&gt;&lt;DBUID&gt;{502CA3C0-22CA-4511-973C-E02D6A2BD88D}&lt;/DBUID&gt;&lt;/Extra&gt;&lt;/Item&gt;&lt;/References&gt;&lt;/Group&gt;&lt;/Citation&gt;_x000a_"/>
    <w:docVar w:name="NE.Ref{694186D6-7D02-4FF5-A365-7871DF083908}" w:val=" ADDIN NE.Ref.{694186D6-7D02-4FF5-A365-7871DF083908}&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6B3712C2-46D1-43A2-AD06-EA3EC18BC365}" w:val=" ADDIN NE.Ref.{6B3712C2-46D1-43A2-AD06-EA3EC18BC365}&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6BA760C5-EAD4-4FF4-A836-DC5E2379D649}" w:val=" ADDIN NE.Ref.{6BA760C5-EAD4-4FF4-A836-DC5E2379D649}&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6C4D5DEF-9C6F-4622-9D6D-7809942B2BE6}" w:val=" ADDIN NE.Ref.{6C4D5DEF-9C6F-4622-9D6D-7809942B2BE6}&lt;Citation SecTmpl=&quot;1&quot;&gt;&lt;Group&gt;&lt;References&gt;&lt;Item&gt;&lt;ID&gt;1223&lt;/ID&gt;&lt;UID&gt;{BE0B28F6-9255-4BB2-A069-A53F919F6D0B}&lt;/UID&gt;&lt;Title&gt;Opportunities and challenges for environmental MRIO modeling: Illustrations with the GTAP database&lt;/Title&gt;&lt;Template&gt;Conference Paper&lt;/Template&gt;&lt;Star&gt;0&lt;/Star&gt;&lt;Tag&gt;0&lt;/Tag&gt;&lt;Author&gt;Peters, G P&lt;/Author&gt;&lt;Year&gt;2007&lt;/Year&gt;&lt;Details&gt;&lt;_accessed&gt;59085816&lt;/_accessed&gt;&lt;_created&gt;58750543&lt;/_created&gt;&lt;_modified&gt;59085816&lt;/_modified&gt;&lt;_place_published&gt;Istanbul, Turkey&lt;/_place_published&gt;&lt;_publisher&gt;IIOA&lt;/_publisher&gt;&lt;_secondary_title&gt;16th International Input-Output Conference of the International Input-Output Association (IIOA)&lt;/_secondary_title&gt;&lt;/Details&gt;&lt;Extra&gt;&lt;DBUID&gt;{502CA3C0-22CA-4511-973C-E02D6A2BD88D}&lt;/DBUID&gt;&lt;/Extra&gt;&lt;/Item&gt;&lt;/References&gt;&lt;/Group&gt;&lt;/Citation&gt;_x000a_"/>
    <w:docVar w:name="NE.Ref{6D2D3F91-3729-4519-B23B-3150DBF28172}" w:val=" ADDIN NE.Ref.{6D2D3F91-3729-4519-B23B-3150DBF28172}&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6D805D8F-ABB5-4D66-89B3-51926162847A}" w:val=" ADDIN NE.Ref.{6D805D8F-ABB5-4D66-89B3-51926162847A}&lt;Citation&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6E347B4C-97F9-42DB-A766-244EA4DD9312}" w:val=" ADDIN NE.Ref.{6E347B4C-97F9-42DB-A766-244EA4DD9312}&lt;Citation&gt;&lt;Group&gt;&lt;References&gt;&lt;Item&gt;&lt;ID&gt;161&lt;/ID&gt;&lt;UID&gt;{A223F001-30B3-4FAB-9AA7-8A7E30DBCFD5}&lt;/UID&gt;&lt;Title&gt;Climate Change 2007: Synthesis Report. Contribution of Working Groups I, II and III to the Fourth Assessment Report of the Intergovernmental Panel on Climate Change&lt;/Title&gt;&lt;Template&gt;Book&lt;/Template&gt;&lt;Star&gt;0&lt;/Star&gt;&lt;Tag&gt;0&lt;/Tag&gt;&lt;Author&gt;IPCC&lt;/Author&gt;&lt;Year&gt;2007&lt;/Year&gt;&lt;Details&gt;&lt;_accessed&gt;57728982&lt;/_accessed&gt;&lt;_created&gt;57710498&lt;/_created&gt;&lt;_language&gt;English&lt;/_language&gt;&lt;_modified&gt;57728982&lt;/_modified&gt;&lt;_place_published&gt;Geneva, Switzerland&lt;/_place_published&gt;&lt;_publisher&gt;IPCC&lt;/_publisher&gt;&lt;_secondary_author&gt;The Core Writing Team,; Pachauri, Rajendra K; Reisinger, Andy&lt;/_secondary_author&gt;&lt;/Details&gt;&lt;Extra&gt;&lt;DBUID&gt;{C1C6AFFD-40D7-4280-B372-B074675E48C0}&lt;/DBUID&gt;&lt;/Extra&gt;&lt;/Item&gt;&lt;/References&gt;&lt;/Group&gt;&lt;/Citation&gt;_x000a_"/>
    <w:docVar w:name="NE.Ref{6F62B0FA-C06B-4B71-90FF-10BB5090B41D}" w:val=" ADDIN NE.Ref.{6F62B0FA-C06B-4B71-90FF-10BB5090B41D}&lt;Citation&gt;&lt;Group&gt;&lt;References&gt;&lt;Item&gt;&lt;ID&gt;1153&lt;/ID&gt;&lt;UID&gt;{29C06AD2-5A49-417F-855C-257407EEE069}&lt;/UID&gt;&lt;Title&gt;中国投入产出表2007&lt;/Title&gt;&lt;Template&gt;Book&lt;/Template&gt;&lt;Star&gt;0&lt;/Star&gt;&lt;Tag&gt;0&lt;/Tag&gt;&lt;Author&gt;国家统计局国民经济核算司&lt;/Author&gt;&lt;Year&gt;2009&lt;/Year&gt;&lt;Details&gt;&lt;_accessed&gt;58014284&lt;/_accessed&gt;&lt;_created&gt;58014284&lt;/_created&gt;&lt;_language&gt;Chinese&lt;/_language&gt;&lt;_modified&gt;58014284&lt;/_modified&gt;&lt;_place_published&gt;北京&lt;/_place_published&gt;&lt;_publisher&gt;中国统计出版社&lt;/_publisher&gt;&lt;/Details&gt;&lt;Extra&gt;&lt;DBUID&gt;{502CA3C0-22CA-4511-973C-E02D6A2BD88D}&lt;/DBUID&gt;&lt;/Extra&gt;&lt;/Item&gt;&lt;/References&gt;&lt;/Group&gt;&lt;/Citation&gt;_x000a_"/>
    <w:docVar w:name="NE.Ref{73163CA3-FE41-45CF-A432-48D8D24497D5}" w:val=" ADDIN NE.Ref.{73163CA3-FE41-45CF-A432-48D8D24497D5}&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736D6091-9282-4456-AD71-2CA698CBAEDF}" w:val=" ADDIN NE.Ref.{736D6091-9282-4456-AD71-2CA698CBAEDF}&lt;Citation&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738D1875-0E34-4ABA-9D5F-68A5100FE0AA}" w:val=" ADDIN NE.Ref.{738D1875-0E34-4ABA-9D5F-68A5100FE0AA}&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73A73CAC-D340-493B-94D1-A3E7F74C4165}" w:val=" ADDIN NE.Ref.{73A73CAC-D340-493B-94D1-A3E7F74C4165}&lt;Citation&gt;&lt;Group&gt;&lt;References&gt;&lt;Item&gt;&lt;ID&gt;1187&lt;/ID&gt;&lt;UID&gt;{59DA5930-7734-4321-9CBA-3C768437B485}&lt;/UID&gt;&lt;Title&gt;Revised 1996 IPCC Guidelines for National Greenhouse Gas Inventories&lt;/Title&gt;&lt;Template&gt;Book&lt;/Template&gt;&lt;Star&gt;0&lt;/Star&gt;&lt;Tag&gt;0&lt;/Tag&gt;&lt;Author&gt;IPCC; OECD; IEA&lt;/Author&gt;&lt;Year&gt;1997&lt;/Year&gt;&lt;Details&gt;&lt;_accessed&gt;58066050&lt;/_accessed&gt;&lt;_created&gt;58014498&lt;/_created&gt;&lt;_language&gt;English&lt;/_language&gt;&lt;_modified&gt;58066050&lt;/_modified&gt;&lt;_place_published&gt;Paris&lt;/_place_published&gt;&lt;_publisher&gt;Organization for Economic Cooperative Development&lt;/_publisher&gt;&lt;/Details&gt;&lt;Extra&gt;&lt;DBUID&gt;{502CA3C0-22CA-4511-973C-E02D6A2BD88D}&lt;/DBUID&gt;&lt;/Extra&gt;&lt;/Item&gt;&lt;/References&gt;&lt;/Group&gt;&lt;/Citation&gt;_x000a_"/>
    <w:docVar w:name="NE.Ref{7421BA08-633B-4359-8FBA-F01C296C38D5}" w:val=" ADDIN NE.Ref.{7421BA08-633B-4359-8FBA-F01C296C38D5}&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74F10462-F841-4B56-93DE-A510C735632A}" w:val=" ADDIN NE.Ref.{74F10462-F841-4B56-93DE-A510C735632A}&lt;Citation SecTmpl=&quot;1&quot;&gt;&lt;Group&gt;&lt;References&gt;&lt;Item&gt;&lt;ID&gt;1295&lt;/ID&gt;&lt;UID&gt;{DB30AC8F-8C78-4C87-86F5-AADC9058EA45}&lt;/UID&gt;&lt;Title&gt;Scale, technique and composition effects in trade-related carbon emissions in China &lt;/Title&gt;&lt;Template&gt;Journal Article&lt;/Template&gt;&lt;Star&gt;0&lt;/Star&gt;&lt;Tag&gt;0&lt;/Tag&gt;&lt;Author&gt;Zhang, Youguo&lt;/Author&gt;&lt;Year&gt;2012&lt;/Year&gt;&lt;Details&gt;&lt;_accessed&gt;59366987&lt;/_accessed&gt;&lt;_created&gt;59332956&lt;/_created&gt;&lt;_doi&gt;10.1007/s10640-011-9503-9&lt;/_doi&gt;&lt;_issue&gt;3&lt;/_issue&gt;&lt;_journal&gt;Environmental and Resource Economics&lt;/_journal&gt;&lt;_modified&gt;59366988&lt;/_modified&gt;&lt;_pages&gt;371-389&lt;/_pages&gt;&lt;_volume&gt;51&lt;/_volume&gt;&lt;/Details&gt;&lt;Extra&gt;&lt;DBUID&gt;{502CA3C0-22CA-4511-973C-E02D6A2BD88D}&lt;/DBUID&gt;&lt;/Extra&gt;&lt;/Item&gt;&lt;/References&gt;&lt;/Group&gt;&lt;/Citation&gt;_x000a_"/>
    <w:docVar w:name="NE.Ref{75A89AB6-7CED-4318-84D6-06B02F8CFDC3}" w:val=" ADDIN NE.Ref.{75A89AB6-7CED-4318-84D6-06B02F8CFDC3}&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77415243-AEFE-4F4E-802F-EB6D1B630D2A}" w:val=" ADDIN NE.Ref.{77415243-AEFE-4F4E-802F-EB6D1B630D2A}&lt;Citation SecTmpl=&quot;1&quot;&gt;&lt;Group&gt;&lt;References&gt;&lt;Item&gt;&lt;ID&gt;1118&lt;/ID&gt;&lt;UID&gt;{4E64C9B5-98EF-4A76-BD1E-522C44AE3FFE}&lt;/UID&gt;&lt;Title&gt;A structure decomposition analysis of China&amp;apos;s production-source CO2 emissions: 1992-2002&lt;/Title&gt;&lt;Template&gt;Journal Article&lt;/Template&gt;&lt;Star&gt;0&lt;/Star&gt;&lt;Tag&gt;0&lt;/Tag&gt;&lt;Author&gt;Zhang, Huanbo; Qi, Ye&lt;/Author&gt;&lt;Year&gt;2011&lt;/Year&gt;&lt;Details&gt;&lt;_accessed&gt;59366986&lt;/_accessed&gt;&lt;_created&gt;58441611&lt;/_created&gt;&lt;_doi&gt;10.1007/s10640-010-9424-z&lt;/_doi&gt;&lt;_issue&gt;1&lt;/_issue&gt;&lt;_journal&gt;Environmental and Resource Economics&lt;/_journal&gt;&lt;_marked_fields&gt;title;SUB|67|1 _x000d__x000a_&lt;/_marked_fields&gt;&lt;_modified&gt;59366987&lt;/_modified&gt;&lt;_pages&gt;65-77&lt;/_pages&gt;&lt;_volume&gt;49&lt;/_volume&gt;&lt;/Details&gt;&lt;Extra&gt;&lt;DBUID&gt;{502CA3C0-22CA-4511-973C-E02D6A2BD88D}&lt;/DBUID&gt;&lt;/Extra&gt;&lt;/Item&gt;&lt;/References&gt;&lt;/Group&gt;&lt;/Citation&gt;_x000a_"/>
    <w:docVar w:name="NE.Ref{79E19E1E-C4B3-46FD-BB19-72655FB17F8C}" w:val=" ADDIN NE.Ref.{79E19E1E-C4B3-46FD-BB19-72655FB17F8C}&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7A01DE19-53C1-460C-89C2-44F6FE7380D7}" w:val=" ADDIN NE.Ref.{7A01DE19-53C1-460C-89C2-44F6FE7380D7}&lt;Citation SecTmpl=&quot;1&quot;&gt;&lt;Group&gt;&lt;References&gt;&lt;Item&gt;&lt;ID&gt;1309&lt;/ID&gt;&lt;UID&gt;{474B3257-D772-4576-A81A-9539DB7052E1}&lt;/UID&gt;&lt;Title&gt;Multiplicative decomposition and index number theory: an empirical application of the Sato-Vartia decomposition&lt;/Title&gt;&lt;Template&gt;Journal Article&lt;/Template&gt;&lt;Star&gt;0&lt;/Star&gt;&lt;Tag&gt;0&lt;/Tag&gt;&lt;Author&gt;De Boera, Paul&lt;/Author&gt;&lt;Year&gt;2009&lt;/Year&gt;&lt;Details&gt;&lt;_accessed&gt;59366974&lt;/_accessed&gt;&lt;_created&gt;59333261&lt;/_created&gt;&lt;_issue&gt;2&lt;/_issue&gt;&lt;_journal&gt;Economic Systems Research&lt;/_journal&gt;&lt;_language&gt;English&lt;/_language&gt;&lt;_modified&gt;59366975&lt;/_modified&gt;&lt;_pages&gt;163-174&lt;/_pages&gt;&lt;_volume&gt;21&lt;/_volume&gt;&lt;/Details&gt;&lt;Extra&gt;&lt;DBUID&gt;{502CA3C0-22CA-4511-973C-E02D6A2BD88D}&lt;/DBUID&gt;&lt;/Extra&gt;&lt;/Item&gt;&lt;/References&gt;&lt;/Group&gt;&lt;/Citation&gt;_x000a_"/>
    <w:docVar w:name="NE.Ref{7A64668F-6223-4DAB-90D0-73E96BC5BB81}" w:val=" ADDIN NE.Ref.{7A64668F-6223-4DAB-90D0-73E96BC5BB81}&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7B0CFF13-409B-4629-BE3D-1FD4D44F4460}" w:val=" ADDIN NE.Ref.{7B0CFF13-409B-4629-BE3D-1FD4D44F4460}&lt;Citation&gt;&lt;Group&gt;&lt;References&gt;&lt;Item&gt;&lt;ID&gt;1192&lt;/ID&gt;&lt;UID&gt;{C90D4B54-3DAD-43B5-B6A8-EDA135850285}&lt;/UID&gt;&lt;Title&gt;Environmental repercussions and the economic structure: An input-output approach&lt;/Title&gt;&lt;Template&gt;Journal Article&lt;/Template&gt;&lt;Star&gt;0&lt;/Star&gt;&lt;Tag&gt;0&lt;/Tag&gt;&lt;Author&gt;Leontief, Wassily&lt;/Author&gt;&lt;Year&gt;1970&lt;/Year&gt;&lt;Details&gt;&lt;_accessed&gt;59366981&lt;/_accessed&gt;&lt;_created&gt;58031498&lt;/_created&gt;&lt;_issue&gt;3&lt;/_issue&gt;&lt;_journal&gt;The Review of Economics and Statistics&lt;/_journal&gt;&lt;_language&gt;English&lt;/_language&gt;&lt;_modified&gt;59366981&lt;/_modified&gt;&lt;_pages&gt;262-271&lt;/_pages&gt;&lt;_volume&gt;52&lt;/_volume&gt;&lt;/Details&gt;&lt;Extra&gt;&lt;DBUID&gt;{502CA3C0-22CA-4511-973C-E02D6A2BD88D}&lt;/DBUID&gt;&lt;/Extra&gt;&lt;/Item&gt;&lt;/References&gt;&lt;/Group&gt;&lt;/Citation&gt;_x000a_"/>
    <w:docVar w:name="NE.Ref{7B1D5B18-F22F-4024-AC6C-F51A05C26D3E}" w:val=" ADDIN NE.Ref.{7B1D5B18-F22F-4024-AC6C-F51A05C26D3E}&lt;Citation&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7B57F451-975C-4077-9C2A-58A69F911404}" w:val=" ADDIN NE.Ref.{7B57F451-975C-4077-9C2A-58A69F911404}&lt;Citation&gt;&lt;Group&gt;&lt;References&gt;&lt;Item&gt;&lt;ID&gt;1148&lt;/ID&gt;&lt;UID&gt;{F1F17E4A-9DF7-49E1-8241-7B080B87C1F6}&lt;/UID&gt;&lt;Title&gt;Input-output structural decomposition analysis: A critical appraisal&lt;/Title&gt;&lt;Template&gt;Journal Article&lt;/Template&gt;&lt;Star&gt;0&lt;/Star&gt;&lt;Tag&gt;0&lt;/Tag&gt;&lt;Author&gt;Rose, Adam; Casler, Stephen&lt;/Author&gt;&lt;Year&gt;1996&lt;/Year&gt;&lt;Details&gt;&lt;_accessed&gt;59366985&lt;/_accessed&gt;&lt;_created&gt;58204349&lt;/_created&gt;&lt;_isbn&gt;0953-5314&lt;/_isbn&gt;&lt;_issue&gt;1&lt;/_issue&gt;&lt;_journal&gt;Economic Systems Research&lt;/_journal&gt;&lt;_modified&gt;59366985&lt;/_modified&gt;&lt;_pages&gt;33-62&lt;/_pages&gt;&lt;_url&gt;http://www.informaworld.com/10.1080/09535319600000003&lt;/_url&gt;&lt;_volume&gt;8&lt;/_volume&gt;&lt;/Details&gt;&lt;Extra&gt;&lt;DBUID&gt;{502CA3C0-22CA-4511-973C-E02D6A2BD88D}&lt;/DBUID&gt;&lt;/Extra&gt;&lt;/Item&gt;&lt;/References&gt;&lt;/Group&gt;&lt;/Citation&gt;_x000a_"/>
    <w:docVar w:name="NE.Ref{7B996A73-2542-4C4A-931E-D2DD0814626C}" w:val=" ADDIN NE.Ref.{7B996A73-2542-4C4A-931E-D2DD0814626C}&lt;Citation&gt;&lt;Group&gt;&lt;References&gt;&lt;Item&gt;&lt;ID&gt;1277&lt;/ID&gt;&lt;UID&gt;{985DB0E0-D77F-4804-81F3-529FF9138CEB}&lt;/UID&gt;&lt;Title&gt;Comparing structural decomposition analysis and index&lt;/Title&gt;&lt;Template&gt;Journal Article&lt;/Template&gt;&lt;Star&gt;0&lt;/Star&gt;&lt;Tag&gt;0&lt;/Tag&gt;&lt;Author&gt;Hoekstra, Rutger; van den Bergh, Jeroen C J M&lt;/Author&gt;&lt;Year&gt;2003&lt;/Year&gt;&lt;Details/&gt;&lt;Extra&gt;&lt;DBUID&gt;{502CA3C0-22CA-4511-973C-E02D6A2BD88D}&lt;/DBUID&gt;&lt;/Extra&gt;&lt;/Item&gt;&lt;/References&gt;&lt;/Group&gt;&lt;/Citation&gt;_x000a_"/>
    <w:docVar w:name="NE.Ref{7C5BB2DA-AEB2-4EB1-9C22-948B2D7878F3}" w:val=" ADDIN NE.Ref.{7C5BB2DA-AEB2-4EB1-9C22-948B2D7878F3}&lt;Citation SecTmpl=&quot;1&quot;&gt;&lt;Group&gt;&lt;References&gt;&lt;Item&gt;&lt;ID&gt;1301&lt;/ID&gt;&lt;UID&gt;{4EF8B8FA-4D55-4A2C-8D11-947757458F24}&lt;/UID&gt;&lt;Title&gt;中国消费碳排放的测度及影响因素研究&lt;/Title&gt;&lt;Template&gt;Journal Article&lt;/Template&gt;&lt;Star&gt;0&lt;/Star&gt;&lt;Tag&gt;0&lt;/Tag&gt;&lt;Author&gt;黄敏&lt;/Author&gt;&lt;Year&gt;2012&lt;/Year&gt;&lt;Details&gt;&lt;_accessed&gt;59389086&lt;/_accessed&gt;&lt;_author_adr&gt;浙江农林大学经管学院;&lt;/_author_adr&gt;&lt;_created&gt;59333222&lt;/_created&gt;&lt;_isbn&gt;1002-8102&lt;/_isbn&gt;&lt;_issue&gt;3&lt;/_issue&gt;&lt;_journal&gt;财贸经济&lt;/_journal&gt;&lt;_keywords&gt;消费碳排放; 隐含碳; 结构分解分析&lt;/_keywords&gt;&lt;_modified&gt;59333302&lt;/_modified&gt;&lt;_pages&gt;129-135&lt;/_pages&gt;&lt;/Details&gt;&lt;Extra&gt;&lt;DBUID&gt;{502CA3C0-22CA-4511-973C-E02D6A2BD88D}&lt;/DBUID&gt;&lt;/Extra&gt;&lt;/Item&gt;&lt;/References&gt;&lt;/Group&gt;&lt;/Citation&gt;_x000a_"/>
    <w:docVar w:name="NE.Ref{7C9A8444-5D53-4948-89F9-A94F8BFB22AB}" w:val=" ADDIN NE.Ref.{7C9A8444-5D53-4948-89F9-A94F8BFB22AB}&lt;Citation&gt;&lt;Group&gt;&lt;References&gt;&lt;Item&gt;&lt;ID&gt;1190&lt;/ID&gt;&lt;UID&gt;{D4CC2CD5-A639-443E-85AC-B2BCC358C112}&lt;/UID&gt;&lt;Title&gt;Input-Output Economics, 2nd ed&lt;/Title&gt;&lt;Template&gt;Book&lt;/Template&gt;&lt;Star&gt;0&lt;/Star&gt;&lt;Tag&gt;0&lt;/Tag&gt;&lt;Author&gt;Leontief, Wassily&lt;/Author&gt;&lt;Year&gt;1986&lt;/Year&gt;&lt;Details&gt;&lt;_accessed&gt;58031494&lt;/_accessed&gt;&lt;_created&gt;58031494&lt;/_created&gt;&lt;_language&gt;English&lt;/_language&gt;&lt;_modified&gt;58031494&lt;/_modified&gt;&lt;_place_published&gt;New York&lt;/_place_published&gt;&lt;_publisher&gt;Oxford University Press&lt;/_publisher&gt;&lt;/Details&gt;&lt;Extra&gt;&lt;DBUID&gt;{502CA3C0-22CA-4511-973C-E02D6A2BD88D}&lt;/DBUID&gt;&lt;/Extra&gt;&lt;/Item&gt;&lt;/References&gt;&lt;/Group&gt;&lt;/Citation&gt;_x000a_"/>
    <w:docVar w:name="NE.Ref{7D350581-58E7-47AE-8689-F70BC361C7C2}" w:val=" ADDIN NE.Ref.{7D350581-58E7-47AE-8689-F70BC361C7C2}&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7D8A7A39-9CE5-4BB2-B9BA-EB60A0F6AB14}" w:val=" ADDIN NE.Ref.{7D8A7A39-9CE5-4BB2-B9BA-EB60A0F6AB14}&lt;Citation SecTmpl=&quot;1&quot;&gt;&lt;Group&gt;&lt;References&gt;&lt;Item&gt;&lt;ID&gt;1300&lt;/ID&gt;&lt;UID&gt;{8193D7F3-2600-4AA5-AE3C-956037DBDE92}&lt;/UID&gt;&lt;Title&gt;中国出口贸易隐含碳排放增长及其驱动因素研究&lt;/Title&gt;&lt;Template&gt;Journal Article&lt;/Template&gt;&lt;Star&gt;0&lt;/Star&gt;&lt;Tag&gt;0&lt;/Tag&gt;&lt;Author&gt;杜运苏; 张为付&lt;/Author&gt;&lt;Year&gt;2012&lt;/Year&gt;&lt;Details&gt;&lt;_accessed&gt;59335822&lt;/_accessed&gt;&lt;_author_adr&gt;南京财经大学国际经贸学院;&lt;/_author_adr&gt;&lt;_created&gt;59333222&lt;/_created&gt;&lt;_isbn&gt;1002-4670&lt;/_isbn&gt;&lt;_issue&gt;3&lt;/_issue&gt;&lt;_journal&gt;国际贸易问题&lt;/_journal&gt;&lt;_keywords&gt;出口隐含碳; 驱动因素; 投入产出法; 结构分解&lt;/_keywords&gt;&lt;_modified&gt;59333302&lt;/_modified&gt;&lt;_pages&gt;97-107&lt;/_pages&gt;&lt;/Details&gt;&lt;Extra&gt;&lt;DBUID&gt;{502CA3C0-22CA-4511-973C-E02D6A2BD88D}&lt;/DBUID&gt;&lt;/Extra&gt;&lt;/Item&gt;&lt;/References&gt;&lt;/Group&gt;&lt;/Citation&gt;_x000a_"/>
    <w:docVar w:name="NE.Ref{7DED9B4D-1932-4306-813D-9D56FD8ADBB3}" w:val=" ADDIN NE.Ref.{7DED9B4D-1932-4306-813D-9D56FD8ADBB3}&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Citation&gt;_x000a_"/>
    <w:docVar w:name="NE.Ref{7E18AA7E-2A26-45AF-9C4B-AB3DC66DD7FD}" w:val=" ADDIN NE.Ref.{7E18AA7E-2A26-45AF-9C4B-AB3DC66DD7FD}&lt;Citation SecTmpl=&quot;1&quot;&gt;&lt;Group&gt;&lt;References&gt;&lt;Item&gt;&lt;ID&gt;1208&lt;/ID&gt;&lt;UID&gt;{BBE586E6-493B-4739-AF6E-DAB749ADEDE2}&lt;/UID&gt;&lt;Title&gt;An Environmental/Input-Output Linear Programming Model to Reach the Targets for Greenhouse Gas Emissions Set by the Kyoto Protocol&lt;/Title&gt;&lt;Template&gt;Journal Article&lt;/Template&gt;&lt;Star&gt;0&lt;/Star&gt;&lt;Tag&gt;0&lt;/Tag&gt;&lt;Author&gt;Cristóbal, José Ramon San&lt;/Author&gt;&lt;Year&gt;2010&lt;/Year&gt;&lt;Details&gt;&lt;_accessed&gt;58748566&lt;/_accessed&gt;&lt;_created&gt;58748565&lt;/_created&gt;&lt;_issue&gt;3&lt;/_issue&gt;&lt;_journal&gt;Economic Systems Research&lt;/_journal&gt;&lt;_modified&gt;58748566&lt;/_modified&gt;&lt;_pages&gt;223-236&lt;/_pages&gt;&lt;_volume&gt;22&lt;/_volume&gt;&lt;/Details&gt;&lt;Extra&gt;&lt;DBUID&gt;{502CA3C0-22CA-4511-973C-E02D6A2BD88D}&lt;/DBUID&gt;&lt;/Extra&gt;&lt;/Item&gt;&lt;/References&gt;&lt;/Group&gt;&lt;/Citation&gt;_x000a_"/>
    <w:docVar w:name="NE.Ref{7E58B05E-8747-4141-B6CB-989C5A7687E1}" w:val=" ADDIN NE.Ref.{7E58B05E-8747-4141-B6CB-989C5A7687E1}&lt;Citation SecTmpl=&quot;1&quot;&gt;&lt;Group&gt;&lt;References&gt;&lt;Item&gt;&lt;ID&gt;1135&lt;/ID&gt;&lt;UID&gt;{9430A693-E780-4D02-94FE-197C8B7FFD9D}&lt;/UID&gt;&lt;Title&gt;Structural decomposition analysis of sources of decarbonizing economic development in China: 1992-2006&lt;/Title&gt;&lt;Template&gt;Journal Article&lt;/Template&gt;&lt;Star&gt;0&lt;/Star&gt;&lt;Tag&gt;0&lt;/Tag&gt;&lt;Author&gt;Zhang, Youguo&lt;/Author&gt;&lt;Year&gt;2009&lt;/Year&gt;&lt;Details&gt;&lt;_accessed&gt;59388295&lt;/_accessed&gt;&lt;_alternate_title&gt;Ecological Economics&lt;/_alternate_title&gt;&lt;_created&gt;58212724&lt;/_created&gt;&lt;_date_display&gt;2009/6/15/&lt;/_date_display&gt;&lt;_isbn&gt;0921-8009&lt;/_isbn&gt;&lt;_issue&gt;8-9&lt;/_issue&gt;&lt;_journal&gt;Ecological Economics&lt;/_journal&gt;&lt;_keywords&gt;Decarbonizing; Carbon intensity; Production pattern; Demand pattern; Structural decomposition analysis&lt;/_keywords&gt;&lt;_modified&gt;58442104&lt;/_modified&gt;&lt;_pages&gt;2399-2405&lt;/_pages&gt;&lt;_url&gt;http://www.sciencedirect.com/science/article/B6VDY-4W2H2BY-2/2/0135a20bb172f61f65675f9b9e975ccc&lt;/_url&gt;&lt;_volume&gt;68&lt;/_volume&gt;&lt;/Details&gt;&lt;Extra&gt;&lt;DBUID&gt;{502CA3C0-22CA-4511-973C-E02D6A2BD88D}&lt;/DBUID&gt;&lt;/Extra&gt;&lt;/Item&gt;&lt;/References&gt;&lt;/Group&gt;&lt;/Citation&gt;_x000a_"/>
    <w:docVar w:name="NE.Ref{7FFEA59B-99E8-413A-88C4-AA3372D4671F}" w:val=" ADDIN NE.Ref.{7FFEA59B-99E8-413A-88C4-AA3372D4671F}&lt;Citation SecTmpl=&quot;1&quot;&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801FAE42-2B6C-4021-9469-DBA7CC004A50}" w:val=" ADDIN NE.Ref.{801FAE42-2B6C-4021-9469-DBA7CC004A50}&lt;Citation&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8092AD7D-21A5-4679-8E78-9C3F0BB44C27}" w:val=" ADDIN NE.Ref.{8092AD7D-21A5-4679-8E78-9C3F0BB44C27}&lt;Citation&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2354&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80C91EEE-D5EE-4C1F-9D9D-26B3B10ABFFF}" w:val=" ADDIN NE.Ref.{80C91EEE-D5EE-4C1F-9D9D-26B3B10ABFFF}&lt;Citation&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Citation&gt;_x000a_"/>
    <w:docVar w:name="NE.Ref{8129897F-9001-4B49-A72C-7251E1F075D6}" w:val=" ADDIN NE.Ref.{8129897F-9001-4B49-A72C-7251E1F075D6}&lt;Citation&gt;&lt;Group&gt;&lt;References&gt;&lt;Item&gt;&lt;ID&gt;1175&lt;/ID&gt;&lt;UID&gt;{8D52B573-79B1-43C7-A4EB-0A5BA56B9802}&lt;/UID&gt;&lt;Title&gt;Climate Change 2007: The Fourth Assessment Report of the Intergovernmental Panel on Climate Change&lt;/Title&gt;&lt;Template&gt;Book&lt;/Template&gt;&lt;Star&gt;0&lt;/Star&gt;&lt;Tag&gt;0&lt;/Tag&gt;&lt;Author&gt;IPCC&lt;/Author&gt;&lt;Year&gt;2007&lt;/Year&gt;&lt;Details&gt;&lt;_accessed&gt;59082387&lt;/_accessed&gt;&lt;_created&gt;58014601&lt;/_created&gt;&lt;_language&gt;English&lt;/_language&gt;&lt;_modified&gt;59082387&lt;/_modified&gt;&lt;_place_published&gt;Cambridge&lt;/_place_published&gt;&lt;_publisher&gt;Cambridge University Press&lt;/_publisher&gt;&lt;/Details&gt;&lt;Extra&gt;&lt;DBUID&gt;{502CA3C0-22CA-4511-973C-E02D6A2BD88D}&lt;/DBUID&gt;&lt;/Extra&gt;&lt;/Item&gt;&lt;/References&gt;&lt;/Group&gt;&lt;/Citation&gt;_x000a_"/>
    <w:docVar w:name="NE.Ref{812F09C7-AF2B-42B3-BEB8-9469A27EA719}" w:val=" ADDIN NE.Ref.{812F09C7-AF2B-42B3-BEB8-9469A27EA719}&lt;Citation SecTmpl=&quot;1&quot;&gt;&lt;Group&gt;&lt;References&gt;&lt;Item&gt;&lt;ID&gt;1351&lt;/ID&gt;&lt;UID&gt;{595E33E1-DC9E-419F-8174-A70F18F4026E}&lt;/UID&gt;&lt;Title&gt;An inventory of primary air pollutants and CO2 emissions from cement production in China, 1990–2020&lt;/Title&gt;&lt;Template&gt;Journal Article&lt;/Template&gt;&lt;Star&gt;0&lt;/Star&gt;&lt;Tag&gt;0&lt;/Tag&gt;&lt;Author&gt;Lei, Yu; Zhang, Qiang; Nielsen, Chris; He, Kebin&lt;/Author&gt;&lt;Year&gt;2011&lt;/Year&gt;&lt;Details&gt;&lt;_accessed&gt;59393437&lt;/_accessed&gt;&lt;_alternate_title&gt;Atmospheric Environment&lt;/_alternate_title&gt;&lt;_created&gt;59354967&lt;/_created&gt;&lt;_date_display&gt;2011/1//&lt;/_date_display&gt;&lt;_db_updated&gt;ScienceDirect&lt;/_db_updated&gt;&lt;_isbn&gt;1352-2310&lt;/_isbn&gt;&lt;_issue&gt;1&lt;/_issue&gt;&lt;_journal&gt;Atmospheric Environment&lt;/_journal&gt;&lt;_keywords&gt;Cement industry; Emission inventory; China; Technology-based methodology&lt;/_keywords&gt;&lt;_marked_fields&gt;title;SUB|46|1 _x000d__x000a_&lt;/_marked_fields&gt;&lt;_modified&gt;59393437&lt;/_modified&gt;&lt;_pages&gt;147-154&lt;/_pages&gt;&lt;_url&gt;http://www.sciencedirect.com/science/article/pii/S1352231010008095&lt;/_url&gt;&lt;_volume&gt;45&lt;/_volume&gt;&lt;/Details&gt;&lt;Extra&gt;&lt;DBUID&gt;{502CA3C0-22CA-4511-973C-E02D6A2BD88D}&lt;/DBUID&gt;&lt;/Extra&gt;&lt;/Item&gt;&lt;/References&gt;&lt;/Group&gt;&lt;/Citation&gt;_x000a_"/>
    <w:docVar w:name="NE.Ref{82A214F1-B8B3-4828-BABB-8F4350462D31}" w:val=" ADDIN NE.Ref.{82A214F1-B8B3-4828-BABB-8F4350462D31}&lt;Citation&gt;&lt;Group&gt;&lt;References&gt;&lt;Item&gt;&lt;ID&gt;1259&lt;/ID&gt;&lt;UID&gt;{4413A8C3-DE75-4B2E-B951-41B6F3401DC2}&lt;/UID&gt;&lt;Title&gt;中国2050年低碳发展之路——能源需求暨碳排放情景分析&lt;/Title&gt;&lt;Template&gt;Book&lt;/Template&gt;&lt;Star&gt;0&lt;/Star&gt;&lt;Tag&gt;0&lt;/Tag&gt;&lt;Author&gt;国家发展和改革委员会能源研究所课题组&lt;/Author&gt;&lt;Year&gt;2009&lt;/Year&gt;&lt;Details&gt;&lt;_accessed&gt;59082763&lt;/_accessed&gt;&lt;_created&gt;59082763&lt;/_created&gt;&lt;_language&gt;Chinese&lt;/_language&gt;&lt;_modified&gt;59082763&lt;/_modified&gt;&lt;_place_published&gt;北京&lt;/_place_published&gt;&lt;_publisher&gt;科学出版社&lt;/_publisher&gt;&lt;/Details&gt;&lt;Extra&gt;&lt;DBUID&gt;{502CA3C0-22CA-4511-973C-E02D6A2BD88D}&lt;/DBUID&gt;&lt;/Extra&gt;&lt;/Item&gt;&lt;/References&gt;&lt;/Group&gt;&lt;/Citation&gt;_x000a_"/>
    <w:docVar w:name="NE.Ref{83538F72-D133-41B0-BC5A-F9A979D05500}" w:val=" ADDIN NE.Ref.{83538F72-D133-41B0-BC5A-F9A979D05500}&lt;Citation SecTmpl=&quot;1&quot;&gt;&lt;Group&gt;&lt;References&gt;&lt;Item&gt;&lt;ID&gt;1150&lt;/ID&gt;&lt;UID&gt;{AFB203CF-60D3-4FE9-8F4C-87587850ED57}&lt;/UID&gt;&lt;Title&gt;应用修正的IPCC2006方法对中国农田N2O排放量重新估算&lt;/Title&gt;&lt;Template&gt;Journal Article&lt;/Template&gt;&lt;Star&gt;0&lt;/Star&gt;&lt;Tag&gt;0&lt;/Tag&gt;&lt;Author&gt;张强; 巨晓棠; 张福锁&lt;/Author&gt;&lt;Year&gt;2010&lt;/Year&gt;&lt;Details&gt;&lt;_accessed&gt;58869504&lt;/_accessed&gt;&lt;_author_adr&gt;中国农业大学资源与环境学院农业部植物营养学重点实验室;&lt;/_author_adr&gt;&lt;_created&gt;58020037&lt;/_created&gt;&lt;_db_provider&gt;CNKI Journal&lt;/_db_provider&gt;&lt;_db_updated&gt;CNKI Journal - (Page)&lt;/_db_updated&gt;&lt;_doi&gt;CNKI:SUN:ZGTN.0.2010-01-003&lt;/_doi&gt;&lt;_issue&gt;1&lt;/_issue&gt;&lt;_journal&gt;中国生态农业学报&lt;/_journal&gt;&lt;_keywords&gt;农田土壤;氧化亚氮;排放因子;IPCC2006计算方法;N2O排放分布格局;&lt;/_keywords&gt;&lt;_marked_fields&gt;title;SUB|22|1 _x000d__x000a__abstract;SUB|7|1 _x000d__x000a_&lt;/_marked_fields&gt;&lt;_modified&gt;58441837&lt;/_modified&gt;&lt;_pages&gt;7-13&lt;/_pages&gt;&lt;_translated_author&gt;Qiang, ZHANG; Xiao-Tang, J U; Nutrition, ZHANG Fu-Suo Key Laboratory; Agriculture, Ministry Of; Sciences, College Of Resources And; University, China Agricultural; Beijing; China&lt;/_translated_author&gt;&lt;_url&gt;http://epub.cnki.net/grid2008/detail.aspx?filename=ZGTN201001003&amp;amp;dbname=CJFD0911&lt;/_url&gt;&lt;_volume&gt;18&lt;/_volume&gt;&lt;/Details&gt;&lt;Extra&gt;&lt;DBUID&gt;{502CA3C0-22CA-4511-973C-E02D6A2BD88D}&lt;/DBUID&gt;&lt;/Extra&gt;&lt;/Item&gt;&lt;/References&gt;&lt;/Group&gt;&lt;/Citation&gt;_x000a_"/>
    <w:docVar w:name="NE.Ref{84589E13-52B9-4EAA-8208-9D146C2EA300}" w:val=" ADDIN NE.Ref.{84589E13-52B9-4EAA-8208-9D146C2EA300}&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publisher&gt;中国统计出版社&lt;/_publisher&gt;&lt;_place_published&gt;北京&lt;/_place_published&gt;&lt;_language&gt;Chinese&lt;/_language&gt;&lt;_modified&gt;59082747&lt;/_modified&gt;&lt;_created&gt;59082747&lt;/_created&gt;&lt;_accessed&gt;59082747&lt;/_accessed&gt;&lt;/Details&gt;&lt;Extra&gt;&lt;DBUID&gt;{502CA3C0-22CA-4511-973C-E02D6A2BD88D}&lt;/DBUID&gt;&lt;/Extra&gt;&lt;/Item&gt;&lt;/References&gt;&lt;/Group&gt;&lt;/Citation&gt;_x000a_"/>
    <w:docVar w:name="NE.Ref{8571A90D-04F1-4F3C-9672-8BB8C5F83EC6}" w:val=" ADDIN NE.Ref.{8571A90D-04F1-4F3C-9672-8BB8C5F83EC6}&lt;Citation SecTmpl=&quot;1&quot;&gt;&lt;Group&gt;&lt;References&gt;&lt;Item&gt;&lt;ID&gt;1231&lt;/ID&gt;&lt;UID&gt;{A0AA18C2-53AB-4412-9FE3-54F819A8F59E}&lt;/UID&gt;&lt;Title&gt;Shifting Trade Patterns as a Means of Reducing Global Carbon Dioxide Emissions&lt;/Title&gt;&lt;Template&gt;Journal Article&lt;/Template&gt;&lt;Star&gt;0&lt;/Star&gt;&lt;Tag&gt;0&lt;/Tag&gt;&lt;Author&gt;Strømman, Anders Hammer; Hertwich, Edgar G; Duchin, Faye&lt;/Author&gt;&lt;Year&gt;2009&lt;/Year&gt;&lt;Details&gt;&lt;_accessed&gt;58751776&lt;/_accessed&gt;&lt;_created&gt;58751776&lt;/_created&gt;&lt;_issue&gt;1&lt;/_issue&gt;&lt;_modified&gt;58751776&lt;/_modified&gt;&lt;_pages&gt;38-57&lt;/_pages&gt;&lt;_volume&gt;13&lt;/_volume&gt;&lt;/Details&gt;&lt;Extra&gt;&lt;DBUID&gt;{502CA3C0-22CA-4511-973C-E02D6A2BD88D}&lt;/DBUID&gt;&lt;/Extra&gt;&lt;/Item&gt;&lt;/References&gt;&lt;/Group&gt;&lt;/Citation&gt;_x000a_"/>
    <w:docVar w:name="NE.Ref{85D25EED-9467-4E60-AF93-D4B250B44866}" w:val=" ADDIN NE.Ref.{85D25EED-9467-4E60-AF93-D4B250B44866}&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8911203&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8896CE5A-D380-40E1-9295-4FB67E05263C}" w:val=" ADDIN NE.Ref.{8896CE5A-D380-40E1-9295-4FB67E05263C}&lt;Citation SecTmpl=&quot;1&quot;&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88296&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arked_fields&gt;title;SUB|48|1 _x000d__x000a_&lt;/_marked_fields&gt;&lt;_modified&gt;59366970&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Citation&gt;_x000a_"/>
    <w:docVar w:name="NE.Ref{88B00F15-F720-4975-853C-6663AA360AA3}" w:val=" ADDIN NE.Ref.{88B00F15-F720-4975-853C-6663AA360AA3}&lt;Citation SecTmpl=&quot;1&quot;&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9366978&lt;/_accessed&gt;&lt;_created&gt;58034324&lt;/_created&gt;&lt;_issue&gt;7&lt;/_issue&gt;&lt;_journal&gt;Environmental Science &amp;amp; Technology &lt;/_journal&gt;&lt;_language&gt;English&lt;/_language&gt;&lt;_modified&gt;59366978&lt;/_modified&gt;&lt;_pages&gt;184A-191A&lt;/_pages&gt;&lt;_volume&gt;32&lt;/_volume&gt;&lt;/Details&gt;&lt;Extra&gt;&lt;DBUID&gt;{502CA3C0-22CA-4511-973C-E02D6A2BD88D}&lt;/DBUID&gt;&lt;/Extra&gt;&lt;/Item&gt;&lt;/References&gt;&lt;/Group&gt;&lt;/Citation&gt;_x000a_"/>
    <w:docVar w:name="NE.Ref{890CCC4C-7499-4E86-9165-9F000ED65221}" w:val=" ADDIN NE.Ref.{890CCC4C-7499-4E86-9165-9F000ED65221}&lt;Citation SecTmpl=&quot;1&quot;&gt;&lt;Group&gt;&lt;References&gt;&lt;Item&gt;&lt;ID&gt;1137&lt;/ID&gt;&lt;UID&gt;{5812F07A-DDDC-44C6-B6F0-6720E1403483}&lt;/UID&gt;&lt;Title&gt;The contribution of Chinese exports to climate change&lt;/Title&gt;&lt;Template&gt;Journal Article&lt;/Template&gt;&lt;Star&gt;0&lt;/Star&gt;&lt;Tag&gt;0&lt;/Tag&gt;&lt;Author&gt;Weber, Christopher L; Peters, Glen P; Guan, Dabo; Hubacek, Klaus&lt;/Author&gt;&lt;Year&gt;2008&lt;/Year&gt;&lt;Details&gt;&lt;_accessed&gt;58591248&lt;/_accessed&gt;&lt;_alternate_title&gt;Energy Policy&lt;/_alternate_title&gt;&lt;_created&gt;58210077&lt;/_created&gt;&lt;_date_display&gt;2008/9//&lt;/_date_display&gt;&lt;_isbn&gt;0301-4215&lt;/_isbn&gt;&lt;_issue&gt;9&lt;/_issue&gt;&lt;_journal&gt;Energy Policy&lt;/_journal&gt;&lt;_keywords&gt;China; Exports; Climate change&lt;/_keywords&gt;&lt;_modified&gt;58210077&lt;/_modified&gt;&lt;_pages&gt;3572-3577&lt;/_pages&gt;&lt;_url&gt;http://www.sciencedirect.com/science/article/B6V2W-4T1SFRC-1/2/cf8906ef3be99e992f09a8ef53adb59c&lt;/_url&gt;&lt;_volume&gt;36&lt;/_volume&gt;&lt;/Details&gt;&lt;Extra&gt;&lt;DBUID&gt;{502CA3C0-22CA-4511-973C-E02D6A2BD88D}&lt;/DBUID&gt;&lt;/Extra&gt;&lt;/Item&gt;&lt;/References&gt;&lt;/Group&gt;&lt;/Citation&gt;_x000a_"/>
    <w:docVar w:name="NE.Ref{89BA3B1A-F636-4201-B5FD-C8A5C6E433B5}" w:val=" ADDIN NE.Ref.{89BA3B1A-F636-4201-B5FD-C8A5C6E433B5}&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8A5E8522-295C-4F19-8E85-F80CBB802428}" w:val=" ADDIN NE.Ref.{8A5E8522-295C-4F19-8E85-F80CBB802428}&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8ACD5A74-DDDB-498E-B65E-EBE076132DD5}" w:val=" ADDIN NE.Ref.{8ACD5A74-DDDB-498E-B65E-EBE076132DD5}&lt;Citation&gt;&lt;Group&gt;&lt;References&gt;&lt;Item&gt;&lt;ID&gt;1277&lt;/ID&gt;&lt;UID&gt;{985DB0E0-D77F-4804-81F3-529FF9138CEB}&lt;/UID&gt;&lt;Title&gt;Comparing structural decomposition analysis and index&lt;/Title&gt;&lt;Template&gt;Journal Article&lt;/Template&gt;&lt;Star&gt;0&lt;/Star&gt;&lt;Tag&gt;0&lt;/Tag&gt;&lt;Author&gt;Hoekstra, Rutger; van den Bergh, Jeroen C J M&lt;/Author&gt;&lt;Year&gt;2003&lt;/Year&gt;&lt;Details&gt;&lt;_accessed&gt;59328680&lt;/_accessed&gt;&lt;/Details&gt;&lt;Extra&gt;&lt;DBUID&gt;{502CA3C0-22CA-4511-973C-E02D6A2BD88D}&lt;/DBUID&gt;&lt;/Extra&gt;&lt;/Item&gt;&lt;/References&gt;&lt;/Group&gt;&lt;/Citation&gt;_x000a_"/>
    <w:docVar w:name="NE.Ref{8AE75247-882F-4645-8806-D33E6F5F26A5}" w:val=" ADDIN NE.Ref.{8AE75247-882F-4645-8806-D33E6F5F26A5}&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8B753B1A-7B69-4489-86C0-E9D4F5F360C1}" w:val=" ADDIN NE.Ref.{8B753B1A-7B69-4489-86C0-E9D4F5F360C1}&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8B8A0B45-41AD-4313-BE37-B27C6C2D5C06}" w:val=" ADDIN NE.Ref.{8B8A0B45-41AD-4313-BE37-B27C6C2D5C06}&lt;Citation&gt;&lt;Group&gt;&lt;References&gt;&lt;Item&gt;&lt;ID&gt;1358&lt;/ID&gt;&lt;UID&gt;{CBCEB6AB-D3E0-4713-8F68-A2F405A44CDC}&lt;/UID&gt;&lt;Title&gt;Verification of energy consumption in China during 1996–2003 by using satellite observational data&lt;/Title&gt;&lt;Template&gt;Journal Article&lt;/Template&gt;&lt;Star&gt;0&lt;/Star&gt;&lt;Tag&gt;0&lt;/Tag&gt;&lt;Author&gt;Akimoto, Hajime; Ohara, Toshimasa; Kurokawa, Jun-ichi; Horii, Nobuhiro&lt;/Author&gt;&lt;Year&gt;2006&lt;/Year&gt;&lt;Details&gt;&lt;_alternate_title&gt;Atmospheric Environment&lt;/_alternate_title&gt;&lt;_created&gt;59366785&lt;/_created&gt;&lt;_date_display&gt;2006/12//&lt;/_date_display&gt;&lt;_db_updated&gt;ScienceDirect&lt;/_db_updated&gt;&lt;_isbn&gt;1352-2310&lt;/_isbn&gt;&lt;_issue&gt;40&lt;/_issue&gt;&lt;_journal&gt;Atmospheric Environment&lt;/_journal&gt;&lt;_keywords&gt;Emission inventory; NO; Tropospheric NO2; Greenhouse gas; Air pollutant; China&lt;/_keywords&gt;&lt;_modified&gt;59366785&lt;/_modified&gt;&lt;_pages&gt;7663-7667&lt;/_pages&gt;&lt;_url&gt;http://www.sciencedirect.com/science/article/pii/S135223100600906X&lt;/_url&gt;&lt;_volume&gt;40&lt;/_volume&gt;&lt;/Details&gt;&lt;Extra&gt;&lt;DBUID&gt;{502CA3C0-22CA-4511-973C-E02D6A2BD88D}&lt;/DBUID&gt;&lt;/Extra&gt;&lt;/Item&gt;&lt;/References&gt;&lt;/Group&gt;&lt;/Citation&gt;_x000a_"/>
    <w:docVar w:name="NE.Ref{8BDCE008-A2AD-4DC6-96BF-8F80A0B65EC4}" w:val=" ADDIN NE.Ref.{8BDCE008-A2AD-4DC6-96BF-8F80A0B65EC4}&lt;Citation&gt;&lt;Group&gt;&lt;References&gt;&lt;Item&gt;&lt;ID&gt;1178&lt;/ID&gt;&lt;UID&gt;{A6E1ADF4-6637-40F9-B391-453109AA2ABE}&lt;/UID&gt;&lt;Title&gt;Changes in Atmospheric Constituents and in Radiative Forcing&lt;/Title&gt;&lt;Template&gt;Book Section&lt;/Template&gt;&lt;Star&gt;0&lt;/Star&gt;&lt;Tag&gt;0&lt;/Tag&gt;&lt;Author&gt;Forster, P; Ramaswamy, V; Artaxo, P; Berntsen, T; Betts, R; Fahey, D W; Haywood, J; Lean, J; Lowe, D C; Myhre, G; Nganga, J; Prinn, R; Raga, G; Schulz, M; Van Dorland, R&lt;/Author&gt;&lt;Year&gt;2007&lt;/Year&gt;&lt;Details&gt;&lt;_accessed&gt;58034098&lt;/_accessed&gt;&lt;_created&gt;58034096&lt;/_created&gt;&lt;_language&gt;English&lt;/_language&gt;&lt;_modified&gt;58034098&lt;/_modified&gt;&lt;_place_published&gt;New York&lt;/_place_published&gt;&lt;_publisher&gt;Cambridge University Press&lt;/_publisher&gt;&lt;_secondary_author&gt;Solomon, S; Qin, D; Manning, M; Chen, Z; Marquis, M; Averyt, K B; Tignor, M; Miller, H L&lt;/_secondary_author&gt;&lt;_secondary_title&gt;Climate Change 2007: The Physical Science Basis. Contribution of Working Group I to the Fourth Assessment Report of the Intergovernmental Panel on Climate Change&lt;/_secondary_title&gt;&lt;/Details&gt;&lt;Extra&gt;&lt;DBUID&gt;{502CA3C0-22CA-4511-973C-E02D6A2BD88D}&lt;/DBUID&gt;&lt;/Extra&gt;&lt;/Item&gt;&lt;/References&gt;&lt;/Group&gt;&lt;/Citation&gt;_x000a_"/>
    <w:docVar w:name="NE.Ref{8C191E1E-FE7F-4EF0-AFD7-125097D326AF}" w:val=" ADDIN NE.Ref.{8C191E1E-FE7F-4EF0-AFD7-125097D326AF}&lt;Citation&gt;&lt;Group&gt;&lt;References&gt;&lt;Item&gt;&lt;ID&gt;1246&lt;/ID&gt;&lt;UID&gt;{C40343FB-BF28-45BA-A1A6-DB8A7580DC2C}&lt;/UID&gt;&lt;Title&gt;World Population Prospects: The 2010 Revision&lt;/Title&gt;&lt;Template&gt;Report&lt;/Template&gt;&lt;Star&gt;0&lt;/Star&gt;&lt;Tag&gt;0&lt;/Tag&gt;&lt;Author&gt;&amp;quot;UN Population Division&amp;quot;&lt;/Author&gt;&lt;Year&gt;2011&lt;/Year&gt;&lt;Details&gt;&lt;_accessed&gt;59082699&lt;/_accessed&gt;&lt;_created&gt;59082695&lt;/_created&gt;&lt;_language&gt;English&lt;/_language&gt;&lt;_modified&gt;59082699&lt;/_modified&gt;&lt;_place_published&gt;New York&lt;/_place_published&gt;&lt;_publisher&gt;Population Division, Department of Economic and Social Affairs, United Nations&lt;/_publisher&gt;&lt;_url&gt;http://esa.un.org/unpd/wpp/index.htm&lt;/_url&gt;&lt;/Details&gt;&lt;Extra&gt;&lt;DBUID&gt;{502CA3C0-22CA-4511-973C-E02D6A2BD88D}&lt;/DBUID&gt;&lt;/Extra&gt;&lt;/Item&gt;&lt;/References&gt;&lt;/Group&gt;&lt;/Citation&gt;_x000a_"/>
    <w:docVar w:name="NE.Ref{8C2C14A0-1E44-4FB4-906E-74F3CAE95371}" w:val=" ADDIN NE.Ref.{8C2C14A0-1E44-4FB4-906E-74F3CAE95371}&lt;Citation&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8CD52B51-9056-4361-96D1-0257C1043FE9}" w:val=" ADDIN NE.Ref.{8CD52B51-9056-4361-96D1-0257C1043FE9}&lt;Citation SecTmpl=&quot;1&quot;&gt;&lt;Group&gt;&lt;References&gt;&lt;Item&gt;&lt;ID&gt;945&lt;/ID&gt;&lt;UID&gt;{C53CA538-FB91-4009-BE40-399BA385F571}&lt;/UID&gt;&lt;Title&gt;China&amp;apos;s Growing CO2 Emissions: A Race between Increasing Consumption and Efficiency Gains&lt;/Title&gt;&lt;Template&gt;Journal Article&lt;/Template&gt;&lt;Star&gt;0&lt;/Star&gt;&lt;Tag&gt;0&lt;/Tag&gt;&lt;Author&gt;Peters, Glen P; Weber, Christopher L; Guan, Dabo; Hubacek, Klaus&lt;/Author&gt;&lt;Year&gt;2007&lt;/Year&gt;&lt;Details&gt;&lt;_accessed&gt;58745776&lt;/_accessed&gt;&lt;_alternate_title&gt;Environmental Science &amp;amp; Technology&lt;/_alternate_title&gt;&lt;_created&gt;57780945&lt;/_created&gt;&lt;_date&gt;2007-08-02&lt;/_date&gt;&lt;_date_display&gt;2007/09/01/_x000d__x000a_2007/08/02/&lt;/_date_display&gt;&lt;_isbn&gt;0013-936X&lt;/_isbn&gt;&lt;_issue&gt;17&lt;/_issue&gt;&lt;_journal&gt;Environmental Science &amp;amp; Technology&lt;/_journal&gt;&lt;_marked_fields&gt;title;SUB|19|1 _x000d__x000a_&lt;/_marked_fields&gt;&lt;_modified&gt;58745776&lt;/_modified&gt;&lt;_ori_publication&gt;American Chemical Society&lt;/_ori_publication&gt;&lt;_pages&gt;5939-5944&lt;/_pages&gt;&lt;_url&gt;http://dx.doi.org/10.1021/es070108f&lt;/_url&gt;&lt;_volume&gt;41&lt;/_volume&gt;&lt;/Details&gt;&lt;Extra&gt;&lt;DBUID&gt;{502CA3C0-22CA-4511-973C-E02D6A2BD88D}&lt;/DBUID&gt;&lt;/Extra&gt;&lt;/Item&gt;&lt;/References&gt;&lt;/Group&gt;&lt;Group&gt;&lt;References&gt;&lt;Item&gt;&lt;ID&gt;1186&lt;/ID&gt;&lt;UID&gt;{C23E0772-9108-47F2-BA32-EA80D1FDB174}&lt;/UID&gt;&lt;Title&gt;Economic Input-Output Models for Environmental Life-Cycle Assessment&lt;/Title&gt;&lt;Template&gt;Journal Article&lt;/Template&gt;&lt;Star&gt;0&lt;/Star&gt;&lt;Tag&gt;0&lt;/Tag&gt;&lt;Author&gt;Hendrickson, Chris; Horvath, Arpad&lt;/Author&gt;&lt;Year&gt;1998&lt;/Year&gt;&lt;Details&gt;&lt;_accessed&gt;58034324&lt;/_accessed&gt;&lt;_created&gt;58034324&lt;/_created&gt;&lt;_issue&gt;7&lt;/_issue&gt;&lt;_journal&gt;Environmental Science &amp;amp; Technology &lt;/_journal&gt;&lt;_language&gt;English&lt;/_language&gt;&lt;_modified&gt;58034324&lt;/_modified&gt;&lt;_pages&gt;184A-191A&lt;/_pages&gt;&lt;_volume&gt;32&lt;/_volume&gt;&lt;/Details&gt;&lt;Extra&gt;&lt;DBUID&gt;{502CA3C0-22CA-4511-973C-E02D6A2BD88D}&lt;/DBUID&gt;&lt;/Extra&gt;&lt;/Item&gt;&lt;/References&gt;&lt;/Group&gt;&lt;Group&gt;&lt;References&gt;&lt;Item&gt;&lt;ID&gt;886&lt;/ID&gt;&lt;UID&gt;{28BF2172-F03F-48D0-97D6-E22279443D51}&lt;/UID&gt;&lt;Title&gt;Environmental Life Cycle Assessment of Goods and Services: An Input-Output Approach&lt;/Title&gt;&lt;Template&gt;Book&lt;/Template&gt;&lt;Star&gt;0&lt;/Star&gt;&lt;Tag&gt;0&lt;/Tag&gt;&lt;Author&gt;Hendrickson, Chris T; Lave, Lester B; Matthews, H Scott&lt;/Author&gt;&lt;Year&gt;2006&lt;/Year&gt;&lt;Details&gt;&lt;_accessed&gt;57836840&lt;/_accessed&gt;&lt;_created&gt;57836840&lt;/_created&gt;&lt;_language&gt;English&lt;/_language&gt;&lt;_modified&gt;57836840&lt;/_modified&gt;&lt;_place_published&gt;Washington, D.C.&lt;/_place_published&gt;&lt;_publisher&gt;Resources For the Future &lt;/_publisher&gt;&lt;/Details&gt;&lt;Extra&gt;&lt;DBUID&gt;{502CA3C0-22CA-4511-973C-E02D6A2BD88D}&lt;/DBUID&gt;&lt;/Extra&gt;&lt;/Item&gt;&lt;/References&gt;&lt;/Group&gt;&lt;/Citation&gt;_x000a_"/>
    <w:docVar w:name="NE.Ref{8CF6F845-C586-4E26-B359-27236EB1CFDD}" w:val=" ADDIN NE.Ref.{8CF6F845-C586-4E26-B359-27236EB1CFDD}&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Citation&gt;_x000a_"/>
    <w:docVar w:name="NE.Ref{8D6C40EA-DEE1-4713-B225-22E67DB409A7}" w:val=" ADDIN NE.Ref.{8D6C40EA-DEE1-4713-B225-22E67DB409A7}&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8E0459E0-8E38-4FAD-B680-B2B53DEE6EE0}" w:val=" ADDIN NE.Ref.{8E0459E0-8E38-4FAD-B680-B2B53DEE6EE0}&lt;Citation SecTmpl=&quot;1&quot;&gt;&lt;Group&gt;&lt;References&gt;&lt;Item&gt;&lt;ID&gt;1222&lt;/ID&gt;&lt;UID&gt;{4C9B08EC-3A9C-4877-AD3F-BE19C82A8DE8}&lt;/UID&gt;&lt;Title&gt;国际贸易中的隐含碳排放核算及贸易调整后的国家温室气体排放&lt;/Title&gt;&lt;Template&gt;Journal Article&lt;/Template&gt;&lt;Star&gt;0&lt;/Star&gt;&lt;Tag&gt;0&lt;/Tag&gt;&lt;Author&gt;周新&lt;/Author&gt;&lt;Year&gt;2010&lt;/Year&gt;&lt;Details&gt;&lt;_accessed&gt;58750376&lt;/_accessed&gt;&lt;_created&gt;58750376&lt;/_created&gt;&lt;_issue&gt;6&lt;/_issue&gt;&lt;_journal&gt;管理评论&lt;/_journal&gt;&lt;_modified&gt;58750376&lt;/_modified&gt;&lt;_pages&gt;17-24&lt;/_pages&gt;&lt;_volume&gt;22&lt;/_volume&gt;&lt;/Details&gt;&lt;Extra&gt;&lt;DBUID&gt;{502CA3C0-22CA-4511-973C-E02D6A2BD88D}&lt;/DBUID&gt;&lt;/Extra&gt;&lt;/Item&gt;&lt;/References&gt;&lt;/Group&gt;&lt;/Citation&gt;_x000a_"/>
    <w:docVar w:name="NE.Ref{8E3FD5A6-8389-4041-9A23-F1F4C88489CC}" w:val=" ADDIN NE.Ref.{8E3FD5A6-8389-4041-9A23-F1F4C88489CC}&lt;Citation SecTmpl=&quot;1&quot;&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8FA73D3D-7D22-44B6-B88F-C972EC9364BF}" w:val=" ADDIN NE.Ref.{8FA73D3D-7D22-44B6-B88F-C972EC9364BF}&lt;Citation&gt;&lt;Group&gt;&lt;References&gt;&lt;Item&gt;&lt;ID&gt;1276&lt;/ID&gt;&lt;UID&gt;{35E427AB-7136-4A78-A7D7-FA21BB8BBEA1}&lt;/UID&gt;&lt;Title&gt;World Energy Outlook 2010 &lt;/Title&gt;&lt;Template&gt;Book&lt;/Template&gt;&lt;Star&gt;0&lt;/Star&gt;&lt;Tag&gt;0&lt;/Tag&gt;&lt;Author&gt;IEA&lt;/Author&gt;&lt;Year&gt;2010&lt;/Year&gt;&lt;Details&gt;&lt;_accessed&gt;59318502&lt;/_accessed&gt;&lt;_created&gt;59318502&lt;/_created&gt;&lt;_modified&gt;59318502&lt;/_modified&gt;&lt;_place_published&gt;Paris&lt;/_place_published&gt;&lt;_publisher&gt;OECD/IEA&lt;/_publisher&gt;&lt;/Details&gt;&lt;Extra&gt;&lt;DBUID&gt;{502CA3C0-22CA-4511-973C-E02D6A2BD88D}&lt;/DBUID&gt;&lt;/Extra&gt;&lt;/Item&gt;&lt;/References&gt;&lt;/Group&gt;&lt;/Citation&gt;_x000a_"/>
    <w:docVar w:name="NE.Ref{90700E75-2A69-47FF-8E88-85DC701F4E7A}" w:val=" ADDIN NE.Ref.{90700E75-2A69-47FF-8E88-85DC701F4E7A}&lt;Citation&gt;&lt;Group&gt;&lt;References&gt;&lt;Item&gt;&lt;ID&gt;1014&lt;/ID&gt;&lt;UID&gt;{C7B58D86-6EF1-43C4-8250-1BE3F1F6E11A}&lt;/UID&gt;&lt;Title&gt;Post-Kyoto greenhouse gas inventories: production versus consumption&lt;/Title&gt;&lt;Template&gt;Journal Article&lt;/Template&gt;&lt;Star&gt;0&lt;/Star&gt;&lt;Tag&gt;0&lt;/Tag&gt;&lt;Author&gt;Peters, G P; Hertwich, E G&lt;/Author&gt;&lt;Year&gt;2008&lt;/Year&gt;&lt;Details&gt;&lt;_accessed&gt;58801603&lt;/_accessed&gt;&lt;_created&gt;57975140&lt;/_created&gt;&lt;_date_display&gt;2008_x000d__x000a_JAN&lt;/_date_display&gt;&lt;_isbn&gt;0165-0009&lt;/_isbn&gt;&lt;_issue&gt;1-2&lt;/_issue&gt;&lt;_journal&gt;Climatic Change&lt;/_journal&gt;&lt;_keywords&gt;INPUT-OUTPUT APPROACH; INTERNATIONAL-TRADE; CLIMATE-CHANGE; CONSUMER RESPONSIBILITY; ENVIRONMENTAL LOAD; CO2 EMISSIONS; POLICY; ENERGY; POLLUTION; IMPORTS&lt;/_keywords&gt;&lt;_language&gt;English&lt;/_language&gt;&lt;_modified&gt;58801603&lt;/_modified&gt;&lt;_number&gt;ISI:000251821500007&lt;/_number&gt;&lt;_pages&gt;51-66&lt;/_pages&gt;&lt;_type_work&gt;Article&lt;/_type_work&gt;&lt;_volume&gt;86&lt;/_volume&gt;&lt;/Details&gt;&lt;Extra&gt;&lt;DBUID&gt;{502CA3C0-22CA-4511-973C-E02D6A2BD88D}&lt;/DBUID&gt;&lt;/Extra&gt;&lt;/Item&gt;&lt;/References&gt;&lt;/Group&gt;&lt;/Citation&gt;_x000a_"/>
    <w:docVar w:name="NE.Ref{9095EC6A-BB32-466B-B17C-B6D357150BB0}" w:val=" ADDIN NE.Ref.{9095EC6A-BB32-466B-B17C-B6D357150BB0}&lt;Citation SecTmpl=&quot;1&quot;&gt;&lt;Group&gt;&lt;References&gt;&lt;Item&gt;&lt;ID&gt;155&lt;/ID&gt;&lt;UID&gt;{4143CCE7-BEAF-4212-80DA-3BB831C80864}&lt;/UID&gt;&lt;Title&gt;International Energy Statistics - CO2 Emissions&lt;/Title&gt;&lt;Template&gt;Electronic Source&lt;/Template&gt;&lt;Star&gt;0&lt;/Star&gt;&lt;Tag&gt;0&lt;/Tag&gt;&lt;Author&gt;USEIA&lt;/Author&gt;&lt;Year&gt;2010&lt;/Year&gt;&lt;Details&gt;&lt;_accessed&gt;59082357&lt;/_accessed&gt;&lt;_created&gt;58032017&lt;/_created&gt;&lt;_date&gt;58134240&lt;/_date&gt;&lt;_marked_fields&gt;title;SUB|37|1 _x000d__x000a_&lt;/_marked_fields&gt;&lt;_modified&gt;59082357&lt;/_modified&gt;&lt;_number&gt;2011-4-10&lt;/_number&gt;&lt;_place_published&gt;Washington, DC&lt;/_place_published&gt;&lt;_publisher&gt;U.S. Energy Information Administration&lt;/_publisher&gt;&lt;_url&gt;http://tonto.eia.doe.gov/cfapps/ipdbproject/IEDIndex3.cfm?tid=90&amp;amp;pid=44&amp;amp;aid=8&lt;/_url&gt;&lt;/Details&gt;&lt;Extra&gt;&lt;DBUID&gt;{502CA3C0-22CA-4511-973C-E02D6A2BD88D}&lt;/DBUID&gt;&lt;/Extra&gt;&lt;/Item&gt;&lt;/References&gt;&lt;/Group&gt;&lt;/Citation&gt;_x000a_"/>
    <w:docVar w:name="NE.Ref{90EB39D0-C476-4E92-B2A0-3B4F28B69667}" w:val=" ADDIN NE.Ref.{90EB39D0-C476-4E92-B2A0-3B4F28B69667}&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922DECDC-F448-4FAA-8D64-EAA0EAFAB4C6}" w:val=" ADDIN NE.Ref.{922DECDC-F448-4FAA-8D64-EAA0EAFAB4C6}&lt;Citation&gt;&lt;Group&gt;&lt;References&gt;&lt;Item&gt;&lt;ID&gt;39&lt;/ID&gt;&lt;UID&gt;{E677B4D5-893E-4C85-B2EE-29A27E573D99}&lt;/UID&gt;&lt;Title&gt;Decomposition analysis for policymaking in energy: which is the preferred method?&lt;/Title&gt;&lt;Template&gt;Journal Article&lt;/Template&gt;&lt;Star&gt;0&lt;/Star&gt;&lt;Tag&gt;0&lt;/Tag&gt;&lt;Author&gt;Ang, B W&lt;/Author&gt;&lt;Year&gt;2004&lt;/Year&gt;&lt;Details&gt;&lt;_accessed&gt;58448833&lt;/_accessed&gt;&lt;_alternate_title&gt;Energy Policy&lt;/_alternate_title&gt;&lt;_bibtex_key&gt;Ang-39&lt;/_bibtex_key&gt;&lt;_created&gt;58448831&lt;/_created&gt;&lt;_date_display&gt;2004/6//&lt;/_date_display&gt;&lt;_db_updated&gt;ScienceDirectIP&lt;/_db_updated&gt;&lt;_isbn&gt;0301-4215&lt;/_isbn&gt;&lt;_issue&gt;9&lt;/_issue&gt;&lt;_journal&gt;Energy Policy&lt;/_journal&gt;&lt;_keywords&gt;Decomposition analysis; Decomposition techniques; Divisia index; Laspeyres index&lt;/_keywords&gt;&lt;_modified&gt;58448833&lt;/_modified&gt;&lt;_pages&gt;1131-1139&lt;/_pages&gt;&lt;_url&gt;http://www.sciencedirect.com/science/article/B6V2W-48CX105-4/2/8b885c8c47bc57752ede6edbb549863a&lt;/_url&gt;&lt;_volume&gt;32&lt;/_volume&gt;&lt;/Details&gt;&lt;Extra&gt;&lt;DBUID&gt;{502CA3C0-22CA-4511-973C-E02D6A2BD88D}&lt;/DBUID&gt;&lt;/Extra&gt;&lt;/Item&gt;&lt;/References&gt;&lt;/Group&gt;&lt;Group&gt;&lt;References&gt;&lt;Item&gt;&lt;ID&gt;1200&lt;/ID&gt;&lt;UID&gt;{83090FB4-7FB9-4447-A8F6-8CD1DAE5AB08}&lt;/UID&gt;&lt;Title&gt;Properties and linkages of some index decomposition analysis methods&lt;/Title&gt;&lt;Template&gt;Journal Article&lt;/Template&gt;&lt;Star&gt;0&lt;/Star&gt;&lt;Tag&gt;0&lt;/Tag&gt;&lt;Author&gt;Ang, B W; Huang, H C; Mu, A R&lt;/Author&gt;&lt;Year&gt;2009&lt;/Year&gt;&lt;Details&gt;&lt;_accessed&gt;58745752&lt;/_accessed&gt;&lt;_created&gt;58745750&lt;/_created&gt;&lt;_db_provider&gt;Elesvier&lt;/_db_provider&gt;&lt;_doi&gt;10.1016/j.enpol.2009.06.017&lt;/_doi&gt;&lt;_issue&gt;11&lt;/_issue&gt;&lt;_journal&gt;Energy Policy&lt;/_journal&gt;&lt;_keywords&gt;Index decomposition analysis; LMDI; Shapley value&lt;/_keywords&gt;&lt;_language&gt;english&lt;/_language&gt;&lt;_modified&gt;58745753&lt;/_modified&gt;&lt;_pages&gt;4624-4632&lt;/_pages&gt;&lt;_url&gt;http://www.sciencedirect.com/science/article/pii/S0301421509004327&lt;/_url&gt;&lt;_volume&gt;37&lt;/_volume&gt;&lt;/Details&gt;&lt;Extra&gt;&lt;DBUID&gt;{502CA3C0-22CA-4511-973C-E02D6A2BD88D}&lt;/DBUID&gt;&lt;/Extra&gt;&lt;/Item&gt;&lt;/References&gt;&lt;/Group&gt;&lt;Group&gt;&lt;References&gt;&lt;Item&gt;&lt;ID&gt;1283&lt;/ID&gt;&lt;UID&gt;{0070215F-677C-4A42-B6A6-596B91599EA1}&lt;/UID&gt;&lt;Title&gt;Accounting frameworks for tracking energy efficiency trends&lt;/Title&gt;&lt;Template&gt;Journal Article&lt;/Template&gt;&lt;Star&gt;0&lt;/Star&gt;&lt;Tag&gt;0&lt;/Tag&gt;&lt;Author&gt;Ang, B W; Mu, A R; Zhou, P&lt;/Author&gt;&lt;Year&gt;2010&lt;/Year&gt;&lt;Details&gt;&lt;_alternate_title&gt;Energy Economics&lt;/_alternate_title&gt;&lt;_created&gt;59328949&lt;/_created&gt;&lt;_date_display&gt;2010/9//&lt;/_date_display&gt;&lt;_db_updated&gt;ScienceDirect&lt;/_db_updated&gt;&lt;_isbn&gt;0140-9883&lt;/_isbn&gt;&lt;_issue&gt;5&lt;/_issue&gt;&lt;_journal&gt;Energy Economics&lt;/_journal&gt;&lt;_keywords&gt;Energy performance index; Energy efficiency; Energy intensity; Index decomposition analysis; LMDI&lt;/_keywords&gt;&lt;_modified&gt;59328949&lt;/_modified&gt;&lt;_pages&gt;1209-1219&lt;/_pages&gt;&lt;_url&gt;http://www.sciencedirect.com/science/article/pii/S0140988310000563&lt;/_url&gt;&lt;_volume&gt;32&lt;/_volume&gt;&lt;/Details&gt;&lt;Extra&gt;&lt;DBUID&gt;{502CA3C0-22CA-4511-973C-E02D6A2BD88D}&lt;/DBUID&gt;&lt;/Extra&gt;&lt;/Item&gt;&lt;/References&gt;&lt;/Group&gt;&lt;/Citation&gt;_x000a_"/>
    <w:docVar w:name="NE.Ref{92A88B3C-E257-44C6-9492-CEB4FA911501}" w:val=" ADDIN NE.Ref.{92A88B3C-E257-44C6-9492-CEB4FA911501}&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9321CCAA-5F37-41E5-98BA-36642867263F}" w:val=" ADDIN NE.Ref.{9321CCAA-5F37-41E5-98BA-36642867263F}&lt;Citation SecTmpl=&quot;1&quot;&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935D3EC2-DB17-47ED-A722-25C601A7C1F3}" w:val=" ADDIN NE.Ref.{935D3EC2-DB17-47ED-A722-25C601A7C1F3}&lt;Citation SecTmpl=&quot;1&quot;&gt;&lt;Group&gt;&lt;References&gt;&lt;Item&gt;&lt;ID&gt;1192&lt;/ID&gt;&lt;UID&gt;{C90D4B54-3DAD-43B5-B6A8-EDA135850285}&lt;/UID&gt;&lt;Title&gt;Environmental Repercussions and the Economic Structure: An Input-Output Approach&lt;/Title&gt;&lt;Template&gt;Journal Article&lt;/Template&gt;&lt;Star&gt;0&lt;/Star&gt;&lt;Tag&gt;0&lt;/Tag&gt;&lt;Author&gt;Leontief, Wassily&lt;/Author&gt;&lt;Year&gt;1970&lt;/Year&gt;&lt;Details&gt;&lt;_accessed&gt;58239954&lt;/_accessed&gt;&lt;_created&gt;58031498&lt;/_created&gt;&lt;_issue&gt;3&lt;/_issue&gt;&lt;_journal&gt;The Review of Economics and Statistics&lt;/_journal&gt;&lt;_language&gt;English&lt;/_language&gt;&lt;_modified&gt;58239954&lt;/_modified&gt;&lt;_pages&gt;262-271&lt;/_pages&gt;&lt;_volume&gt;52&lt;/_volume&gt;&lt;/Details&gt;&lt;Extra&gt;&lt;DBUID&gt;{502CA3C0-22CA-4511-973C-E02D6A2BD88D}&lt;/DBUID&gt;&lt;/Extra&gt;&lt;/Item&gt;&lt;/References&gt;&lt;/Group&gt;&lt;/Citation&gt;_x000a_"/>
    <w:docVar w:name="NE.Ref{93AA0F40-80F0-427D-A2D9-65064D03E03B}" w:val=" ADDIN NE.Ref.{93AA0F40-80F0-427D-A2D9-65064D03E03B}&lt;Citation&gt;&lt;Group&gt;&lt;References&gt;&lt;Item&gt;&lt;ID&gt;1245&lt;/ID&gt;&lt;UID&gt;{E2B9CF0A-47BC-436E-AA3B-4D6DD2BA8C1A}&lt;/UID&gt;&lt;Title&gt;中国统计年鉴2011&lt;/Title&gt;&lt;Template&gt;Book&lt;/Template&gt;&lt;Star&gt;0&lt;/Star&gt;&lt;Tag&gt;0&lt;/Tag&gt;&lt;Author&gt;国家统计局&lt;/Author&gt;&lt;Year&gt;2011&lt;/Year&gt;&lt;Details&gt;&lt;_accessed&gt;59082688&lt;/_accessed&gt;&lt;_created&gt;59082688&lt;/_created&gt;&lt;_language&gt;chinese&lt;/_language&gt;&lt;_modified&gt;59082688&lt;/_modified&gt;&lt;_place_published&gt;北京&lt;/_place_published&gt;&lt;_publisher&gt;中国统计出版社&lt;/_publisher&gt;&lt;/Details&gt;&lt;Extra&gt;&lt;DBUID&gt;{502CA3C0-22CA-4511-973C-E02D6A2BD88D}&lt;/DBUID&gt;&lt;/Extra&gt;&lt;/Item&gt;&lt;/References&gt;&lt;/Group&gt;&lt;/Citation&gt;_x000a_"/>
    <w:docVar w:name="NE.Ref{970829B6-3B06-4E56-BABC-EB0CC70EBABE}" w:val=" ADDIN NE.Ref.{970829B6-3B06-4E56-BABC-EB0CC70EBABE}&lt;Citation&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9716FCB6-0935-4D95-BD3C-524B2CFB9B29}" w:val=" ADDIN NE.Ref.{9716FCB6-0935-4D95-BD3C-524B2CFB9B29}&lt;Citation&gt;&lt;Group&gt;&lt;References&gt;&lt;Item&gt;&lt;ID&gt;1178&lt;/ID&gt;&lt;UID&gt;{A6E1ADF4-6637-40F9-B391-453109AA2ABE}&lt;/UID&gt;&lt;Title&gt;Changes in Atmospheric Constituents and in Radiative Forcing&lt;/Title&gt;&lt;Template&gt;Book Section&lt;/Template&gt;&lt;Star&gt;0&lt;/Star&gt;&lt;Tag&gt;0&lt;/Tag&gt;&lt;Author&gt;Forster, P; Ramaswamy, V; Artaxo, P; Berntsen, T; Betts, R; Fahey, D W; Haywood, J; Lean, J; Lowe, D C; Myhre, G; Nganga, J; Prinn, R; Raga, G; Schulz, M; Van Dorland, R&lt;/Author&gt;&lt;Year&gt;2007&lt;/Year&gt;&lt;Details&gt;&lt;_accessed&gt;58034098&lt;/_accessed&gt;&lt;_created&gt;58034096&lt;/_created&gt;&lt;_language&gt;English&lt;/_language&gt;&lt;_modified&gt;58034098&lt;/_modified&gt;&lt;_place_published&gt;New York&lt;/_place_published&gt;&lt;_publisher&gt;Cambridge University Press&lt;/_publisher&gt;&lt;_secondary_author&gt;Solomon, S; Qin, D; Manning, M; Chen, Z; Marquis, M; Averyt, K B; Tignor, M; Miller, H L&lt;/_secondary_author&gt;&lt;_secondary_title&gt;Climate Change 2007: The Physical Science Basis. Contribution of Working Group I to the Fourth Assessment Report of the Intergovernmental Panel on Climate Change&lt;/_secondary_title&gt;&lt;/Details&gt;&lt;Extra&gt;&lt;DBUID&gt;{502CA3C0-22CA-4511-973C-E02D6A2BD88D}&lt;/DBUID&gt;&lt;/Extra&gt;&lt;/Item&gt;&lt;/References&gt;&lt;/Group&gt;&lt;/Citation&gt;_x000a_"/>
    <w:docVar w:name="NE.Ref{99AC2DD5-A3DE-4720-A4E3-B9A83A135736}" w:val=" ADDIN NE.Ref.{99AC2DD5-A3DE-4720-A4E3-B9A83A135736}&lt;Citation&gt;&lt;Group&gt;&lt;References&gt;&lt;Item&gt;&lt;ID&gt;39&lt;/ID&gt;&lt;UID&gt;{3A6A3BB4-5719-4999-97CC-9B976C143447}&lt;/UID&gt;&lt;Title&gt;Embodied energy analysis and EMERGY analysis: a comparative view&lt;/Title&gt;&lt;Template&gt;Journal Article&lt;/Template&gt;&lt;Star&gt;0&lt;/Star&gt;&lt;Tag&gt;0&lt;/Tag&gt;&lt;Author&gt;Brown, M T; Herendeen, R A&lt;/Author&gt;&lt;Year&gt;1996&lt;/Year&gt;&lt;Details&gt;&lt;_alternate_title&gt;Ecological Economics&lt;/_alternate_title&gt;&lt;_created&gt;58054884&lt;/_created&gt;&lt;_date_display&gt;1996/12//&lt;/_date_display&gt;&lt;_isbn&gt;0921-8009&lt;/_isbn&gt;&lt;_issue&gt;3&lt;/_issue&gt;&lt;_journal&gt;Ecological Economics&lt;/_journal&gt;&lt;_modified&gt;58054884&lt;/_modified&gt;&lt;_pages&gt;219-235&lt;/_pages&gt;&lt;_url&gt;http://www.sciencedirect.com/science/article/B6VDY-3VVT40M-M/2/0024a4e3499ffa472a88cd990bfc0af1&lt;/_url&gt;&lt;_volume&gt;19&lt;/_volume&gt;&lt;/Details&gt;&lt;Extra&gt;&lt;DBUID&gt;{B1C6C6ED-A304-4C0D-9312-ADA72474D14E}&lt;/DBUID&gt;&lt;/Extra&gt;&lt;/Item&gt;&lt;/References&gt;&lt;/Group&gt;&lt;Group&gt;&lt;References&gt;&lt;Item&gt;&lt;ID&gt;11&lt;/ID&gt;&lt;UID&gt;{E74BF257-2600-457E-91E2-90992DA6B2CB}&lt;/UID&gt;&lt;Title&gt;中国进出口贸易中的隐含碳估算&lt;/Title&gt;&lt;Template&gt;Journal Article&lt;/Template&gt;&lt;Star&gt;0&lt;/Star&gt;&lt;Tag&gt;0&lt;/Tag&gt;&lt;Author&gt;齐晔; 李惠民; 徐明&lt;/Author&gt;&lt;Year&gt;2008&lt;/Year&gt;&lt;Details&gt;&lt;_accessed&gt;58061328&lt;/_accessed&gt;&lt;_author_adr&gt;清华大学公共管理学院,北京师范大学环境学院,中国科学院地理科学与资源研究所 北京100084,北京100875,北京100101&lt;/_author_adr&gt;&lt;_created&gt;57974405&lt;/_created&gt;&lt;_db_provider&gt;CNKI&lt;/_db_provider&gt;&lt;_isbn&gt;1002-2104&lt;/_isbn&gt;&lt;_issue&gt;03&lt;/_issue&gt;&lt;_journal&gt;中国人口.资源与环境&lt;/_journal&gt;&lt;_keywords&gt;进出口贸易;;隐含碳;;投入产出法&lt;/_keywords&gt;&lt;_modified&gt;57974405&lt;/_modified&gt;&lt;_pages&gt;8-13&lt;/_pages&gt;&lt;_url&gt;http://acad.cnki.net/KNS55/download.aspx?filename=KtUaxYEaRpkUxgXa1ETWvh1bHBVc3JzVWFTUzgFW1gHM2NVNsR0aUVnYywGRPNUVzMDR10Eeh9kRC1WQqhDUpNDdalzYSpEMQRGVRVEbD9WY0MGWvdnVrwUS4BDOLNkS0w0UEhEW0oEShhmb0cFMQh2ZUNDdGd2a&amp;amp;tablename=CJFD0608&amp;amp;dflag=pdfdown 全文链接_x000d__x000a_&lt;/_url&gt;&lt;/Details&gt;&lt;Extra&gt;&lt;DBUID&gt;{827AE734-59C4-4274-904F-D0E3C8ED2028}&lt;/DBUID&gt;&lt;/Extra&gt;&lt;/Item&gt;&lt;/References&gt;&lt;/Group&gt;&lt;/Citation&gt;_x000a_"/>
    <w:docVar w:name="NE.Ref{9B698F65-5873-4424-B112-8838CDE11633}" w:val=" ADDIN NE.Ref.{9B698F65-5873-4424-B112-8838CDE11633}&lt;Citation&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9C617830-EF27-4EC4-B548-80546FAF75A2}" w:val=" ADDIN NE.Ref.{9C617830-EF27-4EC4-B548-80546FAF75A2}&lt;Citation&gt;&lt;Group&gt;&lt;References&gt;&lt;Item&gt;&lt;ID&gt;1286&lt;/ID&gt;&lt;UID&gt;{EA783B31-4D90-4F63-BE80-460FAA191DDB}&lt;/UID&gt;&lt;Title&gt;Sources of change in energy use in the U.S. economy, 1972–1982: A structural decomposition analysis&lt;/Title&gt;&lt;Template&gt;Journal Article&lt;/Template&gt;&lt;Star&gt;0&lt;/Star&gt;&lt;Tag&gt;0&lt;/Tag&gt;&lt;Author&gt;Rose, A; Chen, C Y&lt;/Author&gt;&lt;Year&gt;1991&lt;/Year&gt;&lt;Details&gt;&lt;_accessed&gt;59331499&lt;/_accessed&gt;&lt;_alternate_title&gt;Resources and Energy&lt;/_alternate_title&gt;&lt;_created&gt;59330460&lt;/_created&gt;&lt;_date_display&gt;1991/4//&lt;/_date_display&gt;&lt;_db_updated&gt;ScienceDirect&lt;/_db_updated&gt;&lt;_isbn&gt;0165-0572&lt;/_isbn&gt;&lt;_issue&gt;1&lt;/_issue&gt;&lt;_journal&gt;Resources and Energy&lt;/_journal&gt;&lt;_modified&gt;59330460&lt;/_modified&gt;&lt;_pages&gt;1-21&lt;/_pages&gt;&lt;_url&gt;http://www.sciencedirect.com/science/article/pii/016505729190017W&lt;/_url&gt;&lt;_volume&gt;13&lt;/_volume&gt;&lt;/Details&gt;&lt;Extra&gt;&lt;DBUID&gt;{502CA3C0-22CA-4511-973C-E02D6A2BD88D}&lt;/DBUID&gt;&lt;/Extra&gt;&lt;/Item&gt;&lt;/References&gt;&lt;/Group&gt;&lt;/Citation&gt;_x000a_"/>
    <w:docVar w:name="NE.Ref{9D1C733C-C834-4E50-A17A-734422559B1C}" w:val=" ADDIN NE.Ref.{9D1C733C-C834-4E50-A17A-734422559B1C} ADDIN NE.Ref.{9D1C733C-C834-4E50-A17A-734422559B1C}&lt;Citation&gt;&lt;Group&gt;&lt;References&gt;&lt;Item&gt;&lt;ID&gt;25&lt;/ID&gt;&lt;UID&gt;{E75C4B7E-7929-4971-872D-208BAE91156B}&lt;/UID&gt;&lt;Title&gt;中国CO2排放增长的结构分解分析&lt;/Title&gt;&lt;Template&gt;Journal Article&lt;/Template&gt;&lt;Star&gt;0&lt;/Star&gt;&lt;Tag&gt;0&lt;/Tag&gt;&lt;Author&gt;闫云凤; 杨来科; 张云; 黄敏&lt;/Author&gt;&lt;Year&gt;2010&lt;/Year&gt;&lt;Details&gt;&lt;_accessed&gt;58591293&lt;/_accessed&gt;&lt;_created&gt;58441619&lt;/_created&gt;&lt;_issue&gt;5&lt;/_issue&gt;&lt;_journal&gt;上海立信会计学院学报&lt;/_journal&gt;&lt;_label&gt;已打&lt;/_label&gt;&lt;_language&gt;chinese&lt;/_language&gt;&lt;_marked_fields&gt;title;SUB|5|1 _x000d__x000a_&lt;/_marked_fields&gt;&lt;_modified&gt;58441622&lt;/_modified&gt;&lt;_pages&gt;83-89&lt;/_pages&gt;&lt;/Details&gt;&lt;Extra&gt;&lt;DBUID&gt;{E8A25644-BD40-4F6F-AB7F-481F492E238E}&lt;/DBUID&gt;&lt;/Extra&gt;&lt;/Item&gt;&lt;/References&gt;&lt;/Group&gt;&lt;/Citation&gt;_x000a_"/>
    <w:docVar w:name="NE.Ref{9D32C1BD-FA02-414A-8DF5-8DDF6D8D4FE9}" w:val=" ADDIN NE.Ref.{BC6FAE2E-6BBC-43F0-B8E1-87C8C8CD19B0}&lt;Citation&gt;&lt;/Citation&gt;_x000a_"/>
    <w:docVar w:name="NE.Ref{9E80FFA8-6AEA-465C-9B68-4D7F12573C24}" w:val=" ADDIN NE.Ref.{9E80FFA8-6AEA-465C-9B68-4D7F12573C24}&lt;Citation&gt;&lt;Group&gt;&lt;References&gt;&lt;Item&gt;&lt;ID&gt;1256&lt;/ID&gt;&lt;UID&gt;{CA82D9B6-59F1-4BB8-B961-7DEF82CDA330}&lt;/UID&gt;&lt;Title&gt;电力行业2010年发展情况综述&lt;/Title&gt;&lt;Template&gt;Web Page&lt;/Template&gt;&lt;Star&gt;0&lt;/Star&gt;&lt;Tag&gt;0&lt;/Tag&gt;&lt;Author&gt;中电联统计信息部&lt;/Author&gt;&lt;Year&gt;2011&lt;/Year&gt;&lt;Details&gt;&lt;_accessed&gt;59393465&lt;/_accessed&gt;&lt;_created&gt;59082749&lt;/_created&gt;&lt;_date&gt;58635360&lt;/_date&gt;&lt;_issue&gt;2011-12-10&lt;/_issue&gt;&lt;_language&gt;Chinese&lt;/_language&gt;&lt;_modified&gt;59393465&lt;/_modified&gt;&lt;_place_published&gt;北京&lt;/_place_published&gt;&lt;_publisher&gt;中国电力企业联合会&lt;/_publisher&gt;&lt;_url&gt;http://tj.cec.org.cn/niandufazhanbaogao/2011-06-27/58873.html&lt;/_url&gt;&lt;_volume&gt;2011&lt;/_volume&gt;&lt;/Details&gt;&lt;Extra&gt;&lt;DBUID&gt;{502CA3C0-22CA-4511-973C-E02D6A2BD88D}&lt;/DBUID&gt;&lt;/Extra&gt;&lt;/Item&gt;&lt;/References&gt;&lt;/Group&gt;&lt;/Citation&gt;_x000a_"/>
    <w:docVar w:name="NE.Ref{9F089A3F-103F-49A5-A1E1-3F55641257F4}" w:val=" ADDIN NE.Ref.{9F089A3F-103F-49A5-A1E1-3F55641257F4}&lt;Citation SecTmpl=&quot;1&quot;&gt;&lt;Group&gt;&lt;References&gt;&lt;Item&gt;&lt;ID&gt;1248&lt;/ID&gt;&lt;UID&gt;{1138E054-3A66-43ED-B008-4178EBA64789}&lt;/UID&gt;&lt;Title&gt;国家人口发展战略研究报告&lt;/Title&gt;&lt;Template&gt;Journal Article&lt;/Template&gt;&lt;Star&gt;0&lt;/Star&gt;&lt;Tag&gt;0&lt;/Tag&gt;&lt;Author&gt;国家人口发展战略研究课题组&lt;/Author&gt;&lt;Year&gt;2007&lt;/Year&gt;&lt;Details&gt;&lt;_accessed&gt;59082702&lt;/_accessed&gt;&lt;_created&gt;59082702&lt;/_created&gt;&lt;_issue&gt;1&lt;/_issue&gt;&lt;_journal&gt;人口研究&lt;/_journal&gt;&lt;_language&gt;Chinese&lt;/_language&gt;&lt;_modified&gt;59082702&lt;/_modified&gt;&lt;_pages&gt;1-10&lt;/_pages&gt;&lt;_volume&gt;31&lt;/_volume&gt;&lt;/Details&gt;&lt;Extra&gt;&lt;DBUID&gt;{502CA3C0-22CA-4511-973C-E02D6A2BD88D}&lt;/DBUID&gt;&lt;/Extra&gt;&lt;/Item&gt;&lt;/References&gt;&lt;/Group&gt;&lt;/Citation&gt;_x000a_"/>
    <w:docVar w:name="NE.Ref{A0A1AA67-E680-482A-B01F-CCAE10FF5432}" w:val=" ADDIN NE.Ref.{A0A1AA67-E680-482A-B01F-CCAE10FF5432}&lt;Citation&gt;&lt;Group&gt;&lt;References&gt;&lt;Item&gt;&lt;ID&gt;1197&lt;/ID&gt;&lt;UID&gt;{0D10A30D-874D-4664-942C-1FDA7A615DB9}&lt;/UID&gt;&lt;Title&gt;Interregional and regional input-output analysis: A model of a space economy&lt;/Title&gt;&lt;Template&gt;Journal Article&lt;/Template&gt;&lt;Star&gt;0&lt;/Star&gt;&lt;Tag&gt;0&lt;/Tag&gt;&lt;Author&gt;Isard, W&lt;/Author&gt;&lt;Year&gt;1951&lt;/Year&gt;&lt;Details&gt;&lt;_accessed&gt;59085814&lt;/_accessed&gt;&lt;_created&gt;58745431&lt;/_created&gt;&lt;_issue&gt;4&lt;/_issue&gt;&lt;_journal&gt;Review of Economics and Statistics&lt;/_journal&gt;&lt;_language&gt;English&lt;/_language&gt;&lt;_modified&gt;59085815&lt;/_modified&gt;&lt;_pages&gt;318-328&lt;/_pages&gt;&lt;_volume&gt;33&lt;/_volume&gt;&lt;/Details&gt;&lt;Extra&gt;&lt;DBUID&gt;{502CA3C0-22CA-4511-973C-E02D6A2BD88D}&lt;/DBUID&gt;&lt;/Extra&gt;&lt;/Item&gt;&lt;/References&gt;&lt;/Group&gt;&lt;/Citation&gt;_x000a_"/>
    <w:docVar w:name="NE.Ref{A0A272F4-F1A5-4376-B753-075F40932F57}" w:val=" ADDIN NE.Ref.{A0A272F4-F1A5-4376-B753-075F40932F57}&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085812&lt;/_accessed&gt;&lt;_created&gt;58205376&lt;/_created&gt;&lt;_isbn&gt;0953-5314&lt;/_isbn&gt;&lt;_issue&gt;4&lt;/_issue&gt;&lt;_journal&gt;Economic Systems Research&lt;/_journal&gt;&lt;_modified&gt;59085813&lt;/_modified&gt;&lt;_pages&gt;307-324&lt;/_pages&gt;&lt;_url&gt;http://www.informaworld.com/10.1080/09535319800000023&lt;/_url&gt;&lt;_volume&gt;10&lt;/_volume&gt;&lt;/Details&gt;&lt;Extra&gt;&lt;DBUID&gt;{502CA3C0-22CA-4511-973C-E02D6A2BD88D}&lt;/DBUID&gt;&lt;/Extra&gt;&lt;/Item&gt;&lt;/References&gt;&lt;/Group&gt;&lt;/Citation&gt;_x000a_"/>
    <w:docVar w:name="NE.Ref{A1D36D74-87AD-401D-8000-61EB6D491FB5}" w:val=" ADDIN NE.Ref.{A1D36D74-87AD-401D-8000-61EB6D491FB5}&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Group&gt;&lt;References&gt;&lt;Item&gt;&lt;ID&gt;1269&lt;/ID&gt;&lt;UID&gt;{89BE98F1-A11F-4A1C-8BA3-3F25A60C1D64}&lt;/UID&gt;&lt;Title&gt;省级温室气体清单编制指南（试行）&lt;/Title&gt;&lt;Template&gt;Report&lt;/Template&gt;&lt;Star&gt;0&lt;/Star&gt;&lt;Tag&gt;0&lt;/Tag&gt;&lt;Author&gt;国家发改委应对气候变化司&lt;/Author&gt;&lt;Year&gt;2011&lt;/Year&gt;&lt;Details&gt;&lt;_accessed&gt;59341899&lt;/_accessed&gt;&lt;_created&gt;59112883&lt;/_created&gt;&lt;_language&gt;Chinese&lt;/_language&gt;&lt;_modified&gt;59341899&lt;/_modified&gt;&lt;_place_published&gt;北京&lt;/_place_published&gt;&lt;_publisher&gt;国家发展和改革委员会应对气候变化司&lt;/_publisher&gt;&lt;/Details&gt;&lt;Extra&gt;&lt;DBUID&gt;{502CA3C0-22CA-4511-973C-E02D6A2BD88D}&lt;/DBUID&gt;&lt;/Extra&gt;&lt;/Item&gt;&lt;/References&gt;&lt;/Group&gt;&lt;/Citation&gt;_x000a_"/>
    <w:docVar w:name="NE.Ref{A2012077-A1AD-4A8B-A8B1-0D63E855CF04}" w:val=" ADDIN NE.Ref.{A2012077-A1AD-4A8B-A8B1-0D63E855CF04}&lt;Citation SecTmpl=&quot;1&quot;&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085618&lt;/_accessed&gt;&lt;_created&gt;59085610&lt;/_created&gt;&lt;_date&gt;58871520&lt;/_date&gt;&lt;_date_display&gt;2011-12-8&lt;/_date_display&gt;&lt;_issue&gt;4-25&lt;/_issue&gt;&lt;_language&gt;English&lt;/_language&gt;&lt;_modified&gt;59085625&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A4BB84C9-96B2-4FB7-9270-79E927DA5562}" w:val=" ADDIN NE.Ref.{A4BB84C9-96B2-4FB7-9270-79E927DA5562}&lt;Citation SecTmpl=&quot;1&quot;&gt;&lt;Group&gt;&lt;References&gt;&lt;Item&gt;&lt;ID&gt;1304&lt;/ID&gt;&lt;UID&gt;{A12B8BA4-3537-4867-BB1F-8DE80149BD88}&lt;/UID&gt;&lt;Title&gt;中国出口隐含碳增长的影响因素分析&lt;/Title&gt;&lt;Template&gt;Journal Article&lt;/Template&gt;&lt;Star&gt;0&lt;/Star&gt;&lt;Tag&gt;0&lt;/Tag&gt;&lt;Author&gt;闫云凤; 杨来科&lt;/Author&gt;&lt;Year&gt;2010&lt;/Year&gt;&lt;Details&gt;&lt;_accessed&gt;59334760&lt;/_accessed&gt;&lt;_author_adr&gt;华东师范大学商学院;华东师范大学金融与统计学院;华东师范大学国际金融与风险管理研究中心;&lt;/_author_adr&gt;&lt;_created&gt;59333222&lt;/_created&gt;&lt;_isbn&gt;1002-2104&lt;/_isbn&gt;&lt;_issue&gt;8&lt;/_issue&gt;&lt;_journal&gt;中国人口·资源与环境&lt;/_journal&gt;&lt;_keywords&gt;出口隐含碳; 结构分解分析; 投入产出法&lt;/_keywords&gt;&lt;_language&gt;Chinese&lt;/_language&gt;&lt;_modified&gt;59334760&lt;/_modified&gt;&lt;_pages&gt;48-52&lt;/_pages&gt;&lt;_volume&gt;20&lt;/_volume&gt;&lt;/Details&gt;&lt;Extra&gt;&lt;DBUID&gt;{502CA3C0-22CA-4511-973C-E02D6A2BD88D}&lt;/DBUID&gt;&lt;/Extra&gt;&lt;/Item&gt;&lt;/References&gt;&lt;/Group&gt;&lt;/Citation&gt;_x000a_"/>
    <w:docVar w:name="NE.Ref{A4D6EADE-82CF-47D0-B489-D25D1ADB9BD4}" w:val=" ADDIN NE.Ref.{A4D6EADE-82CF-47D0-B489-D25D1ADB9BD4}&lt;Citation&gt;&lt;Group&gt;&lt;References&gt;&lt;Item&gt;&lt;ID&gt;1209&lt;/ID&gt;&lt;UID&gt;{23E501AB-478F-42E3-8E21-33BDF2DE137D}&lt;/UID&gt;&lt;Title&gt;Input-output subsystems and pollution: an application to the service sector and CO2 emissions in Spain&lt;/Title&gt;&lt;Template&gt;Journal Article&lt;/Template&gt;&lt;Star&gt;0&lt;/Star&gt;&lt;Tag&gt;0&lt;/Tag&gt;&lt;Author&gt;Alcántara, V; Padilla, E&lt;/Author&gt;&lt;Year&gt;2009&lt;/Year&gt;&lt;Details&gt;&lt;_accessed&gt;58805911&lt;/_accessed&gt;&lt;_created&gt;58749700&lt;/_created&gt;&lt;_issue&gt;3&lt;/_issue&gt;&lt;_journal&gt;Ecological Economics&lt;/_journal&gt;&lt;_language&gt;English&lt;/_language&gt;&lt;_marked_fields&gt;title;SUB|83|1 _x000d__x000a_&lt;/_marked_fields&gt;&lt;_modified&gt;58805911&lt;/_modified&gt;&lt;_pages&gt;905–914&lt;/_pages&gt;&lt;_volume&gt;63&lt;/_volume&gt;&lt;/Details&gt;&lt;Extra&gt;&lt;DBUID&gt;{502CA3C0-22CA-4511-973C-E02D6A2BD88D}&lt;/DBUID&gt;&lt;/Extra&gt;&lt;/Item&gt;&lt;/References&gt;&lt;/Group&gt;&lt;/Citation&gt;_x000a_"/>
    <w:docVar w:name="NE.Ref{A4F11C98-C2CB-43F4-A472-0C528CF19672}" w:val=" ADDIN NE.Ref.{A4F11C98-C2CB-43F4-A472-0C528CF19672}&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A53C7C82-B8C4-4797-B8AC-82D1E2190983}" w:val=" ADDIN NE.Ref.{A53C7C82-B8C4-4797-B8AC-82D1E2190983}&lt;Citation&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A57F7F08-07A6-4943-9C70-E6A759DDF1B5}" w:val=" ADDIN NE.Ref.{A57F7F08-07A6-4943-9C70-E6A759DDF1B5} ADDIN NE.Ref.{A57F7F08-07A6-4943-9C70-E6A759DDF1B5}&lt;Citation&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750017&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A5F2BA2D-1BDC-425F-9560-3C45D01740EE}" w:val=" ADDIN NE.Ref.{A5F2BA2D-1BDC-425F-9560-3C45D01740EE}&lt;Citation&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Group&gt;&lt;References&gt;&lt;Item&gt;&lt;ID&gt;1176&lt;/ID&gt;&lt;UID&gt;{64433B34-7010-4CA3-8AAE-BFBD967D2744}&lt;/UID&gt;&lt;Title&gt;中国应对气候变化国家方案&lt;/Title&gt;&lt;Template&gt;Report&lt;/Template&gt;&lt;Star&gt;0&lt;/Star&gt;&lt;Tag&gt;0&lt;/Tag&gt;&lt;Author&gt;国家发展和改革委员会&lt;/Author&gt;&lt;Year&gt;2007&lt;/Year&gt;&lt;Details&gt;&lt;_accessed&gt;59085824&lt;/_accessed&gt;&lt;_created&gt;58020044&lt;/_created&gt;&lt;_language&gt;Chinese&lt;/_language&gt;&lt;_modified&gt;59085824&lt;/_modified&gt;&lt;_place_published&gt;北京&lt;/_place_published&gt;&lt;_publisher&gt;国家发展和改革委员会&lt;/_publisher&gt;&lt;/Details&gt;&lt;Extra&gt;&lt;DBUID&gt;{502CA3C0-22CA-4511-973C-E02D6A2BD88D}&lt;/DBUID&gt;&lt;/Extra&gt;&lt;/Item&gt;&lt;/References&gt;&lt;/Group&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A608C85D-7C6D-4A58-B2B3-852F35882C21}" w:val=" ADDIN NE.Ref.{A608C85D-7C6D-4A58-B2B3-852F35882C21}&lt;Citation SecTmpl=&quot;1&quot;&gt;&lt;Group&gt;&lt;References&gt;&lt;Item&gt;&lt;ID&gt;1149&lt;/ID&gt;&lt;UID&gt;{72413B06-1436-4125-B1FB-3BAAD824FD3E}&lt;/UID&gt;&lt;Title&gt;China&amp;apos;s foreign trade and climate change: A case study of CO&amp;lt;sub&amp;gt;2&amp;lt;/sub&amp;gt; emissions&lt;/Title&gt;&lt;Template&gt;Journal Article&lt;/Template&gt;&lt;Star&gt;0&lt;/Star&gt;&lt;Tag&gt;0&lt;/Tag&gt;&lt;Author&gt;Yan, Yunfeng; Yang, Laike&lt;/Author&gt;&lt;Year&gt;2010&lt;/Year&gt;&lt;Details&gt;&lt;_accessed&gt;59333317&lt;/_accessed&gt;&lt;_alternate_title&gt;Energy Policy&lt;/_alternate_title&gt;&lt;_created&gt;57992686&lt;/_created&gt;&lt;_date_display&gt;2010/1//&lt;/_date_display&gt;&lt;_isbn&gt;0301-4215&lt;/_isbn&gt;&lt;_issue&gt;1&lt;/_issue&gt;&lt;_journal&gt;Energy Policy&lt;/_journal&gt;&lt;_keywords&gt;Carbon dioxide (CO2) emission embodied in trade; The economic input-output-life cycle assessment (EIO-LCA); Structural decomposition analysis (SDA)&lt;/_keywords&gt;&lt;_label&gt;已打&lt;/_label&gt;&lt;_modified&gt;59332977&lt;/_modified&gt;&lt;_pages&gt;350-356&lt;/_pages&gt;&lt;_url&gt;http://www.sciencedirect.com/science/article/B6V2W-4XH56BX-2/2/acd2c8560b9254b3df5a3d39ed66aa9f&lt;/_url&gt;&lt;_volume&gt;38&lt;/_volume&gt;&lt;/Details&gt;&lt;Extra&gt;&lt;DBUID&gt;{502CA3C0-22CA-4511-973C-E02D6A2BD88D}&lt;/DBUID&gt;&lt;/Extra&gt;&lt;/Item&gt;&lt;/References&gt;&lt;/Group&gt;&lt;/Citation&gt;_x000a_"/>
    <w:docVar w:name="NE.Ref{A610C2DE-72A0-47A0-BBE5-AA6EC7182639}" w:val=" ADDIN NE.Ref.{A610C2DE-72A0-47A0-BBE5-AA6EC7182639}&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A7556DD1-FA0E-4DA4-B14E-92FC7C0B1B70}" w:val=" ADDIN NE.Ref.{A7556DD1-FA0E-4DA4-B14E-92FC7C0B1B70}&lt;Citation SecTmpl=&quot;1&quot;&gt;&lt;Group&gt;&lt;References&gt;&lt;Item&gt;&lt;ID&gt;1211&lt;/ID&gt;&lt;UID&gt;{45077D85-A911-421E-B13D-C3323CAF9889}&lt;/UID&gt;&lt;Title&gt;Carbon dioxide production by the UK economy: An input-output assessment&lt;/Title&gt;&lt;Template&gt;Journal Article&lt;/Template&gt;&lt;Star&gt;0&lt;/Star&gt;&lt;Tag&gt;0&lt;/Tag&gt;&lt;Author&gt;Gay, Philip W; Proops, John L R&lt;/Author&gt;&lt;Year&gt;1993&lt;/Year&gt;&lt;Details&gt;&lt;_accessed&gt;58749888&lt;/_accessed&gt;&lt;_created&gt;58749888&lt;/_created&gt;&lt;_issue&gt;2&lt;/_issue&gt;&lt;_journal&gt;Applied Energy&lt;/_journal&gt;&lt;_modified&gt;58749888&lt;/_modified&gt;&lt;_pages&gt;113-130&lt;/_pages&gt;&lt;_volume&gt;44&lt;/_volume&gt;&lt;/Details&gt;&lt;Extra&gt;&lt;DBUID&gt;{502CA3C0-22CA-4511-973C-E02D6A2BD88D}&lt;/DBUID&gt;&lt;/Extra&gt;&lt;/Item&gt;&lt;/References&gt;&lt;/Group&gt;&lt;/Citation&gt;_x000a_"/>
    <w:docVar w:name="NE.Ref{A81E21F2-CCED-41B5-AADD-1EC0E0311EDA}" w:val=" ADDIN NE.Ref.{A81E21F2-CCED-41B5-AADD-1EC0E0311EDA}&lt;Citation&gt;&lt;Group&gt;&lt;References&gt;&lt;Item&gt;&lt;ID&gt;428&lt;/ID&gt;&lt;UID&gt;{0154BBD7-2231-4EC3-B456-F9373290D111}&lt;/UID&gt;&lt;Title&gt;Embodied environmental emissions in U.S. international trade, 1997-2004&lt;/Title&gt;&lt;Template&gt;Journal Article&lt;/Template&gt;&lt;Star&gt;0&lt;/Star&gt;&lt;Tag&gt;0&lt;/Tag&gt;&lt;Author&gt;Weber, Christopher L; Matthews, H Scott&lt;/Author&gt;&lt;Year&gt;2007&lt;/Year&gt;&lt;Details&gt;&lt;_accessed&gt;59366986&lt;/_accessed&gt;&lt;_alternate_title&gt;Environmental Science &amp;amp; Technology&lt;/_alternate_title&gt;&lt;_created&gt;58024278&lt;/_created&gt;&lt;_date&gt;2007-06-13&lt;/_date&gt;&lt;_date_display&gt;2007/07/01/_x000d__x000a_2007/06/13/&lt;/_date_display&gt;&lt;_isbn&gt;0013-936X&lt;/_isbn&gt;&lt;_issue&gt;14&lt;/_issue&gt;&lt;_journal&gt;Environmental Science &amp;amp; Technology&lt;/_journal&gt;&lt;_modified&gt;59366986&lt;/_modified&gt;&lt;_ori_publication&gt;American Chemical Society&lt;/_ori_publication&gt;&lt;_pages&gt;4875-4881&lt;/_pages&gt;&lt;_url&gt;http://dx.doi.org/10.1021/es0629110&lt;/_url&gt;&lt;_volume&gt;41&lt;/_volume&gt;&lt;/Details&gt;&lt;Extra&gt;&lt;DBUID&gt;{502CA3C0-22CA-4511-973C-E02D6A2BD88D}&lt;/DBUID&gt;&lt;/Extra&gt;&lt;/Item&gt;&lt;/References&gt;&lt;/Group&gt;&lt;Group&gt;&lt;References&gt;&lt;Item&gt;&lt;ID&gt;1171&lt;/ID&gt;&lt;UID&gt;{AA6FCF86-2302-41C6-BC38-A52575F23628}&lt;/UID&gt;&lt;Title&gt;CO2 embodied in international trade with implications for global climate policy&lt;/Title&gt;&lt;Template&gt;Journal Article&lt;/Template&gt;&lt;Star&gt;0&lt;/Star&gt;&lt;Tag&gt;0&lt;/Tag&gt;&lt;Author&gt;Peters, Glen P; Hertwich, Edgar G&lt;/Author&gt;&lt;Year&gt;2008&lt;/Year&gt;&lt;Details&gt;&lt;_accessed&gt;59366983&lt;/_accessed&gt;&lt;_alternate_title&gt;Environmental Science &amp;amp; Technology&lt;/_alternate_title&gt;&lt;_created&gt;58054492&lt;/_created&gt;&lt;_date&gt;2008-01-30&lt;/_date&gt;&lt;_date_display&gt;2008/03/01/_x000d__x000a_2008/01/30/&lt;/_date_display&gt;&lt;_isbn&gt;0013-936X&lt;/_isbn&gt;&lt;_issue&gt;5&lt;/_issue&gt;&lt;_journal&gt;Environmental Science &amp;amp; Technology&lt;/_journal&gt;&lt;_marked_fields&gt;title;SUB|3|1 _x000d__x000a_&lt;/_marked_fields&gt;&lt;_modified&gt;59366983&lt;/_modified&gt;&lt;_ori_publication&gt;American Chemical Society&lt;/_ori_publication&gt;&lt;_pages&gt;1401-1407&lt;/_pages&gt;&lt;_url&gt;http://dx.doi.org/10.1021/es072023k&lt;/_url&gt;&lt;_volume&gt;42&lt;/_volume&gt;&lt;/Details&gt;&lt;Extra&gt;&lt;DBUID&gt;{502CA3C0-22CA-4511-973C-E02D6A2BD88D}&lt;/DBUID&gt;&lt;/Extra&gt;&lt;/Item&gt;&lt;/References&gt;&lt;/Group&gt;&lt;/Citation&gt;_x000a_"/>
    <w:docVar w:name="NE.Ref{A90C4C21-A477-4CB4-B765-BDE19504A7C3}" w:val=" ADDIN NE.Ref.{A90C4C21-A477-4CB4-B765-BDE19504A7C3}&lt;Citation SecTmpl=&quot;1&quot;&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A977D77E-1ECD-4B55-B570-9009091440AB}" w:val=" ADDIN NE.Ref.{A977D77E-1ECD-4B55-B570-9009091440AB}&lt;Citation&gt;&lt;Group&gt;&lt;References&gt;&lt;Item&gt;&lt;ID&gt;1252&lt;/ID&gt;&lt;UID&gt;{CC0DBC16-DEB4-41A0-9AF1-3B8D7400D6B7}&lt;/UID&gt;&lt;Title&gt;World Urbanization Prospects: The 2011 Revision&lt;/Title&gt;&lt;Template&gt;Report&lt;/Template&gt;&lt;Star&gt;0&lt;/Star&gt;&lt;Tag&gt;0&lt;/Tag&gt;&lt;Author&gt;&amp;quot;UN Population Division&amp;quot;&lt;/Author&gt;&lt;Year&gt;2012&lt;/Year&gt;&lt;Details&gt;&lt;_accessed&gt;59082732&lt;/_accessed&gt;&lt;_created&gt;59082732&lt;/_created&gt;&lt;_language&gt;English&lt;/_language&gt;&lt;_modified&gt;59082732&lt;/_modified&gt;&lt;_place_published&gt;New York&lt;/_place_published&gt;&lt;_publisher&gt;United Nations, Department of Economic and Social Affairs, Population Division&lt;/_publisher&gt;&lt;_url&gt;http://esa.un.org/unpd/wup/index.htm&lt;/_url&gt;&lt;/Details&gt;&lt;Extra&gt;&lt;DBUID&gt;{502CA3C0-22CA-4511-973C-E02D6A2BD88D}&lt;/DBUID&gt;&lt;/Extra&gt;&lt;/Item&gt;&lt;/References&gt;&lt;/Group&gt;&lt;/Citation&gt;_x000a_"/>
    <w:docVar w:name="NE.Ref{A9DCEB63-1E01-456C-81D8-D40A246933FC}" w:val=" ADDIN NE.Ref.{A9DCEB63-1E01-456C-81D8-D40A246933FC}&lt;Citation&gt;&lt;Group&gt;&lt;References&gt;&lt;Item&gt;&lt;ID&gt;1175&lt;/ID&gt;&lt;UID&gt;{8D52B573-79B1-43C7-A4EB-0A5BA56B9802}&lt;/UID&gt;&lt;Title&gt;Climate Change 2007: the Fourth Assessment Report of the Intergovernmental Panel on Climate Change&lt;/Title&gt;&lt;Template&gt;Book&lt;/Template&gt;&lt;Star&gt;0&lt;/Star&gt;&lt;Tag&gt;0&lt;/Tag&gt;&lt;Author&gt;IPCC&lt;/Author&gt;&lt;Year&gt;2007&lt;/Year&gt;&lt;Details&gt;&lt;_accessed&gt;58014601&lt;/_accessed&gt;&lt;_created&gt;58014601&lt;/_created&gt;&lt;_language&gt;English&lt;/_language&gt;&lt;_modified&gt;58014601&lt;/_modified&gt;&lt;_place_published&gt;Cambridge&lt;/_place_published&gt;&lt;_publisher&gt;Cambridge University Press&lt;/_publisher&gt;&lt;/Details&gt;&lt;Extra&gt;&lt;DBUID&gt;{502CA3C0-22CA-4511-973C-E02D6A2BD88D}&lt;/DBUID&gt;&lt;/Extra&gt;&lt;/Item&gt;&lt;/References&gt;&lt;/Group&gt;&lt;/Citation&gt;_x000a_"/>
    <w:docVar w:name="NE.Ref{AB04BD85-2597-4E94-AFEF-3B848C58CBBB}" w:val=" ADDIN NE.Ref.{AB04BD85-2597-4E94-AFEF-3B848C58CBBB}&lt;Citation SecTmpl=&quot;1&quot;&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AB59469E-B790-42DB-A6E6-4FABCAE821EF}" w:val=" ADDIN NE.Ref.{AB59469E-B790-42DB-A6E6-4FABCAE821EF}&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publisher&gt;社会科学文献出版社&lt;/_publisher&gt;&lt;_place_published&gt;北京&lt;/_place_published&gt;&lt;_language&gt;Chinese&lt;/_language&gt;&lt;_modified&gt;59082739&lt;/_modified&gt;&lt;_created&gt;59082739&lt;/_created&gt;&lt;_accessed&gt;59082739&lt;/_accessed&gt;&lt;/Details&gt;&lt;Extra&gt;&lt;DBUID&gt;{502CA3C0-22CA-4511-973C-E02D6A2BD88D}&lt;/DBUID&gt;&lt;/Extra&gt;&lt;/Item&gt;&lt;/References&gt;&lt;/Group&gt;&lt;/Citation&gt;_x000a_"/>
    <w:docVar w:name="NE.Ref{AC08E144-2D0E-4891-82A1-D10C9CA13BDD}" w:val=" ADDIN NE.Ref.{AC08E144-2D0E-4891-82A1-D10C9CA13BDD}&lt;Citation&gt;&lt;Group&gt;&lt;References&gt;&lt;Item&gt;&lt;ID&gt;1260&lt;/ID&gt;&lt;UID&gt;{737A778B-D7B2-4AE2-AAF8-860A9BB54E79}&lt;/UID&gt;&lt;Title&gt;基于CGE的技术变化模拟及其在气候政策分析中的应用&lt;/Title&gt;&lt;Template&gt;Book&lt;/Template&gt;&lt;Star&gt;0&lt;/Star&gt;&lt;Tag&gt;0&lt;/Tag&gt;&lt;Author&gt;王克&lt;/Author&gt;&lt;Year&gt;2011&lt;/Year&gt;&lt;Details&gt;&lt;_accessed&gt;59082766&lt;/_accessed&gt;&lt;_created&gt;59082766&lt;/_created&gt;&lt;_language&gt;Chinese&lt;/_language&gt;&lt;_modified&gt;59082766&lt;/_modified&gt;&lt;_place_published&gt;北京&lt;/_place_published&gt;&lt;_publisher&gt;中国环境科学出版社&lt;/_publisher&gt;&lt;/Details&gt;&lt;Extra&gt;&lt;DBUID&gt;{502CA3C0-22CA-4511-973C-E02D6A2BD88D}&lt;/DBUID&gt;&lt;/Extra&gt;&lt;/Item&gt;&lt;/References&gt;&lt;/Group&gt;&lt;/Citation&gt;_x000a_"/>
    <w:docVar w:name="NE.Ref{AD033983-9E16-4EF9-AE67-F4AEBC9965BE}" w:val=" ADDIN NE.Ref.{AD033983-9E16-4EF9-AE67-F4AEBC9965BE}&lt;Citation&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8911203&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AD410A01-751D-4764-84BD-C59CA98DDD24}" w:val=" ADDIN NE.Ref.{AD410A01-751D-4764-84BD-C59CA98DDD24}&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ADA97648-FA12-465C-9404-F0C6E4F04A32}" w:val=" ADDIN NE.Ref.{ADA97648-FA12-465C-9404-F0C6E4F04A32} ADDIN NE.Ref.{ADA97648-FA12-465C-9404-F0C6E4F04A32}&lt;Citation&gt;&lt;Group&gt;&lt;References&gt;&lt;Item&gt;&lt;ID&gt;1014&lt;/ID&gt;&lt;UID&gt;{C7B58D86-6EF1-43C4-8250-1BE3F1F6E11A}&lt;/UID&gt;&lt;Title&gt;Post-Kyoto greenhouse gas inventories: production versus consumption&lt;/Title&gt;&lt;Template&gt;Journal Article&lt;/Template&gt;&lt;Star&gt;0&lt;/Star&gt;&lt;Tag&gt;0&lt;/Tag&gt;&lt;Author&gt;Peters, G P; Hertwich, E G&lt;/Author&gt;&lt;Year&gt;2008&lt;/Year&gt;&lt;Details&gt;&lt;_accessed&gt;58801603&lt;/_accessed&gt;&lt;_created&gt;57975140&lt;/_created&gt;&lt;_date_display&gt;2008_x000d__x000a_JAN&lt;/_date_display&gt;&lt;_isbn&gt;0165-0009&lt;/_isbn&gt;&lt;_issue&gt;1-2&lt;/_issue&gt;&lt;_journal&gt;Climatic Change&lt;/_journal&gt;&lt;_keywords&gt;INPUT-OUTPUT APPROACH; INTERNATIONAL-TRADE; CLIMATE-CHANGE; CONSUMER RESPONSIBILITY; ENVIRONMENTAL LOAD; CO2 EMISSIONS; POLICY; ENERGY; POLLUTION; IMPORTS&lt;/_keywords&gt;&lt;_language&gt;English&lt;/_language&gt;&lt;_modified&gt;58801603&lt;/_modified&gt;&lt;_number&gt;ISI:000251821500007&lt;/_number&gt;&lt;_pages&gt;51-66&lt;/_pages&gt;&lt;_type_work&gt;Article&lt;/_type_work&gt;&lt;_volume&gt;86&lt;/_volume&gt;&lt;/Details&gt;&lt;Extra&gt;&lt;DBUID&gt;{502CA3C0-22CA-4511-973C-E02D6A2BD88D}&lt;/DBUID&gt;&lt;/Extra&gt;&lt;/Item&gt;&lt;/References&gt;&lt;/Group&gt;&lt;/Citation&gt;_x000a_"/>
    <w:docVar w:name="NE.Ref{ADD73BE6-63B8-411B-B49A-B949E6A8082B}" w:val=" ADDIN NE.Ref.{ADD73BE6-63B8-411B-B49A-B949E6A8082B}&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ADEB6893-E705-4EA8-A092-54F5B4BAE633}" w:val=" ADDIN NE.Ref.{ADEB6893-E705-4EA8-A092-54F5B4BAE633}&lt;Citation&gt;&lt;Group&gt;&lt;References&gt;&lt;Item&gt;&lt;ID&gt;1255&lt;/ID&gt;&lt;UID&gt;{0D78A00D-9DE2-4A2C-82E2-DEC21E94A9EC}&lt;/UID&gt;&lt;Title&gt;中国能源统计年鉴2011&lt;/Title&gt;&lt;Template&gt;Book&lt;/Template&gt;&lt;Star&gt;0&lt;/Star&gt;&lt;Tag&gt;0&lt;/Tag&gt;&lt;Author&gt;国家统计局能源统计司&lt;/Author&gt;&lt;Year&gt;2011&lt;/Year&gt;&lt;Details&gt;&lt;_accessed&gt;59085525&lt;/_accessed&gt;&lt;_created&gt;59082747&lt;/_created&gt;&lt;_language&gt;Chinese&lt;/_language&gt;&lt;_modified&gt;59085525&lt;/_modified&gt;&lt;_place_published&gt;北京&lt;/_place_published&gt;&lt;_publisher&gt;中国统计出版社&lt;/_publisher&gt;&lt;/Details&gt;&lt;Extra&gt;&lt;DBUID&gt;{502CA3C0-22CA-4511-973C-E02D6A2BD88D}&lt;/DBUID&gt;&lt;/Extra&gt;&lt;/Item&gt;&lt;/References&gt;&lt;/Group&gt;&lt;/Citation&gt;_x000a_"/>
    <w:docVar w:name="NE.Ref{AE0591FD-9921-4DEF-B5D2-D5F1109340D6}" w:val=" ADDIN NE.Ref.{AE0591FD-9921-4DEF-B5D2-D5F1109340D6}&lt;Citation&gt;&lt;Group&gt;&lt;References&gt;&lt;Item&gt;&lt;ID&gt;1246&lt;/ID&gt;&lt;UID&gt;{C40343FB-BF28-45BA-A1A6-DB8A7580DC2C}&lt;/UID&gt;&lt;Title&gt;World Population Prospects: The 2010 Revision&lt;/Title&gt;&lt;Template&gt;Report&lt;/Template&gt;&lt;Star&gt;0&lt;/Star&gt;&lt;Tag&gt;0&lt;/Tag&gt;&lt;Author&gt;&amp;quot;UN Population Division&amp;quot;&lt;/Author&gt;&lt;Year&gt;2011&lt;/Year&gt;&lt;Details&gt;&lt;_accessed&gt;59082699&lt;/_accessed&gt;&lt;_created&gt;59082695&lt;/_created&gt;&lt;_language&gt;English&lt;/_language&gt;&lt;_modified&gt;59082699&lt;/_modified&gt;&lt;_place_published&gt;New York&lt;/_place_published&gt;&lt;_publisher&gt;Population Division, Department of Economic and Social Affairs, United Nations&lt;/_publisher&gt;&lt;_url&gt;http://esa.un.org/unpd/wpp/index.htm&lt;/_url&gt;&lt;/Details&gt;&lt;Extra&gt;&lt;DBUID&gt;{502CA3C0-22CA-4511-973C-E02D6A2BD88D}&lt;/DBUID&gt;&lt;/Extra&gt;&lt;/Item&gt;&lt;/References&gt;&lt;/Group&gt;&lt;/Citation&gt;_x000a_"/>
    <w:docVar w:name="NE.Ref{AE522E12-7EC0-4412-B588-4F8E40E69C5E}" w:val=" ADDIN NE.Ref.{AE522E12-7EC0-4412-B588-4F8E40E69C5E}&lt;Citation&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9344515&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Group&gt;&lt;References&gt;&lt;Item&gt;&lt;ID&gt;1144&lt;/ID&gt;&lt;UID&gt;{2F8E8477-BE9F-4C09-92CB-C44160F19065}&lt;/UID&gt;&lt;Title&gt;SDA模型的加权平均分解法及在中国第三产业经济发展分析中的应用&lt;/Title&gt;&lt;Template&gt;Journal Article&lt;/Template&gt;&lt;Star&gt;0&lt;/Star&gt;&lt;Tag&gt;0&lt;/Tag&gt;&lt;Author&gt;李景华&lt;/Author&gt;&lt;Year&gt;2004&lt;/Year&gt;&lt;Details&gt;&lt;_accessed&gt;58441759&lt;/_accessed&gt;&lt;_created&gt;58441759&lt;/_created&gt;&lt;_issue&gt;9&lt;/_issue&gt;&lt;_journal&gt;系统工程&lt;/_journal&gt;&lt;_language&gt;chinese&lt;/_language&gt;&lt;_modified&gt;58441759&lt;/_modified&gt;&lt;_pages&gt;69-73&lt;/_pages&gt;&lt;_volume&gt;22&lt;/_volume&gt;&lt;/Details&gt;&lt;Extra&gt;&lt;DBUID&gt;{502CA3C0-22CA-4511-973C-E02D6A2BD88D}&lt;/DBUID&gt;&lt;/Extra&gt;&lt;/Item&gt;&lt;/References&gt;&lt;/Group&gt;&lt;/Citation&gt;_x000a_"/>
    <w:docVar w:name="NE.Ref{AEA7A45A-D6E4-4072-9C3B-579007ED1768}" w:val=" ADDIN NE.Ref.{AEA7A45A-D6E4-4072-9C3B-579007ED1768}&lt;Citation&gt;&lt;Group&gt;&lt;References&gt;&lt;Item&gt;&lt;ID&gt;158&lt;/ID&gt;&lt;UID&gt;{3361B2E2-5C8E-49A5-8D67-0F1C1D54E97D}&lt;/UID&gt;&lt;Title&gt;Comparing structural decomposition analysis and index&lt;/Title&gt;&lt;Template&gt;Journal Article&lt;/Template&gt;&lt;Star&gt;0&lt;/Star&gt;&lt;Tag&gt;0&lt;/Tag&gt;&lt;Author&gt;Hoekstra, Rutger; van den Bergh, Jeroen C J M&lt;/Author&gt;&lt;Year&gt;2003&lt;/Year&gt;&lt;Details&gt;&lt;_accessed&gt;59328681&lt;/_accessed&gt;&lt;_alternate_title&gt;Energy Economics&lt;/_alternate_title&gt;&lt;_created&gt;58537266&lt;/_created&gt;&lt;_date_display&gt;2003/1//&lt;/_date_display&gt;&lt;_isbn&gt;0140-9883&lt;/_isbn&gt;&lt;_issue&gt;1&lt;/_issue&gt;&lt;_journal&gt;Energy Economics&lt;/_journal&gt;&lt;_keywords&gt;Comparative static analysis; Energy use; Index properties; Structural change; Technological change; CO2-emissions&lt;/_keywords&gt;&lt;_modified&gt;58537266&lt;/_modified&gt;&lt;_pages&gt;39-64&lt;/_pages&gt;&lt;_url&gt;http://www.sciencedirect.com/science/article/B6V7G-46X2KFF-1/2/1360ff3f895739fd979bd39e7c114394&lt;/_url&gt;&lt;_volume&gt;25&lt;/_volume&gt;&lt;/Details&gt;&lt;Extra&gt;&lt;DBUID&gt;{502CA3C0-22CA-4511-973C-E02D6A2BD88D}&lt;/DBUID&gt;&lt;/Extra&gt;&lt;/Item&gt;&lt;/References&gt;&lt;/Group&gt;&lt;/Citation&gt;_x000a_"/>
    <w:docVar w:name="NE.Ref{AEFAB14A-7237-4574-9A97-1720611997CD}" w:val=" ADDIN NE.Ref.{AEFAB14A-7237-4574-9A97-1720611997CD}&lt;Citation SecTmpl=&quot;1&quot;&gt;&lt;Group&gt;&lt;References&gt;&lt;Item&gt;&lt;ID&gt;1313&lt;/ID&gt;&lt;UID&gt;{3C334047-071C-49C4-BA8B-40A942250C9D}&lt;/UID&gt;&lt;Title&gt;中国碳排放驱动因素分解分析&lt;/Title&gt;&lt;Template&gt;Journal Article&lt;/Template&gt;&lt;Star&gt;0&lt;/Star&gt;&lt;Tag&gt;0&lt;/Tag&gt;&lt;Author&gt;赵志耘; 杨朝峰&lt;/Author&gt;&lt;Year&gt;2012&lt;/Year&gt;&lt;Details&gt;&lt;_accessed&gt;59337315&lt;/_accessed&gt;&lt;_created&gt;59337315&lt;/_created&gt;&lt;_issue&gt;6&lt;/_issue&gt;&lt;_journal&gt;中国软科学&lt;/_journal&gt;&lt;_language&gt;Chinese&lt;/_language&gt;&lt;_modified&gt;59337315&lt;/_modified&gt;&lt;_pages&gt;175-183&lt;/_pages&gt;&lt;/Details&gt;&lt;Extra&gt;&lt;DBUID&gt;{502CA3C0-22CA-4511-973C-E02D6A2BD88D}&lt;/DBUID&gt;&lt;/Extra&gt;&lt;/Item&gt;&lt;/References&gt;&lt;/Group&gt;&lt;/Citation&gt;_x000a_"/>
    <w:docVar w:name="NE.Ref{AFB2B22F-1C84-47B3-8344-FE25C845377A}" w:val=" ADDIN NE.Ref.{AFB2B22F-1C84-47B3-8344-FE25C845377A}&lt;Citation&gt;&lt;Group&gt;&lt;References&gt;&lt;Item&gt;&lt;ID&gt;996&lt;/ID&gt;&lt;UID&gt;{76F93329-798F-402D-B924-80039C2EDAD9}&lt;/UID&gt;&lt;Title&gt;Carbon Footprint of Nations: A Global, Trade-Linked Analysis&lt;/Title&gt;&lt;Template&gt;Journal Article&lt;/Template&gt;&lt;Star&gt;0&lt;/Star&gt;&lt;Tag&gt;0&lt;/Tag&gt;&lt;Author&gt;Hertwich, E G; Peters, G P&lt;/Author&gt;&lt;Year&gt;2009&lt;/Year&gt;&lt;Details&gt;&lt;_accessed&gt;58801898&lt;/_accessed&gt;&lt;_created&gt;57975140&lt;/_created&gt;&lt;_date_display&gt;2009_x000d__x000a_AUG 15&lt;/_date_display&gt;&lt;_isbn&gt;0013-936X&lt;/_isbn&gt;&lt;_issue&gt;16&lt;/_issue&gt;&lt;_journal&gt;Environmental Science &amp;amp; Technology&lt;/_journal&gt;&lt;_keywords&gt;INPUT-OUTPUT; ENVIRONMENTAL IMPACTS; LIFE-CYCLE; SUSTAINABLE CONSUMPTION; INTERNATIONAL-TRADE; CLIMATE-CHANGE; EMISSIONS; CO2; PRODUCTS; POLICY&lt;/_keywords&gt;&lt;_language&gt;English&lt;/_language&gt;&lt;_modified&gt;58801898&lt;/_modified&gt;&lt;_number&gt;ISI:000268907700050&lt;/_number&gt;&lt;_pages&gt;6414-6420&lt;/_pages&gt;&lt;_type_work&gt;Article&lt;/_type_work&gt;&lt;_volume&gt;43&lt;/_volume&gt;&lt;/Details&gt;&lt;Extra&gt;&lt;DBUID&gt;{502CA3C0-22CA-4511-973C-E02D6A2BD88D}&lt;/DBUID&gt;&lt;/Extra&gt;&lt;/Item&gt;&lt;/References&gt;&lt;/Group&gt;&lt;Group&gt;&lt;References&gt;&lt;Item&gt;&lt;ID&gt;412&lt;/ID&gt;&lt;UID&gt;{CAAB18F9-78BD-41C9-A8B2-0C05DA0E93B4}&lt;/UID&gt;&lt;Title&gt;Consumption-based accounting of CO2 emissions&lt;/Title&gt;&lt;Template&gt;Journal Article&lt;/Template&gt;&lt;Star&gt;0&lt;/Star&gt;&lt;Tag&gt;0&lt;/Tag&gt;&lt;Author&gt;Davis, Steven J; Caldeira, Ken&lt;/Author&gt;&lt;Year&gt;2010&lt;/Year&gt;&lt;Details&gt;&lt;_accessed&gt;58805925&lt;/_accessed&gt;&lt;_alternate_title&gt;Proceedings of the National Academy of Sciences&lt;/_alternate_title&gt;&lt;_created&gt;58097487&lt;/_created&gt;&lt;_date&gt;2010-03-23&lt;/_date&gt;&lt;_date_display&gt;2010/03/23&lt;/_date_display&gt;&lt;_issue&gt;12&lt;/_issue&gt;&lt;_journal&gt;Proceedings of the National Academy of Sciences&lt;/_journal&gt;&lt;_label&gt;已打&lt;/_label&gt;&lt;_marked_fields&gt;title;SUB|35|1 _x000d__x000a_&lt;/_marked_fields&gt;&lt;_modified&gt;58805925&lt;/_modified&gt;&lt;_pages&gt;5687-5692&lt;/_pages&gt;&lt;_url&gt;http://www.pnas.org/content/107/12/5687.abstract&lt;/_url&gt;&lt;_volume&gt;107&lt;/_volume&gt;&lt;/Details&gt;&lt;Extra&gt;&lt;DBUID&gt;{502CA3C0-22CA-4511-973C-E02D6A2BD88D}&lt;/DBUID&gt;&lt;/Extra&gt;&lt;/Item&gt;&lt;/References&gt;&lt;/Group&gt;&lt;/Citation&gt;_x000a_"/>
    <w:docVar w:name="NE.Ref{B042B4F8-91B9-4E44-89AD-48C5ADBD2D36}" w:val=" ADDIN NE.Ref.{B042B4F8-91B9-4E44-89AD-48C5ADBD2D36}&lt;Citation SecTmpl=&quot;1&quot;&gt;&lt;Group&gt;&lt;References&gt;&lt;Item&gt;&lt;ID&gt;1251&lt;/ID&gt;&lt;UID&gt;{E008239D-A6CD-4D33-9DF4-152D66F72C5E}&lt;/UID&gt;&lt;Title&gt;联合国预测：中国快速走向老龄化&lt;/Title&gt;&lt;Template&gt;Journal Article&lt;/Template&gt;&lt;Star&gt;0&lt;/Star&gt;&lt;Tag&gt;0&lt;/Tag&gt;&lt;Author&gt;蔡泳&lt;/Author&gt;&lt;Year&gt;2012&lt;/Year&gt;&lt;Details&gt;&lt;_accessed&gt;59082730&lt;/_accessed&gt;&lt;_created&gt;59082730&lt;/_created&gt;&lt;_issue&gt;1&lt;/_issue&gt;&lt;_journal&gt;国际经济评论&lt;/_journal&gt;&lt;_language&gt;Chinese&lt;/_language&gt;&lt;_modified&gt;59082730&lt;/_modified&gt;&lt;_pages&gt;73-81&lt;/_pages&gt;&lt;/Details&gt;&lt;Extra&gt;&lt;DBUID&gt;{502CA3C0-22CA-4511-973C-E02D6A2BD88D}&lt;/DBUID&gt;&lt;/Extra&gt;&lt;/Item&gt;&lt;/References&gt;&lt;/Group&gt;&lt;/Citation&gt;_x000a_"/>
    <w:docVar w:name="NE.Ref{B08FD0C1-F760-4F64-ADA7-F075690C94A2}" w:val=" ADDIN NE.Ref.{B08FD0C1-F760-4F64-ADA7-F075690C94A2}&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B14331EB-5AE8-4A55-9C6F-8D8EE433BD4C}" w:val=" ADDIN NE.Ref.{B14331EB-5AE8-4A55-9C6F-8D8EE433BD4C}&lt;Citation&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9366970&lt;/_accessed&gt;&lt;_created&gt;57975140&lt;/_created&gt;&lt;_date_display&gt;2010_x000d__x000a_FEB 15&lt;/_date_display&gt;&lt;_isbn&gt;0013-936X&lt;/_isbn&gt;&lt;_issue&gt;4&lt;/_issue&gt;&lt;_journal&gt;Environmental Science &amp;amp;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9366970&lt;/_modified&gt;&lt;_number&gt;ISI:000274347800006&lt;/_number&gt;&lt;_pages&gt;1177-1184&lt;/_pages&gt;&lt;_type_work&gt;Article&lt;/_type_work&gt;&lt;_volume&gt;44&lt;/_volume&gt;&lt;/Details&gt;&lt;Extra&gt;&lt;DBUID&gt;{502CA3C0-22CA-4511-973C-E02D6A2BD88D}&lt;/DBUID&gt;&lt;/Extra&gt;&lt;/Item&gt;&lt;/References&gt;&lt;/Group&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366984&lt;/_accessed&gt;&lt;_created&gt;58014525&lt;/_created&gt;&lt;_issue&gt;17&lt;/_issue&gt;&lt;_journal&gt;Environmental Science &amp;amp; Technology&lt;/_journal&gt;&lt;_language&gt;English&lt;/_language&gt;&lt;_marked_fields&gt;title;SUB|19|1 _x000d__x000a_&lt;/_marked_fields&gt;&lt;_modified&gt;59366984&lt;/_modified&gt;&lt;_pages&gt;5939-5944&lt;/_pages&gt;&lt;_volume&gt;41&lt;/_volume&gt;&lt;/Details&gt;&lt;Extra&gt;&lt;DBUID&gt;{502CA3C0-22CA-4511-973C-E02D6A2BD88D}&lt;/DBUID&gt;&lt;/Extra&gt;&lt;/Item&gt;&lt;/References&gt;&lt;/Group&gt;&lt;/Citation&gt;_x000a_"/>
    <w:docVar w:name="NE.Ref{B2DCEB2F-C2EC-4253-BA3A-E47EC7D4C4E9}" w:val=" ADDIN NE.Ref.{B2DCEB2F-C2EC-4253-BA3A-E47EC7D4C4E9}&lt;Citation&gt;&lt;Group&gt;&lt;References&gt;&lt;Item&gt;&lt;ID&gt;1184&lt;/ID&gt;&lt;UID&gt;{EFA54CED-DC84-47C6-BB78-800314B311F9}&lt;/UID&gt;&lt;Title&gt;中华人民共和国气候变化初始国家信息通报&lt;/Title&gt;&lt;Template&gt;Book&lt;/Template&gt;&lt;Star&gt;0&lt;/Star&gt;&lt;Tag&gt;0&lt;/Tag&gt;&lt;Author&gt;中国国家气候变化对策协调小组&lt;/Author&gt;&lt;Year&gt;2004&lt;/Year&gt;&lt;Details&gt;&lt;_accessed&gt;58020010&lt;/_accessed&gt;&lt;_created&gt;58020010&lt;/_created&gt;&lt;_language&gt;Chinese&lt;/_language&gt;&lt;_modified&gt;58020010&lt;/_modified&gt;&lt;_place_published&gt;北京&lt;/_place_published&gt;&lt;_publisher&gt;中国计划出版社&lt;/_publisher&gt;&lt;/Details&gt;&lt;Extra&gt;&lt;DBUID&gt;{502CA3C0-22CA-4511-973C-E02D6A2BD88D}&lt;/DBUID&gt;&lt;/Extra&gt;&lt;/Item&gt;&lt;/References&gt;&lt;/Group&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Citation&gt;_x000a_"/>
    <w:docVar w:name="NE.Ref{B404D8B5-81A5-4C4E-8EF8-B29FDE778B92}" w:val=" ADDIN NE.Ref.{B404D8B5-81A5-4C4E-8EF8-B29FDE778B92}&lt;Citation SecTmpl=&quot;1&quot;&gt;&lt;Group&gt;&lt;References&gt;&lt;Item&gt;&lt;ID&gt;1216&lt;/ID&gt;&lt;UID&gt;{D70B3F8D-BCC4-44A6-9646-A7EEEFE1C595}&lt;/UID&gt;&lt;Title&gt;The embodiment of carbon in imports of manufactured products—Implications for international agreements on greenhouse gas emissions&lt;/Title&gt;&lt;Template&gt;Journal Article&lt;/Template&gt;&lt;Star&gt;0&lt;/Star&gt;&lt;Tag&gt;0&lt;/Tag&gt;&lt;Author&gt;Wyckoff, A W; Roop, J M&lt;/Author&gt;&lt;Year&gt;1994&lt;/Year&gt;&lt;Details&gt;&lt;_accessed&gt;58750165&lt;/_accessed&gt;&lt;_created&gt;58750165&lt;/_created&gt;&lt;_issue&gt;3&lt;/_issue&gt;&lt;_journal&gt;Energy Policy&lt;/_journal&gt;&lt;_modified&gt;58750165&lt;/_modified&gt;&lt;_pages&gt;187-194&lt;/_pages&gt;&lt;_volume&gt;22&lt;/_volume&gt;&lt;/Details&gt;&lt;Extra&gt;&lt;DBUID&gt;{502CA3C0-22CA-4511-973C-E02D6A2BD88D}&lt;/DBUID&gt;&lt;/Extra&gt;&lt;/Item&gt;&lt;/References&gt;&lt;/Group&gt;&lt;Group&gt;&lt;References&gt;&lt;Item&gt;&lt;ID&gt;1215&lt;/ID&gt;&lt;UID&gt;{1963DBE9-950D-4D35-B8C2-FE66ABE5BBB4}&lt;/UID&gt;&lt;Title&gt;The embodiment of carbon associated with Brazilian imports and exports&lt;/Title&gt;&lt;Template&gt;Journal Article&lt;/Template&gt;&lt;Star&gt;0&lt;/Star&gt;&lt;Tag&gt;0&lt;/Tag&gt;&lt;Author&gt;Schaeffer, R; Leal De Sá, A&lt;/Author&gt;&lt;Year&gt;1996&lt;/Year&gt;&lt;Details&gt;&lt;_accessed&gt;58750156&lt;/_accessed&gt;&lt;_created&gt;58750156&lt;/_created&gt;&lt;_issue&gt;6-8&lt;/_issue&gt;&lt;_journal&gt;Energy Conversion and Management&lt;/_journal&gt;&lt;_modified&gt;58750156&lt;/_modified&gt;&lt;_pages&gt;955-960&lt;/_pages&gt;&lt;_volume&gt;37&lt;/_volume&gt;&lt;/Details&gt;&lt;Extra&gt;&lt;DBUID&gt;{502CA3C0-22CA-4511-973C-E02D6A2BD88D}&lt;/DBUID&gt;&lt;/Extra&gt;&lt;/Item&gt;&lt;/References&gt;&lt;/Group&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Group&gt;&lt;References&gt;&lt;Item&gt;&lt;ID&gt;1217&lt;/ID&gt;&lt;UID&gt;{DBB42579-9C5B-453B-9481-1D6A3389A152}&lt;/UID&gt;&lt;Title&gt;Accounting for changes in Australian carbon dioxide emissions&lt;/Title&gt;&lt;Template&gt;Journal Article&lt;/Template&gt;&lt;Star&gt;0&lt;/Star&gt;&lt;Tag&gt;0&lt;/Tag&gt;&lt;Author&gt;Common, M S; Salma, U&lt;/Author&gt;&lt;Year&gt;1992&lt;/Year&gt;&lt;Details&gt;&lt;_accessed&gt;58750167&lt;/_accessed&gt;&lt;_created&gt;58750167&lt;/_created&gt;&lt;_issue&gt;3&lt;/_issue&gt;&lt;_journal&gt;Energy Economics&lt;/_journal&gt;&lt;_modified&gt;58750167&lt;/_modified&gt;&lt;_pages&gt;217–225&lt;/_pages&gt;&lt;_volume&gt;14&lt;/_volume&gt;&lt;/Details&gt;&lt;Extra&gt;&lt;DBUID&gt;{502CA3C0-22CA-4511-973C-E02D6A2BD88D}&lt;/DBUID&gt;&lt;/Extra&gt;&lt;/Item&gt;&lt;/References&gt;&lt;/Group&gt;&lt;/Citation&gt;_x000a_"/>
    <w:docVar w:name="NE.Ref{B4F329FD-A995-4C9C-A752-46140BE5D883}" w:val=" ADDIN NE.Ref.{B4F329FD-A995-4C9C-A752-46140BE5D883}&lt;Citation SecTmpl=&quot;1&quot;&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B54669BC-8108-49F6-8436-74501BF12E35}" w:val=" ADDIN NE.Ref.{B54669BC-8108-49F6-8436-74501BF12E35}&lt;Citation&gt;&lt;Group&gt;&lt;References&gt;&lt;Item&gt;&lt;ID&gt;1271&lt;/ID&gt;&lt;UID&gt;{50B02034-81E8-4BC8-AB31-D7CBA24DB37C}&lt;/UID&gt;&lt;Title&gt;投入产出技术&lt;/Title&gt;&lt;Template&gt;Book&lt;/Template&gt;&lt;Star&gt;0&lt;/Star&gt;&lt;Tag&gt;0&lt;/Tag&gt;&lt;Author&gt;陈锡康; 杨翠红&lt;/Author&gt;&lt;Year&gt;2011&lt;/Year&gt;&lt;Details&gt;&lt;_accessed&gt;59281461&lt;/_accessed&gt;&lt;_created&gt;59281461&lt;/_created&gt;&lt;_language&gt;Chinese&lt;/_language&gt;&lt;_modified&gt;59281461&lt;/_modified&gt;&lt;_place_published&gt;北京&lt;/_place_published&gt;&lt;_publisher&gt;科学出版社&lt;/_publisher&gt;&lt;/Details&gt;&lt;Extra&gt;&lt;DBUID&gt;{502CA3C0-22CA-4511-973C-E02D6A2BD88D}&lt;/DBUID&gt;&lt;/Extra&gt;&lt;/Item&gt;&lt;/References&gt;&lt;/Group&gt;&lt;/Citation&gt;_x000a_"/>
    <w:docVar w:name="NE.Ref{B6358F5E-A6B7-4218-8886-E18DA7480D1C}" w:val=" ADDIN NE.Ref.{B6358F5E-A6B7-4218-8886-E18DA7480D1C}&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B85A6DB5-25B9-40D0-B38B-DA8B507EA51F}" w:val=" ADDIN NE.Ref.{B85A6DB5-25B9-40D0-B38B-DA8B507EA51F}&lt;Citation&gt;&lt;Group&gt;&lt;References&gt;&lt;Item&gt;&lt;ID&gt;1173&lt;/ID&gt;&lt;UID&gt;{F21B0C6D-BF3E-4DA5-B4DE-B53AFA25D34B}&lt;/UID&gt;&lt;Title&gt;中国温室气体清单研究&lt;/Title&gt;&lt;Template&gt;Book&lt;/Template&gt;&lt;Star&gt;0&lt;/Star&gt;&lt;Tag&gt;0&lt;/Tag&gt;&lt;Author&gt;国家气候变化对策协调小组办公室; 国家发展和改革委员会能源研究所&lt;/Author&gt;&lt;Year&gt;2007&lt;/Year&gt;&lt;Details&gt;&lt;_accessed&gt;58205461&lt;/_accessed&gt;&lt;_created&gt;58014469&lt;/_created&gt;&lt;_language&gt;Chinese&lt;/_language&gt;&lt;_modified&gt;58014469&lt;/_modified&gt;&lt;_place_published&gt;北京&lt;/_place_published&gt;&lt;_publisher&gt;中国环境科学出版社&lt;/_publisher&gt;&lt;/Details&gt;&lt;Extra&gt;&lt;DBUID&gt;{502CA3C0-22CA-4511-973C-E02D6A2BD88D}&lt;/DBUID&gt;&lt;/Extra&gt;&lt;/Item&gt;&lt;/References&gt;&lt;/Group&gt;&lt;/Citation&gt;_x000a_"/>
    <w:docVar w:name="NE.Ref{B8F6BFE1-11A0-4919-A852-56F6C82DC7AE}" w:val=" ADDIN NE.Ref.{B8F6BFE1-11A0-4919-A852-56F6C82DC7AE}&lt;Citation&gt;&lt;Group&gt;&lt;References&gt;&lt;Item&gt;&lt;ID&gt;1138&lt;/ID&gt;&lt;UID&gt;{ACFB3B10-A393-43BE-A88F-DA729CC54663}&lt;/UID&gt;&lt;Title&gt;Using LMDI method to analyze the change of China&amp;apos;s industrial CO2 emissions from final fuel use: An empirical analysis&lt;/Title&gt;&lt;Template&gt;Journal Article&lt;/Template&gt;&lt;Star&gt;0&lt;/Star&gt;&lt;Tag&gt;0&lt;/Tag&gt;&lt;Author&gt;Liu, Lan-Cui; Fan, Ying; Wu, Gang; Wei, Yi-Ming&lt;/Author&gt;&lt;Year&gt;2007&lt;/Year&gt;&lt;Details&gt;&lt;_accessed&gt;58591293&lt;/_accessed&gt;&lt;_alternate_title&gt;Energy Policy&lt;/_alternate_title&gt;&lt;_created&gt;58212651&lt;/_created&gt;&lt;_date_display&gt;2007/11//&lt;/_date_display&gt;&lt;_isbn&gt;0301-4215&lt;/_isbn&gt;&lt;_issue&gt;11&lt;/_issue&gt;&lt;_journal&gt;Energy Policy&lt;/_journal&gt;&lt;_keywords&gt;Industrial CO2 emission; Energy intensity change; Industrial structural activity&lt;/_keywords&gt;&lt;_marked_fields&gt;title;SUB|65|1 _x000d__x000a_&lt;/_marked_fields&gt;&lt;_modified&gt;58441623&lt;/_modified&gt;&lt;_pages&gt;5892-5900&lt;/_pages&gt;&lt;_url&gt;http://www.sciencedirect.com/science/article/B6V2W-4PHJH12-4/2/a2a91b170d2d0aa6f307b5a24a7efc12&lt;/_url&gt;&lt;_volume&gt;35&lt;/_volume&gt;&lt;/Details&gt;&lt;Extra&gt;&lt;DBUID&gt;{502CA3C0-22CA-4511-973C-E02D6A2BD88D}&lt;/DBUID&gt;&lt;/Extra&gt;&lt;/Item&gt;&lt;/References&gt;&lt;/Group&gt;&lt;Group&gt;&lt;References&gt;&lt;Item&gt;&lt;ID&gt;1200&lt;/ID&gt;&lt;UID&gt;{83090FB4-7FB9-4447-A8F6-8CD1DAE5AB08}&lt;/UID&gt;&lt;Title&gt;Properties and linkages of some index decomposition analysis methods&lt;/Title&gt;&lt;Template&gt;Journal Article&lt;/Template&gt;&lt;Star&gt;0&lt;/Star&gt;&lt;Tag&gt;0&lt;/Tag&gt;&lt;Author&gt;Ang, B W; Huang, H C; Mu, A R&lt;/Author&gt;&lt;Year&gt;2009&lt;/Year&gt;&lt;Details&gt;&lt;_accessed&gt;58745752&lt;/_accessed&gt;&lt;_created&gt;58745750&lt;/_created&gt;&lt;_db_provider&gt;Elesvier&lt;/_db_provider&gt;&lt;_doi&gt;10.1016/j.enpol.2009.06.017&lt;/_doi&gt;&lt;_issue&gt;11&lt;/_issue&gt;&lt;_journal&gt;Energy Policy&lt;/_journal&gt;&lt;_keywords&gt;Index decomposition analysis; LMDI; Shapley value&lt;/_keywords&gt;&lt;_language&gt;english&lt;/_language&gt;&lt;_modified&gt;58745753&lt;/_modified&gt;&lt;_pages&gt;4624-4632&lt;/_pages&gt;&lt;_url&gt;http://www.sciencedirect.com/science/article/pii/S0301421509004327&lt;/_url&gt;&lt;_volume&gt;37&lt;/_volume&gt;&lt;/Details&gt;&lt;Extra&gt;&lt;DBUID&gt;{502CA3C0-22CA-4511-973C-E02D6A2BD88D}&lt;/DBUID&gt;&lt;/Extra&gt;&lt;/Item&gt;&lt;/References&gt;&lt;/Group&gt;&lt;Group&gt;&lt;References&gt;&lt;Item&gt;&lt;ID&gt;424&lt;/ID&gt;&lt;UID&gt;{ACDAC29C-582B-4354-A15A-4CB350713506}&lt;/UID&gt;&lt;Title&gt;中国能源消费碳排放变化的因素分解及实证分析&lt;/Title&gt;&lt;Template&gt;Journal Article&lt;/Template&gt;&lt;Star&gt;0&lt;/Star&gt;&lt;Tag&gt;0&lt;/Tag&gt;&lt;Author&gt;朱勤; 彭希哲; 陆志明; 吴开亚&lt;/Author&gt;&lt;Year&gt;2009&lt;/Year&gt;&lt;Details&gt;&lt;_accessed&gt;58750483&lt;/_accessed&gt;&lt;_issue&gt;12&lt;/_issue&gt;&lt;_journal&gt;资源科学&lt;/_journal&gt;&lt;_modified&gt;58750484&lt;/_modified&gt;&lt;_pages&gt;2072-2079&lt;/_pages&gt;&lt;_volume&gt;31&lt;/_volume&gt;&lt;/Details&gt;&lt;Extra&gt;&lt;DBUID&gt;{502CA3C0-22CA-4511-973C-E02D6A2BD88D}&lt;/DBUID&gt;&lt;/Extra&gt;&lt;/Item&gt;&lt;/References&gt;&lt;/Group&gt;&lt;Group&gt;&lt;References&gt;&lt;Item&gt;&lt;ID&gt;1202&lt;/ID&gt;&lt;UID&gt;{A016BAA9-E81A-494D-B9BA-E92D9CB47E4C}&lt;/UID&gt;&lt;Title&gt;A decomposition analysis of CO2 emissions in the United States&lt;/Title&gt;&lt;Template&gt;Journal Article&lt;/Template&gt;&lt;Star&gt;0&lt;/Star&gt;&lt;Tag&gt;0&lt;/Tag&gt;&lt;Author&gt;Vinuya, Ferdinand; DiFurio, Ferdinand; Sandoval, Erica&lt;/Author&gt;&lt;Year&gt;2010&lt;/Year&gt;&lt;Details&gt;&lt;_accessed&gt;58801603&lt;/_accessed&gt;&lt;_created&gt;58745765&lt;/_created&gt;&lt;_issue&gt;10&lt;/_issue&gt;&lt;_journal&gt;Applied Economics Letters&lt;/_journal&gt;&lt;_language&gt;English&lt;/_language&gt;&lt;_marked_fields&gt;title;SUB|31|1 _x000d__x000a_&lt;/_marked_fields&gt;&lt;_modified&gt;58801604&lt;/_modified&gt;&lt;_pages&gt; 925-931&lt;/_pages&gt;&lt;_volume&gt;17&lt;/_volume&gt;&lt;/Details&gt;&lt;Extra&gt;&lt;DBUID&gt;{502CA3C0-22CA-4511-973C-E02D6A2BD88D}&lt;/DBUID&gt;&lt;/Extra&gt;&lt;/Item&gt;&lt;/References&gt;&lt;/Group&gt;&lt;/Citation&gt;_x000a_"/>
    <w:docVar w:name="NE.Ref{B930164E-73A7-4EE7-99EB-184F84BCF522}" w:val=" ADDIN NE.Ref.{B930164E-73A7-4EE7-99EB-184F84BCF522}&lt;Citation&gt;&lt;Group&gt;&lt;References&gt;&lt;Item&gt;&lt;ID&gt;1173&lt;/ID&gt;&lt;UID&gt;{F21B0C6D-BF3E-4DA5-B4DE-B53AFA25D34B}&lt;/UID&gt;&lt;Title&gt;中国温室气体清单研究&lt;/Title&gt;&lt;Template&gt;Book&lt;/Template&gt;&lt;Star&gt;0&lt;/Star&gt;&lt;Tag&gt;0&lt;/Tag&gt;&lt;Author&gt;国家气候变化对策协调小组办公室; 国家发改委能源研究所&lt;/Author&gt;&lt;Year&gt;2007&lt;/Year&gt;&lt;Details&gt;&lt;_accessed&gt;59341898&lt;/_accessed&gt;&lt;_created&gt;58014469&lt;/_created&gt;&lt;_language&gt;Chinese&lt;/_language&gt;&lt;_modified&gt;59341898&lt;/_modified&gt;&lt;_place_published&gt;北京&lt;/_place_published&gt;&lt;_publisher&gt;中国环境科学出版社&lt;/_publisher&gt;&lt;/Details&gt;&lt;Extra&gt;&lt;DBUID&gt;{502CA3C0-22CA-4511-973C-E02D6A2BD88D}&lt;/DBUID&gt;&lt;/Extra&gt;&lt;/Item&gt;&lt;/References&gt;&lt;/Group&gt;&lt;/Citation&gt;_x000a_"/>
    <w:docVar w:name="NE.Ref{B9F67617-1965-450F-AB80-9A1C5A07D3C0}" w:val=" ADDIN NE.Ref.{B9F67617-1965-450F-AB80-9A1C5A07D3C0}&lt;Citation SecTmpl=&quot;1&quot;&gt;&lt;Group&gt;&lt;References&gt;&lt;Item&gt;&lt;ID&gt;1298&lt;/ID&gt;&lt;UID&gt;{3EBF9D7F-2E83-4968-A64D-D07096B6FD2E}&lt;/UID&gt;&lt;Title&gt;CO2 emissions embodied in China–US trade: Input–output analysis based on the emergy/dollar ratio&lt;/Title&gt;&lt;Template&gt;Journal Article&lt;/Template&gt;&lt;Star&gt;0&lt;/Star&gt;&lt;Tag&gt;0&lt;/Tag&gt;&lt;Author&gt;Du, Huibin; Guo, Jianghong; Mao, Guozhu; Smith, Alexander M; Wang, Xuxu; Wang, Yuan&lt;/Author&gt;&lt;Year&gt;2011&lt;/Year&gt;&lt;Details&gt;&lt;_accessed&gt;59336119&lt;/_accessed&gt;&lt;_alternate_title&gt;Energy Policy_x000d__x000a_Sustainability of biofuels&lt;/_alternate_title&gt;&lt;_created&gt;59332972&lt;/_created&gt;&lt;_date_display&gt;2011/10//&lt;/_date_display&gt;&lt;_db_updated&gt;ScienceDirect&lt;/_db_updated&gt;&lt;_isbn&gt;0301-4215&lt;/_isbn&gt;&lt;_issue&gt;10&lt;/_issue&gt;&lt;_journal&gt;Energy Policy&lt;/_journal&gt;&lt;_keywords&gt;Input–output analysis; Emergy/dollar ratio; Structural decomposition analysis&lt;/_keywords&gt;&lt;_marked_fields&gt;title;SUB|3|1 _x000d__x000a_&lt;/_marked_fields&gt;&lt;_modified&gt;59332975&lt;/_modified&gt;&lt;_pages&gt;5980-5987&lt;/_pages&gt;&lt;_url&gt;http://www.sciencedirect.com/science/article/pii/S0301421511005167&lt;/_url&gt;&lt;_volume&gt;39&lt;/_volume&gt;&lt;/Details&gt;&lt;Extra&gt;&lt;DBUID&gt;{502CA3C0-22CA-4511-973C-E02D6A2BD88D}&lt;/DBUID&gt;&lt;/Extra&gt;&lt;/Item&gt;&lt;/References&gt;&lt;/Group&gt;&lt;/Citation&gt;_x000a_"/>
    <w:docVar w:name="NE.Ref{B9FB6911-535D-4C4E-BE92-0C3A733202FD}" w:val=" ADDIN NE.Ref.{B9FB6911-535D-4C4E-BE92-0C3A733202FD}&lt;Citation&gt;&lt;Group&gt;&lt;References&gt;&lt;Item&gt;&lt;ID&gt;156&lt;/ID&gt;&lt;UID&gt;{715F32E1-CD6C-40A3-AC97-E40FCF1A854A}&lt;/UID&gt;&lt;Title&gt;Global, Regional, and National Fossil-Fuel CO2 Emissions&lt;/Title&gt;&lt;Template&gt;Electronic Source&lt;/Template&gt;&lt;Star&gt;0&lt;/Star&gt;&lt;Tag&gt;0&lt;/Tag&gt;&lt;Author&gt;Boden, T A; Marland, G; Andres, R J&lt;/Author&gt;&lt;Year&gt;2010&lt;/Year&gt;&lt;Details&gt;&lt;_accessed&gt;58535171&lt;/_accessed&gt;&lt;_created&gt;58031997&lt;/_created&gt;&lt;_date&gt;58082400&lt;/_date&gt;&lt;_date_display&gt;2010&lt;/_date_display&gt;&lt;_doi&gt;10.3334/CDIAC/00001&lt;/_doi&gt;&lt;_marked_fields&gt;title;SUB|46|1 _x000d__x000a_&lt;/_marked_fields&gt;&lt;_modified&gt;58535173&lt;/_modified&gt;&lt;_number&gt;2011-2-12&lt;/_number&gt;&lt;_place_published&gt;Oak Ridge, Tenn., U.S.A.&lt;/_place_published&gt;&lt;_publisher&gt;Carbon Dioxide Information Analysis Center, Oak Ridge National Laboratory, U.S. Department of Energy&lt;/_publisher&gt;&lt;_url&gt;http://cdiac.ornl.gov/ftp/trends/emissions/prc.dat&lt;/_url&gt;&lt;/Details&gt;&lt;Extra&gt;&lt;DBUID&gt;{502CA3C0-22CA-4511-973C-E02D6A2BD88D}&lt;/DBUID&gt;&lt;/Extra&gt;&lt;/Item&gt;&lt;/References&gt;&lt;/Group&gt;&lt;/Citation&gt;_x000a_"/>
    <w:docVar w:name="NE.Ref{BC6FAE2E-6BBC-43F0-B8E1-87C8C8CD19B0}" w:val=" ADDIN NE.Ref.{BC6FAE2E-6BBC-43F0-B8E1-87C8C8CD19B0}&lt;Citation&gt;&lt;Group&gt;&lt;References&gt;&lt;Item&gt;&lt;ID&gt;1266&lt;/ID&gt;&lt;UID&gt;{0A92B12B-2F52-4F7B-9C05-384C9101E1A4}&lt;/UID&gt;&lt;Title&gt;Global, Regional, and National Fossil-Fuel CO2 Emissions&lt;/Title&gt;&lt;Template&gt;Web Page&lt;/Template&gt;&lt;Star&gt;0&lt;/Star&gt;&lt;Tag&gt;0&lt;/Tag&gt;&lt;Author&gt;Boden, T A; Marland, G; Andres, R J&lt;/Author&gt;&lt;Year&gt;2011&lt;/Year&gt;&lt;Details&gt;&lt;_accessed&gt;59393430&lt;/_accessed&gt;&lt;_created&gt;59085646&lt;/_created&gt;&lt;_date&gt;58608000&lt;/_date&gt;&lt;_date_display&gt;2011&lt;/_date_display&gt;&lt;_doi&gt;10.3334/CDIAC/00001_V2011&lt;/_doi&gt;&lt;_issue&gt;2012-5-4&lt;/_issue&gt;&lt;_marked_fields&gt;title;SUB|46|1 _x000d__x000a_&lt;/_marked_fields&gt;&lt;_modified&gt;59393430&lt;/_modified&gt;&lt;_place_published&gt;Oak Ridge, Tenn., U.S.A.&lt;/_place_published&gt;&lt;_publisher&gt;Carbon Dioxide Information Analysis Center, Oak Ridge National Laboratory, U.S. Department of Energy&lt;/_publisher&gt;&lt;_url&gt;DOI 10.3334/CDIAC/00001_V2011&lt;/_url&gt;&lt;_volume&gt;2012&lt;/_volume&gt;&lt;/Details&gt;&lt;Extra&gt;&lt;DBUID&gt;{502CA3C0-22CA-4511-973C-E02D6A2BD88D}&lt;/DBUID&gt;&lt;/Extra&gt;&lt;/Item&gt;&lt;/References&gt;&lt;/Group&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Group&gt;&lt;References&gt;&lt;Item&gt;&lt;ID&gt;1265&lt;/ID&gt;&lt;UID&gt;{AE6AD938-C28A-4E25-BE76-2842DB822716}&lt;/UID&gt;&lt;Title&gt;Climate Analysis Indicators Tool (CAIT) Version 9.0&lt;/Title&gt;&lt;Template&gt;Web Page&lt;/Template&gt;&lt;Star&gt;0&lt;/Star&gt;&lt;Tag&gt;0&lt;/Tag&gt;&lt;Author&gt;WRI&lt;/Author&gt;&lt;Year&gt;2011&lt;/Year&gt;&lt;Details&gt;&lt;_accessed&gt;59393438&lt;/_accessed&gt;&lt;_created&gt;59085610&lt;/_created&gt;&lt;_date&gt;58871520&lt;/_date&gt;&lt;_date_display&gt;2011-12-8&lt;/_date_display&gt;&lt;_issue&gt;2012-4-25&lt;/_issue&gt;&lt;_language&gt;English&lt;/_language&gt;&lt;_modified&gt;59393438&lt;/_modified&gt;&lt;_number&gt;2012-5-4&lt;/_number&gt;&lt;_place_published&gt;Washington, DC&lt;/_place_published&gt;&lt;_publisher&gt;World Resources Institute&lt;/_publisher&gt;&lt;_url&gt;http://cait.wri.org&lt;/_url&gt;&lt;_volume&gt;2012&lt;/_volume&gt;&lt;/Details&gt;&lt;Extra&gt;&lt;DBUID&gt;{502CA3C0-22CA-4511-973C-E02D6A2BD88D}&lt;/DBUID&gt;&lt;/Extra&gt;&lt;/Item&gt;&lt;/References&gt;&lt;/Group&gt;&lt;Group&gt;&lt;References&gt;&lt;Item&gt;&lt;ID&gt;1267&lt;/ID&gt;&lt;UID&gt;{2E7658A8-373E-4293-9044-D7160A14937A}&lt;/UID&gt;&lt;Title&gt;International Energy Statistics - CO2 Emissions&lt;/Title&gt;&lt;Template&gt;Web Page&lt;/Template&gt;&lt;Star&gt;0&lt;/Star&gt;&lt;Tag&gt;0&lt;/Tag&gt;&lt;Author&gt;USEIA&lt;/Author&gt;&lt;Year&gt;2011&lt;/Year&gt;&lt;Details&gt;&lt;_accessed&gt;59393438&lt;/_accessed&gt;&lt;_created&gt;59085665&lt;/_created&gt;&lt;_date&gt;58659840&lt;/_date&gt;&lt;_issue&gt;2012-5-4&lt;/_issue&gt;&lt;_marked_fields&gt;title;SUB|37|1 _x000d__x000a_&lt;/_marked_fields&gt;&lt;_modified&gt;59393438&lt;/_modified&gt;&lt;_place_published&gt;Washington, DC&lt;/_place_published&gt;&lt;_publisher&gt;U.S. Energy Information Administration&lt;/_publisher&gt;&lt;_url&gt;http://tonto.eia.doe.gov/cfapps/ipdbproject/IEDIndex3.cfm?tid=90&amp;amp;pid=44&amp;amp;aid=8&lt;/_url&gt;&lt;_volume&gt;2012&lt;/_volume&gt;&lt;/Details&gt;&lt;Extra&gt;&lt;DBUID&gt;{502CA3C0-22CA-4511-973C-E02D6A2BD88D}&lt;/DBUID&gt;&lt;/Extra&gt;&lt;/Item&gt;&lt;/References&gt;&lt;/Group&gt;&lt;/Citation&gt;_x000a_"/>
    <w:docVar w:name="NE.Ref{BE94DE06-4BC1-403B-9DF6-D10B15EF54D0}" w:val=" ADDIN NE.Ref.{BE94DE06-4BC1-403B-9DF6-D10B15EF54D0}&lt;Citation&gt;&lt;Group&gt;&lt;References&gt;&lt;Item&gt;&lt;ID&gt;1013&lt;/ID&gt;&lt;UID&gt;{DD0344DF-835C-4A02-89CA-C4529531BD1A}&lt;/UID&gt;&lt;Title&gt;From production-based to consumption-based national emission inventories&lt;/Title&gt;&lt;Template&gt;Journal Article&lt;/Template&gt;&lt;Star&gt;0&lt;/Star&gt;&lt;Tag&gt;0&lt;/Tag&gt;&lt;Author&gt;Peters, G P&lt;/Author&gt;&lt;Year&gt;2008&lt;/Year&gt;&lt;Details&gt;&lt;_accessed&gt;58801602&lt;/_accessed&gt;&lt;_created&gt;57975140&lt;/_created&gt;&lt;_date_display&gt;2008_x000d__x000a_MAR 15&lt;/_date_display&gt;&lt;_isbn&gt;0921-8009&lt;/_isbn&gt;&lt;_issue&gt;1&lt;/_issue&gt;&lt;_journal&gt;Ecological Economics&lt;/_journal&gt;&lt;_keywords&gt;emission inventory; carbon leakage; shared responsibility; multi-regional input-output; Kyoto Protocol; clean development mechanism; GLOBAL ENVIRONMENTAL-IMPACT; GREENHOUSE-GAS EMISSIONS; CONSUMER RESPONSIBILITY; CO2 EMISSIONS; INPUT-OUTPUT; TRADE; POLLUTION; IMPORTS; CARBON; SYSTEM&lt;/_keywords&gt;&lt;_language&gt;English&lt;/_language&gt;&lt;_modified&gt;58801603&lt;/_modified&gt;&lt;_number&gt;ISI:000254423100002&lt;/_number&gt;&lt;_pages&gt;13-23&lt;/_pages&gt;&lt;_type_work&gt;Article&lt;/_type_work&gt;&lt;_volume&gt;65&lt;/_volume&gt;&lt;/Details&gt;&lt;Extra&gt;&lt;DBUID&gt;{502CA3C0-22CA-4511-973C-E02D6A2BD88D}&lt;/DBUID&gt;&lt;/Extra&gt;&lt;/Item&gt;&lt;/References&gt;&lt;/Group&gt;&lt;/Citation&gt;_x000a_"/>
    <w:docVar w:name="NE.Ref{BEF14D0B-8F4F-4752-B1F9-E744BDD78CFB}" w:val=" ADDIN NE.Ref.{BEF14D0B-8F4F-4752-B1F9-E744BDD78CFB}&lt;Citation SecTmpl=&quot;1&quot;&gt;&lt;Group&gt;&lt;References&gt;&lt;Item&gt;&lt;ID&gt;1122&lt;/ID&gt;&lt;UID&gt;{D9CC8528-4885-4577-A28E-C410C24C1CA3}&lt;/UID&gt;&lt;Title&gt;中国1992-2005年可比价投入产出序列表及分析&lt;/Title&gt;&lt;Template&gt;Book&lt;/Template&gt;&lt;Star&gt;0&lt;/Star&gt;&lt;Tag&gt;0&lt;/Tag&gt;&lt;Author&gt;刘起运; 彭志龙&lt;/Author&gt;&lt;Year&gt;2010&lt;/Year&gt;&lt;Details&gt;&lt;_accessed&gt;58205436&lt;/_accessed&gt;&lt;_created&gt;58205436&lt;/_created&gt;&lt;_language&gt;Chinese&lt;/_language&gt;&lt;_modified&gt;58205436&lt;/_modified&gt;&lt;_place_published&gt;北京&lt;/_place_published&gt;&lt;_publisher&gt;中国统计出版社&lt;/_publisher&gt;&lt;/Details&gt;&lt;Extra&gt;&lt;DBUID&gt;{502CA3C0-22CA-4511-973C-E02D6A2BD88D}&lt;/DBUID&gt;&lt;/Extra&gt;&lt;/Item&gt;&lt;/References&gt;&lt;/Group&gt;&lt;/Citation&gt;_x000a_"/>
    <w:docVar w:name="NE.Ref{BF214025-6583-4C86-923E-F686EFA09DED}" w:val=" ADDIN NE.Ref.{BF214025-6583-4C86-923E-F686EFA09DED}&lt;Citation SecTmpl=&quot;1&quot;&gt;&lt;Group&gt;&lt;References&gt;&lt;Item&gt;&lt;ID&gt;1249&lt;/ID&gt;&lt;UID&gt;{C5CA8642-E6A8-40E2-AE06-AC86290D890F}&lt;/UID&gt;&lt;Title&gt;中国未来人口发展趋势&lt;/Title&gt;&lt;Template&gt;Journal Article&lt;/Template&gt;&lt;Star&gt;0&lt;/Star&gt;&lt;Tag&gt;0&lt;/Tag&gt;&lt;Author&gt;陈卫&lt;/Author&gt;&lt;Year&gt;2006&lt;/Year&gt;&lt;Details&gt;&lt;_accessed&gt;59082703&lt;/_accessed&gt;&lt;_created&gt;59082703&lt;/_created&gt;&lt;_issue&gt;4&lt;/_issue&gt;&lt;_journal&gt;人口研究&lt;/_journal&gt;&lt;_language&gt;Chinese&lt;/_language&gt;&lt;_modified&gt;59082703&lt;/_modified&gt;&lt;_pages&gt;93-95&lt;/_pages&gt;&lt;_volume&gt;30&lt;/_volume&gt;&lt;/Details&gt;&lt;Extra&gt;&lt;DBUID&gt;{502CA3C0-22CA-4511-973C-E02D6A2BD88D}&lt;/DBUID&gt;&lt;/Extra&gt;&lt;/Item&gt;&lt;/References&gt;&lt;/Group&gt;&lt;/Citation&gt;_x000a_"/>
    <w:docVar w:name="NE.Ref{BF632757-6CCB-4FD7-809B-E476E7DD0D80}" w:val=" ADDIN NE.Ref.{BF632757-6CCB-4FD7-809B-E476E7DD0D80}&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BF9AAA13-EA04-4136-AD91-4C23BB576DD8}" w:val=" ADDIN NE.Ref.{BF9AAA13-EA04-4136-AD91-4C23BB576DD8}&lt;Citation SecTmpl=&quot;1&quot;&gt;&lt;Group&gt;&lt;References&gt;&lt;Item&gt;&lt;ID&gt;1357&lt;/ID&gt;&lt;UID&gt;{C88DA64F-5751-46EC-86BF-4AE21BFC6E44}&lt;/UID&gt;&lt;Title&gt;The impact of structural change on physical flows in the economy: Forecasting and backcasting&lt;/Title&gt;&lt;Template&gt;Journal Article&lt;/Template&gt;&lt;Star&gt;0&lt;/Star&gt;&lt;Tag&gt;0&lt;/Tag&gt;&lt;Author&gt;Hoekstra, Rutger; van den Bergh, Jeroen&lt;/Author&gt;&lt;Year&gt;2006&lt;/Year&gt;&lt;Details&gt;&lt;_accessed&gt;59366979&lt;/_accessed&gt;&lt;_created&gt;59361721&lt;/_created&gt;&lt;_issue&gt;4&lt;/_issue&gt;&lt;_journal&gt;Land Economics&lt;/_journal&gt;&lt;_language&gt;English&lt;/_language&gt;&lt;_modified&gt;59366979&lt;/_modified&gt;&lt;_pages&gt;582-601&lt;/_pages&gt;&lt;_volume&gt;82&lt;/_volume&gt;&lt;/Details&gt;&lt;Extra&gt;&lt;DBUID&gt;{502CA3C0-22CA-4511-973C-E02D6A2BD88D}&lt;/DBUID&gt;&lt;/Extra&gt;&lt;/Item&gt;&lt;/References&gt;&lt;/Group&gt;&lt;/Citation&gt;_x000a_"/>
    <w:docVar w:name="NE.Ref{BFAA8D54-7A5A-4D8A-978D-DAA5F2795CF4}" w:val=" ADDIN NE.Ref.{BFAA8D54-7A5A-4D8A-978D-DAA5F2795CF4}&lt;Citation SecTmpl=&quot;1&quot;&gt;&lt;Group&gt;&lt;References&gt;&lt;Item&gt;&lt;ID&gt;1217&lt;/ID&gt;&lt;UID&gt;{DBB42579-9C5B-453B-9481-1D6A3389A152}&lt;/UID&gt;&lt;Title&gt;Accounting for changes in Australian carbon dioxide emissions&lt;/Title&gt;&lt;Template&gt;Journal Article&lt;/Template&gt;&lt;Star&gt;0&lt;/Star&gt;&lt;Tag&gt;0&lt;/Tag&gt;&lt;Author&gt;Common, M S; Salma, U&lt;/Author&gt;&lt;Year&gt;1992&lt;/Year&gt;&lt;Details&gt;&lt;_accessed&gt;59085812&lt;/_accessed&gt;&lt;_created&gt;58750167&lt;/_created&gt;&lt;_issue&gt;3&lt;/_issue&gt;&lt;_journal&gt;Energy Economics&lt;/_journal&gt;&lt;_modified&gt;59085812&lt;/_modified&gt;&lt;_pages&gt;217-225&lt;/_pages&gt;&lt;_volume&gt;14&lt;/_volume&gt;&lt;/Details&gt;&lt;Extra&gt;&lt;DBUID&gt;{502CA3C0-22CA-4511-973C-E02D6A2BD88D}&lt;/DBUID&gt;&lt;/Extra&gt;&lt;/Item&gt;&lt;/References&gt;&lt;/Group&gt;&lt;Group&gt;&lt;References&gt;&lt;Item&gt;&lt;ID&gt;1216&lt;/ID&gt;&lt;UID&gt;{D70B3F8D-BCC4-44A6-9646-A7EEEFE1C595}&lt;/UID&gt;&lt;Title&gt;The embodiment of carbon in imports of manufactured products-Implications for international agreements on greenhouse gas emissions&lt;/Title&gt;&lt;Template&gt;Journal Article&lt;/Template&gt;&lt;Star&gt;0&lt;/Star&gt;&lt;Tag&gt;0&lt;/Tag&gt;&lt;Author&gt;Wyckoff, A W; Roop, J M&lt;/Author&gt;&lt;Year&gt;1994&lt;/Year&gt;&lt;Details&gt;&lt;_accessed&gt;59085823&lt;/_accessed&gt;&lt;_created&gt;58750165&lt;/_created&gt;&lt;_issue&gt;3&lt;/_issue&gt;&lt;_journal&gt;Energy Policy&lt;/_journal&gt;&lt;_modified&gt;59085823&lt;/_modified&gt;&lt;_pages&gt;187-194&lt;/_pages&gt;&lt;_volume&gt;22&lt;/_volume&gt;&lt;/Details&gt;&lt;Extra&gt;&lt;DBUID&gt;{502CA3C0-22CA-4511-973C-E02D6A2BD88D}&lt;/DBUID&gt;&lt;/Extra&gt;&lt;/Item&gt;&lt;/References&gt;&lt;/Group&gt;&lt;Group&gt;&lt;References&gt;&lt;Item&gt;&lt;ID&gt;1215&lt;/ID&gt;&lt;UID&gt;{1963DBE9-950D-4D35-B8C2-FE66ABE5BBB4}&lt;/UID&gt;&lt;Title&gt;The embodiment of carbon associated with Brazilian imports and exports&lt;/Title&gt;&lt;Template&gt;Journal Article&lt;/Template&gt;&lt;Star&gt;0&lt;/Star&gt;&lt;Tag&gt;0&lt;/Tag&gt;&lt;Author&gt;Schaeffer, R; Leal De Sá, A&lt;/Author&gt;&lt;Year&gt;1996&lt;/Year&gt;&lt;Details&gt;&lt;_accessed&gt;58750156&lt;/_accessed&gt;&lt;_created&gt;58750156&lt;/_created&gt;&lt;_issue&gt;6-8&lt;/_issue&gt;&lt;_journal&gt;Energy Conversion and Management&lt;/_journal&gt;&lt;_modified&gt;58750156&lt;/_modified&gt;&lt;_pages&gt;955-960&lt;/_pages&gt;&lt;_volume&gt;37&lt;/_volume&gt;&lt;/Details&gt;&lt;Extra&gt;&lt;DBUID&gt;{502CA3C0-22CA-4511-973C-E02D6A2BD88D}&lt;/DBUID&gt;&lt;/Extra&gt;&lt;/Item&gt;&lt;/References&gt;&lt;/Group&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Citation&gt;_x000a_"/>
    <w:docVar w:name="NE.Ref{C0A2CFB0-371F-461B-8D6D-0755C837E782}" w:val=" ADDIN NE.Ref.{C0A2CFB0-371F-461B-8D6D-0755C837E782}&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C0C4B823-A82C-4D55-99DD-60984D442309}" w:val=" ADDIN NE.Ref.{C0C4B823-A82C-4D55-99DD-60984D442309}&lt;Citation&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C0ECF247-4F4B-414C-B89F-010F036017EB}" w:val=" ADDIN NE.Ref.{C0ECF247-4F4B-414C-B89F-010F036017EB}&lt;Citation&gt;&lt;Group&gt;&lt;References&gt;&lt;Item&gt;&lt;ID&gt;1272&lt;/ID&gt;&lt;UID&gt;{C3FFD471-6A12-4BC1-9D50-55F569E743FC}&lt;/UID&gt;&lt;Title&gt;中国统计年鉴2011&lt;/Title&gt;&lt;Template&gt;Book&lt;/Template&gt;&lt;Star&gt;0&lt;/Star&gt;&lt;Tag&gt;0&lt;/Tag&gt;&lt;Author&gt;国家统计局&lt;/Author&gt;&lt;Year&gt;2011&lt;/Year&gt;&lt;Details&gt;&lt;_publisher&gt;中国统计出版社&lt;/_publisher&gt;&lt;_language&gt;Chinese&lt;/_language&gt;&lt;_modified&gt;59285382&lt;/_modified&gt;&lt;_created&gt;59285382&lt;/_created&gt;&lt;_accessed&gt;59285382&lt;/_accessed&gt;&lt;/Details&gt;&lt;Extra&gt;&lt;DBUID&gt;{502CA3C0-22CA-4511-973C-E02D6A2BD88D}&lt;/DBUID&gt;&lt;/Extra&gt;&lt;/Item&gt;&lt;/References&gt;&lt;/Group&gt;&lt;/Citation&gt;_x000a_"/>
    <w:docVar w:name="NE.Ref{C18911F8-0B37-4CB0-9850-B2F6690F61D1}" w:val=" ADDIN NE.Ref.{C18911F8-0B37-4CB0-9850-B2F6690F61D1}&lt;Citation SecTmpl=&quot;1&quot;&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89091&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C2DC76C6-70D8-42ED-B870-F8694E4C4447}" w:val=" ADDIN NE.Ref.{C2DC76C6-70D8-42ED-B870-F8694E4C4447}&lt;Citation&gt;&lt;Group&gt;&lt;References&gt;&lt;Item&gt;&lt;ID&gt;1192&lt;/ID&gt;&lt;UID&gt;{C90D4B54-3DAD-43B5-B6A8-EDA135850285}&lt;/UID&gt;&lt;Title&gt;Environmental repercussions and the economic structure: An input-output approach&lt;/Title&gt;&lt;Template&gt;Journal Article&lt;/Template&gt;&lt;Star&gt;0&lt;/Star&gt;&lt;Tag&gt;0&lt;/Tag&gt;&lt;Author&gt;Leontief, Wassily&lt;/Author&gt;&lt;Year&gt;1970&lt;/Year&gt;&lt;Details&gt;&lt;_accessed&gt;59366981&lt;/_accessed&gt;&lt;_created&gt;58031498&lt;/_created&gt;&lt;_issue&gt;3&lt;/_issue&gt;&lt;_journal&gt;The Review of Economics and Statistics&lt;/_journal&gt;&lt;_language&gt;English&lt;/_language&gt;&lt;_modified&gt;59366981&lt;/_modified&gt;&lt;_pages&gt;262-271&lt;/_pages&gt;&lt;_volume&gt;52&lt;/_volume&gt;&lt;/Details&gt;&lt;Extra&gt;&lt;DBUID&gt;{502CA3C0-22CA-4511-973C-E02D6A2BD88D}&lt;/DBUID&gt;&lt;/Extra&gt;&lt;/Item&gt;&lt;/References&gt;&lt;/Group&gt;&lt;/Citation&gt;_x000a_"/>
    <w:docVar w:name="NE.Ref{C3FA4C28-A0DD-4357-A449-1A417EF05A4D}" w:val=" ADDIN NE.Ref.{C3FA4C28-A0DD-4357-A449-1A417EF05A4D} ADDIN NE.Ref.{C3FA4C28-A0DD-4357-A449-1A417EF05A4D}&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created&gt;58205376&lt;/_created&gt;&lt;_isbn&gt;0953-5314&lt;/_isbn&gt;&lt;_issue&gt;4&lt;/_issue&gt;&lt;_journal&gt;Economic Systems Research&lt;/_journal&gt;&lt;_modified&gt;58205376&lt;/_modified&gt;&lt;_pages&gt;307 - 324&lt;/_pages&gt;&lt;_url&gt;http://www.informaworld.com/10.1080/09535319800000023&lt;/_url&gt;&lt;_volume&gt;10&lt;/_volume&gt;&lt;/Details&gt;&lt;Extra&gt;&lt;DBUID&gt;{502CA3C0-22CA-4511-973C-E02D6A2BD88D}&lt;/DBUID&gt;&lt;/Extra&gt;&lt;/Item&gt;&lt;/References&gt;&lt;/Group&gt;&lt;/Citation&gt;_x000a_"/>
    <w:docVar w:name="NE.Ref{C420892A-74FB-4252-9567-F6C07D28EBC5}" w:val=" ADDIN NE.Ref.{C420892A-74FB-4252-9567-F6C07D28EBC5}&lt;Citation&gt;&lt;Group&gt;&lt;References&gt;&lt;Item&gt;&lt;ID&gt;1292&lt;/ID&gt;&lt;UID&gt;{9187881C-3A39-4269-845A-DE2E75BFC3D9}&lt;/UID&gt;&lt;Title&gt;An analysis of the driving forces of CO2 emissions embodied in Japan–China trade&lt;/Title&gt;&lt;Template&gt;Journal Article&lt;/Template&gt;&lt;Star&gt;0&lt;/Star&gt;&lt;Tag&gt;0&lt;/Tag&gt;&lt;Author&gt;Dong, Yanli; Ishikawa, Masanobu; Liu, Xianbing; Wang, Can&lt;/Author&gt;&lt;Year&gt;2010&lt;/Year&gt;&lt;Details&gt;&lt;_alternate_title&gt;Energy Policy_x000d__x000a_Energy Efficiency Policies and Strategies with regular papers.&lt;/_alternate_title&gt;&lt;_date_display&gt;2010/11//&lt;/_date_display&gt;&lt;_isbn&gt;0301-4215&lt;/_isbn&gt;&lt;_issue&gt;11&lt;/_issue&gt;&lt;_journal&gt;Energy Policy&lt;/_journal&gt;&lt;_keywords&gt;CO2 embodiment; Japan–China trade; Index decomposition analysis&lt;/_keywords&gt;&lt;_pages&gt;6784-6792&lt;/_pages&gt;&lt;_url&gt;http://www.sciencedirect.com/science/article/pii/S0301421510005148&lt;/_url&gt;&lt;_volume&gt;38&lt;/_volume&gt;&lt;_created&gt;59332921&lt;/_created&gt;&lt;_modified&gt;59332921&lt;/_modified&gt;&lt;_db_updated&gt;ScienceDirect&lt;/_db_updated&gt;&lt;/Details&gt;&lt;Extra&gt;&lt;DBUID&gt;{502CA3C0-22CA-4511-973C-E02D6A2BD88D}&lt;/DBUID&gt;&lt;/Extra&gt;&lt;/Item&gt;&lt;/References&gt;&lt;/Group&gt;&lt;/Citation&gt;_x000a_"/>
    <w:docVar w:name="NE.Ref{C46FE3DF-BF2C-4A57-853E-05D03C3F6712}" w:val=" ADDIN NE.Ref.{C46FE3DF-BF2C-4A57-853E-05D03C3F6712}&lt;Citation SecTmpl=&quot;1&quot;&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Citation&gt;_x000a_"/>
    <w:docVar w:name="NE.Ref{C5B067FE-F3D3-4B9A-84D6-6F9D8230F291}" w:val=" ADDIN NE.Ref.{C5B067FE-F3D3-4B9A-84D6-6F9D8230F291}&lt;Citation SecTmpl=&quot;1&quot;&gt;&lt;Group&gt;&lt;References&gt;&lt;Item&gt;&lt;ID&gt;1310&lt;/ID&gt;&lt;UID&gt;{44A66B68-49A0-4B7A-BD09-45E7CB38BF5F}&lt;/UID&gt;&lt;Title&gt;中国能源强度变化原因及投入结构的作用&lt;/Title&gt;&lt;Template&gt;Journal Article&lt;/Template&gt;&lt;Star&gt;0&lt;/Star&gt;&lt;Tag&gt;0&lt;/Tag&gt;&lt;Author&gt;夏炎; 杨翠红; 陈锡康&lt;/Author&gt;&lt;Year&gt;2010&lt;/Year&gt;&lt;Details&gt;&lt;_accessed&gt;59335728&lt;/_accessed&gt;&lt;_created&gt;59333272&lt;/_created&gt;&lt;_issue&gt;3&lt;/_issue&gt;&lt;_journal&gt;北京大学学报(自然科学版)&lt;/_journal&gt;&lt;_language&gt;Chinese&lt;/_language&gt;&lt;_modified&gt;59333272&lt;/_modified&gt;&lt;_pages&gt;442-448&lt;/_pages&gt;&lt;_volume&gt;46&lt;/_volume&gt;&lt;/Details&gt;&lt;Extra&gt;&lt;DBUID&gt;{502CA3C0-22CA-4511-973C-E02D6A2BD88D}&lt;/DBUID&gt;&lt;/Extra&gt;&lt;/Item&gt;&lt;/References&gt;&lt;/Group&gt;&lt;/Citation&gt;_x000a_"/>
    <w:docVar w:name="NE.Ref{C64B881E-04DC-4110-B723-372D2A36D813}" w:val=" ADDIN NE.Ref.{C64B881E-04DC-4110-B723-372D2A36D813}&lt;Citation SecTmpl=&quot;1&quot;&gt;&lt;Group&gt;&lt;References&gt;&lt;Item&gt;&lt;ID&gt;1136&lt;/ID&gt;&lt;UID&gt;{07E53DEB-3E06-4548-8590-ABE5324DE71B}&lt;/UID&gt;&lt;Title&gt;The drivers of Chinese CO2 emissions from 1980 to 2030&lt;/Title&gt;&lt;Template&gt;Journal Article&lt;/Template&gt;&lt;Star&gt;0&lt;/Star&gt;&lt;Tag&gt;0&lt;/Tag&gt;&lt;Author&gt;Guan, Dabo; Hubacek, Klaus; Weber, Christopher L; Peters, Glen P; Reiner, David M&lt;/Author&gt;&lt;Year&gt;2008&lt;/Year&gt;&lt;Details&gt;&lt;_accessed&gt;59345158&lt;/_accessed&gt;&lt;_alternate_title&gt;Global Environmental Change_x000d__x000a_Local evidence on vulnerabilities and adaptations to global environmental change&lt;/_alternate_title&gt;&lt;_created&gt;58202877&lt;/_created&gt;&lt;_date_display&gt;2008/10//&lt;/_date_display&gt;&lt;_isbn&gt;0959-3780&lt;/_isbn&gt;&lt;_issue&gt;4&lt;/_issue&gt;&lt;_journal&gt;Global Environmental Change&lt;/_journal&gt;&lt;_keywords&gt;CO2 emissions; China; Climate change; Sustainable consumption; Lifestyles; Input-output analysis; Structural decomposition analysis; Carbon capture and storage&lt;/_keywords&gt;&lt;_label&gt;已打&lt;/_label&gt;&lt;_marked_fields&gt;title;SUB|26|1 _x000d__x000a_&lt;/_marked_fields&gt;&lt;_modified&gt;58819127&lt;/_modified&gt;&lt;_pages&gt;626-634&lt;/_pages&gt;&lt;_url&gt;http://www.sciencedirect.com/science/article/B6VFV-4TGGCMX-1/2/af6ea9d39859bc6dde63f6767440842c&lt;/_url&gt;&lt;_volume&gt;18&lt;/_volume&gt;&lt;/Details&gt;&lt;Extra&gt;&lt;DBUID&gt;{502CA3C0-22CA-4511-973C-E02D6A2BD88D}&lt;/DBUID&gt;&lt;/Extra&gt;&lt;/Item&gt;&lt;/References&gt;&lt;/Group&gt;&lt;/Citation&gt;_x000a_"/>
    <w:docVar w:name="NE.Ref{C96F7612-5B12-4F5C-95DD-0DA7A61BA8BC}" w:val=" ADDIN NE.Ref.{C96F7612-5B12-4F5C-95DD-0DA7A61BA8BC}&lt;Citation SecTmpl=&quot;1&quot;&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828381&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C9A17EB5-0BF0-435B-88BB-D85A7EF592E9}" w:val=" ADDIN NE.Ref.{C9A17EB5-0BF0-435B-88BB-D85A7EF592E9}&lt;Citation&gt;&lt;Group&gt;&lt;References&gt;&lt;Item&gt;&lt;ID&gt;1279&lt;/ID&gt;&lt;UID&gt;{29E7CDD7-054B-4E4F-8822-717B964B5455}&lt;/UID&gt;&lt;Title&gt;Structural decomposition analysis applied to energy and emissions: Some methodological developments&lt;/Title&gt;&lt;Template&gt;Journal Article&lt;/Template&gt;&lt;Star&gt;0&lt;/Star&gt;&lt;Tag&gt;0&lt;/Tag&gt;&lt;Author&gt;Su, Bin; Ang, B W&lt;/Author&gt;&lt;Year&gt;2012&lt;/Year&gt;&lt;Details&gt;&lt;_alternate_title&gt;Energy Economics&lt;/_alternate_title&gt;&lt;_created&gt;59325732&lt;/_created&gt;&lt;_date_display&gt;2012/1//&lt;/_date_display&gt;&lt;_db_updated&gt;ScienceDirect&lt;/_db_updated&gt;&lt;_isbn&gt;0140-9883&lt;/_isbn&gt;&lt;_issue&gt;1&lt;/_issue&gt;&lt;_journal&gt;Energy Economics&lt;/_journal&gt;&lt;_keywords&gt;Input–output analysis; Structural decomposition analysis; Index decomposition analysis; Ideal decomposition; Exact decomposition&lt;/_keywords&gt;&lt;_modified&gt;59325732&lt;/_modified&gt;&lt;_pages&gt;177-188&lt;/_pages&gt;&lt;_url&gt;http://www.sciencedirect.com/science/article/pii/S0140988311002374&lt;/_url&gt;&lt;_volume&gt;34&lt;/_volume&gt;&lt;/Details&gt;&lt;Extra&gt;&lt;DBUID&gt;{502CA3C0-22CA-4511-973C-E02D6A2BD88D}&lt;/DBUID&gt;&lt;/Extra&gt;&lt;/Item&gt;&lt;/References&gt;&lt;/Group&gt;&lt;/Citation&gt;_x000a_"/>
    <w:docVar w:name="NE.Ref{CCA8CFD7-6DCF-4040-9C9F-0BC828CF95BF}" w:val=" ADDIN NE.Ref.{CCA8CFD7-6DCF-4040-9C9F-0BC828CF95BF}&lt;Citation SecTmpl=&quot;1&quot;&gt;&lt;Group&gt;&lt;References&gt;&lt;Item&gt;&lt;ID&gt;1126&lt;/ID&gt;&lt;UID&gt;{683724DC-1CE0-423B-99D2-C7D3187BCBE9}&lt;/UID&gt;&lt;Title&gt;中国二氧化碳排放增长因素分析——基于SDA分解技术&lt;/Title&gt;&lt;Template&gt;Journal Article&lt;/Template&gt;&lt;Star&gt;1&lt;/Star&gt;&lt;Tag&gt;0&lt;/Tag&gt;&lt;Author&gt;郭朝先&lt;/Author&gt;&lt;Year&gt;2010&lt;/Year&gt;&lt;Details&gt;&lt;_accessed&gt;59335766&lt;/_accessed&gt;&lt;_created&gt;58441616&lt;/_created&gt;&lt;_issue&gt;12&lt;/_issue&gt;&lt;_journal&gt;中国工业经济&lt;/_journal&gt;&lt;_language&gt;Chinese&lt;/_language&gt;&lt;_modified&gt;59335767&lt;/_modified&gt;&lt;_pages&gt;47-56&lt;/_pages&gt;&lt;/Details&gt;&lt;Extra&gt;&lt;DBUID&gt;{502CA3C0-22CA-4511-973C-E02D6A2BD88D}&lt;/DBUID&gt;&lt;/Extra&gt;&lt;/Item&gt;&lt;/References&gt;&lt;/Group&gt;&lt;/Citation&gt;_x000a_"/>
    <w:docVar w:name="NE.Ref{CCDA0A5E-E0E8-4F6B-955C-C889B6A90DAE}" w:val=" ADDIN NE.Ref.{CCDA0A5E-E0E8-4F6B-955C-C889B6A90DAE}&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CD30D342-D76F-4098-838F-53BD6EA8C29A}" w:val=" ADDIN NE.Ref.{CD30D342-D76F-4098-838F-53BD6EA8C29A}&lt;Citation&gt;&lt;Group&gt;&lt;References&gt;&lt;Item&gt;&lt;ID&gt;840&lt;/ID&gt;&lt;UID&gt;{A49DB667-5CCF-483E-87A2-49B458FF2B4F}&lt;/UID&gt;&lt;Title&gt;The Economics of Climate Change: The Stern Review&lt;/Title&gt;&lt;Template&gt;Book&lt;/Template&gt;&lt;Star&gt;0&lt;/Star&gt;&lt;Tag&gt;0&lt;/Tag&gt;&lt;Author&gt;Stern, Nicholas Herbert&lt;/Author&gt;&lt;Year&gt;2007&lt;/Year&gt;&lt;Details&gt;&lt;_accessed&gt;57719359&lt;/_accessed&gt;&lt;_created&gt;57719359&lt;/_created&gt;&lt;_language&gt;English&lt;/_language&gt;&lt;_modified&gt;57719359&lt;/_modified&gt;&lt;_place_published&gt;Cambridge, UK&lt;/_place_published&gt;&lt;_publisher&gt;Cambridge University Press&lt;/_publisher&gt;&lt;/Details&gt;&lt;Extra&gt;&lt;DBUID&gt;{502CA3C0-22CA-4511-973C-E02D6A2BD88D}&lt;/DBUID&gt;&lt;/Extra&gt;&lt;/Item&gt;&lt;/References&gt;&lt;/Group&gt;&lt;/Citation&gt;_x000a_"/>
    <w:docVar w:name="NE.Ref{CDCF96F5-BFEF-471E-B06A-11B6C7E0862E}" w:val=" ADDIN NE.Ref.{CDCF96F5-BFEF-471E-B06A-11B6C7E0862E}&lt;Citation SecTmpl=&quot;1&quot;&gt;&lt;Group&gt;&lt;References&gt;&lt;Item&gt;&lt;ID&gt;1196&lt;/ID&gt;&lt;UID&gt;{AA5498BB-88DB-4D07-806B-C5C68DB756A2}&lt;/UID&gt;&lt;Title&gt;The stability of interregional trading patterns and input-output analysis&lt;/Title&gt;&lt;Template&gt;Journal Article&lt;/Template&gt;&lt;Star&gt;0&lt;/Star&gt;&lt;Tag&gt;0&lt;/Tag&gt;&lt;Author&gt;Moses, L N&lt;/Author&gt;&lt;Year&gt;1955&lt;/Year&gt;&lt;Details&gt;&lt;_accessed&gt;59085815&lt;/_accessed&gt;&lt;_created&gt;58745426&lt;/_created&gt;&lt;_issue&gt;5&lt;/_issue&gt;&lt;_journal&gt;American Economic Review&lt;/_journal&gt;&lt;_label&gt;MRIO&lt;/_label&gt;&lt;_language&gt;English&lt;/_language&gt;&lt;_modified&gt;59085815&lt;/_modified&gt;&lt;_pages&gt;803-826&lt;/_pages&gt;&lt;_volume&gt;45&lt;/_volume&gt;&lt;/Details&gt;&lt;Extra&gt;&lt;DBUID&gt;{502CA3C0-22CA-4511-973C-E02D6A2BD88D}&lt;/DBUID&gt;&lt;/Extra&gt;&lt;/Item&gt;&lt;/References&gt;&lt;/Group&gt;&lt;/Citation&gt;_x000a_"/>
    <w:docVar w:name="NE.Ref{CF0C0E0A-FD03-4934-89DA-F57D58F7936A}" w:val=" ADDIN NE.Ref.{CF0C0E0A-FD03-4934-89DA-F57D58F7936A}&lt;Citation&gt;&lt;Group&gt;&lt;References&gt;&lt;Item&gt;&lt;ID&gt;1268&lt;/ID&gt;&lt;UID&gt;{28A9A6D7-19CC-47C9-805F-CD973BB77907}&lt;/UID&gt;&lt;Title&gt;中国能源统计年鉴2005&lt;/Title&gt;&lt;Template&gt;Book&lt;/Template&gt;&lt;Star&gt;0&lt;/Star&gt;&lt;Tag&gt;0&lt;/Tag&gt;&lt;Author&gt;国家统计局工业交通统计司; 国家发展和改革委员会能源局&lt;/Author&gt;&lt;Year&gt;2006&lt;/Year&gt;&lt;Details&gt;&lt;_accessed&gt;59094155&lt;/_accessed&gt;&lt;_created&gt;59094155&lt;/_created&gt;&lt;_language&gt;Chinese&lt;/_language&gt;&lt;_modified&gt;59094155&lt;/_modified&gt;&lt;_place_published&gt;北京&lt;/_place_published&gt;&lt;_publisher&gt;中国统计出版社&lt;/_publisher&gt;&lt;/Details&gt;&lt;Extra&gt;&lt;DBUID&gt;{502CA3C0-22CA-4511-973C-E02D6A2BD88D}&lt;/DBUID&gt;&lt;/Extra&gt;&lt;/Item&gt;&lt;/References&gt;&lt;/Group&gt;&lt;/Citation&gt;_x000a_"/>
    <w:docVar w:name="NE.Ref{CF3FACC3-9CB9-4D36-B103-485F2B25C675}" w:val=" ADDIN NE.Ref.{CF3FACC3-9CB9-4D36-B103-485F2B25C675}&lt;Citation SecTmpl=&quot;1&quot;&gt;&lt;Group&gt;&lt;References&gt;&lt;Item&gt;&lt;ID&gt;1291&lt;/ID&gt;&lt;UID&gt;{EFEF10BE-BD8B-4058-A430-56916F64B53D}&lt;/UID&gt;&lt;Title&gt;Total embodied energy requirements and its decomposition in China&amp;apos;s agricultural sector&lt;/Title&gt;&lt;Template&gt;Journal Article&lt;/Template&gt;&lt;Star&gt;0&lt;/Star&gt;&lt;Tag&gt;0&lt;/Tag&gt;&lt;Author&gt;Cao, Shuyan; Xie, Gaodi; Zhen, Lin&lt;/Author&gt;&lt;Year&gt;2010&lt;/Year&gt;&lt;Details&gt;&lt;_alternate_title&gt;Ecological Economics_x000d__x000a_Special Section: Ecosystem Services Valuation in China&lt;/_alternate_title&gt;&lt;_created&gt;59332919&lt;/_created&gt;&lt;_date_display&gt;2010/5/15/&lt;/_date_display&gt;&lt;_db_updated&gt;ScienceDirect&lt;/_db_updated&gt;&lt;_isbn&gt;0921-8009&lt;/_isbn&gt;&lt;_issue&gt;7&lt;/_issue&gt;&lt;_journal&gt;Ecological Economics&lt;/_journal&gt;&lt;_keywords&gt;Energy use; Energy requirements; Input–output modeling; Decomposition analysis; Agricultural productivity; Energy efficiency&lt;/_keywords&gt;&lt;_modified&gt;59332919&lt;/_modified&gt;&lt;_pages&gt;1396-1404&lt;/_pages&gt;&lt;_url&gt;http://www.sciencedirect.com/science/article/pii/S092180090800284X&lt;/_url&gt;&lt;_volume&gt;69&lt;/_volume&gt;&lt;/Details&gt;&lt;Extra&gt;&lt;DBUID&gt;{502CA3C0-22CA-4511-973C-E02D6A2BD88D}&lt;/DBUID&gt;&lt;/Extra&gt;&lt;/Item&gt;&lt;/References&gt;&lt;/Group&gt;&lt;/Citation&gt;_x000a_"/>
    <w:docVar w:name="NE.Ref{D0132C18-4E61-416E-973B-F2029809FE46}" w:val=" ADDIN NE.Ref.{D0132C18-4E61-416E-973B-F2029809FE46}&lt;Citation SecTmpl=&quot;1&quot;&gt;&lt;Group&gt;&lt;References&gt;&lt;Item&gt;&lt;ID&gt;1307&lt;/ID&gt;&lt;UID&gt;{9CBE5229-D151-42D8-8013-E2FE73AA8E38}&lt;/UID&gt;&lt;Title&gt;关于结构分解技术中两种分解方法的比较研究&lt;/Title&gt;&lt;Template&gt;Journal Article&lt;/Template&gt;&lt;Star&gt;0&lt;/Star&gt;&lt;Tag&gt;0&lt;/Tag&gt;&lt;Author&gt;夏炎; 陈锡康; 杨翠红&lt;/Author&gt;&lt;Year&gt;2009&lt;/Year&gt;&lt;Details&gt;&lt;_accessed&gt;59335738&lt;/_accessed&gt;&lt;_created&gt;59333244&lt;/_created&gt;&lt;_issue&gt;5&lt;/_issue&gt;&lt;_journal&gt;运筹与管理&lt;/_journal&gt;&lt;_language&gt;Chinese&lt;/_language&gt;&lt;_modified&gt;59333244&lt;/_modified&gt;&lt;_pages&gt;27-33&lt;/_pages&gt;&lt;_volume&gt;19&lt;/_volume&gt;&lt;/Details&gt;&lt;Extra&gt;&lt;DBUID&gt;{502CA3C0-22CA-4511-973C-E02D6A2BD88D}&lt;/DBUID&gt;&lt;/Extra&gt;&lt;/Item&gt;&lt;/References&gt;&lt;/Group&gt;&lt;/Citation&gt;_x000a_"/>
    <w:docVar w:name="NE.Ref{D079A5E0-27BE-45CC-B924-C63203195636}" w:val=" ADDIN NE.Ref.{D079A5E0-27BE-45CC-B924-C63203195636}&lt;Citation SecTmpl=&quot;1&quot;&gt;&lt;Group&gt;&lt;References&gt;&lt;Item&gt;&lt;ID&gt;945&lt;/ID&gt;&lt;UID&gt;{C53CA538-FB91-4009-BE40-399BA385F571}&lt;/UID&gt;&lt;Title&gt;China&amp;apos;s Growing CO2 Emissions: A Race between Increasing Consumption and Efficiency Gains&lt;/Title&gt;&lt;Template&gt;Journal Article&lt;/Template&gt;&lt;Star&gt;0&lt;/Star&gt;&lt;Tag&gt;0&lt;/Tag&gt;&lt;Author&gt;Peters, Glen P; Weber, Christopher L; Guan, Dabo; Hubacek, Klaus&lt;/Author&gt;&lt;Year&gt;2007&lt;/Year&gt;&lt;Details&gt;&lt;_accessed&gt;58745776&lt;/_accessed&gt;&lt;_alternate_title&gt;Environmental Science &amp;amp; Technology&lt;/_alternate_title&gt;&lt;_created&gt;57780945&lt;/_created&gt;&lt;_date&gt;2007-08-02&lt;/_date&gt;&lt;_date_display&gt;2007/09/01/_x000d__x000a_2007/08/02/&lt;/_date_display&gt;&lt;_isbn&gt;0013-936X&lt;/_isbn&gt;&lt;_issue&gt;17&lt;/_issue&gt;&lt;_journal&gt;Environmental Science &amp;amp; Technology&lt;/_journal&gt;&lt;_marked_fields&gt;title;SUB|19|1 _x000d__x000a_&lt;/_marked_fields&gt;&lt;_modified&gt;58745776&lt;/_modified&gt;&lt;_ori_publication&gt;American Chemical Society&lt;/_ori_publication&gt;&lt;_pages&gt;5939-5944&lt;/_pages&gt;&lt;_url&gt;http://dx.doi.org/10.1021/es070108f&lt;/_url&gt;&lt;_volume&gt;41&lt;/_volume&gt;&lt;/Details&gt;&lt;Extra&gt;&lt;DBUID&gt;{502CA3C0-22CA-4511-973C-E02D6A2BD88D}&lt;/DBUID&gt;&lt;/Extra&gt;&lt;/Item&gt;&lt;/References&gt;&lt;/Group&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8801911&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082377&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Citation&gt;_x000a_"/>
    <w:docVar w:name="NE.Ref{D226C21F-B805-4418-A864-63B54BB725CA}" w:val=" ADDIN NE.Ref.{D226C21F-B805-4418-A864-63B54BB725CA}&lt;Citation&gt;&lt;Group&gt;&lt;References&gt;&lt;Item&gt;&lt;ID&gt;1254&lt;/ID&gt;&lt;UID&gt;{82928A27-78EC-436F-B389-6A9CB1CBCBDF}&lt;/UID&gt;&lt;Title&gt;中国低碳发展报告（2011~2012）：回顾“十一五”展望“十二五”&lt;/Title&gt;&lt;Template&gt;Book&lt;/Template&gt;&lt;Star&gt;0&lt;/Star&gt;&lt;Tag&gt;0&lt;/Tag&gt;&lt;Author&gt;齐晔&lt;/Author&gt;&lt;Year&gt;2011&lt;/Year&gt;&lt;Details&gt;&lt;_accessed&gt;59082739&lt;/_accessed&gt;&lt;_created&gt;59082739&lt;/_created&gt;&lt;_language&gt;Chinese&lt;/_language&gt;&lt;_modified&gt;59082739&lt;/_modified&gt;&lt;_place_published&gt;北京&lt;/_place_published&gt;&lt;_publisher&gt;社会科学文献出版社&lt;/_publisher&gt;&lt;/Details&gt;&lt;Extra&gt;&lt;DBUID&gt;{502CA3C0-22CA-4511-973C-E02D6A2BD88D}&lt;/DBUID&gt;&lt;/Extra&gt;&lt;/Item&gt;&lt;/References&gt;&lt;/Group&gt;&lt;/Citation&gt;_x000a_"/>
    <w:docVar w:name="NE.Ref{D248C457-99B6-4F47-963A-D2FC3B8EE921}" w:val=" ADDIN NE.Ref.{D248C457-99B6-4F47-963A-D2FC3B8EE921}&lt;Citation&gt;&lt;Group&gt;&lt;References&gt;&lt;Item&gt;&lt;ID&gt;162&lt;/ID&gt;&lt;UID&gt;{7E173A88-CFB3-4D8A-B422-A0C16C54AC28}&lt;/UID&gt;&lt;Title&gt;Energy efficiency improvement in China: a significant progress for the 11th Five Year Plan&lt;/Title&gt;&lt;Template&gt;Journal Article&lt;/Template&gt;&lt;Star&gt;0&lt;/Star&gt;&lt;Tag&gt;0&lt;/Tag&gt;&lt;Author&gt;Kejun, Jiang&lt;/Author&gt;&lt;Year&gt;2009&lt;/Year&gt;&lt;Details&gt;&lt;_accessed&gt;58538794&lt;/_accessed&gt;&lt;_created&gt;58538793&lt;/_created&gt;&lt;_date_display&gt;2009-11-01&lt;/_date_display&gt;&lt;_issue&gt;4&lt;/_issue&gt;&lt;_journal&gt;Energy Efficiency&lt;/_journal&gt;&lt;_modified&gt;58538794&lt;/_modified&gt;&lt;_pages&gt;401-409&lt;/_pages&gt;&lt;_url&gt;http://dx.doi.org/10.1007/s12053-009-9054-x&lt;/_url&gt;&lt;_volume&gt;2&lt;/_volume&gt;&lt;/Details&gt;&lt;Extra&gt;&lt;DBUID&gt;{502CA3C0-22CA-4511-973C-E02D6A2BD88D}&lt;/DBUID&gt;&lt;/Extra&gt;&lt;/Item&gt;&lt;/References&gt;&lt;/Group&gt;&lt;/Citation&gt;_x000a_"/>
    <w:docVar w:name="NE.Ref{D39CF418-8C4B-498C-84D0-A089107B2F1C}" w:val=" ADDIN NE.Ref.{D39CF418-8C4B-498C-84D0-A089107B2F1C}&lt;Citation&gt;&lt;Group&gt;&lt;References&gt;&lt;Item&gt;&lt;ID&gt;1244&lt;/ID&gt;&lt;UID&gt;{F465E2DB-BF55-47D7-881F-E7E3520E7D0B}&lt;/UID&gt;&lt;Title&gt;CO2 Emissions from Fuel Combustion, 2011 Edition&lt;/Title&gt;&lt;Template&gt;Book&lt;/Template&gt;&lt;Star&gt;0&lt;/Star&gt;&lt;Tag&gt;0&lt;/Tag&gt;&lt;Author&gt;IEA&lt;/Author&gt;&lt;Year&gt;2011&lt;/Year&gt;&lt;Details&gt;&lt;_accessed&gt;59085662&lt;/_accessed&gt;&lt;_created&gt;59082354&lt;/_created&gt;&lt;_language&gt;English&lt;/_language&gt;&lt;_marked_fields&gt;title;SUB|3|1 _x000d__x000a_&lt;/_marked_fields&gt;&lt;_modified&gt;59082354&lt;/_modified&gt;&lt;_number&gt;2012-5-2&lt;/_number&gt;&lt;_place_published&gt;Paris&lt;/_place_published&gt;&lt;_publisher&gt;OECD/IEA&lt;/_publisher&gt;&lt;_url&gt;http://www.iea.org/w/bookshop/add.aspx?id=581&lt;/_url&gt;&lt;/Details&gt;&lt;Extra&gt;&lt;DBUID&gt;{502CA3C0-22CA-4511-973C-E02D6A2BD88D}&lt;/DBUID&gt;&lt;/Extra&gt;&lt;/Item&gt;&lt;/References&gt;&lt;/Group&gt;&lt;/Citation&gt;_x000a_"/>
    <w:docVar w:name="NE.Ref{D3C7569D-D04C-4FEB-BEE5-B5C3E151401F}" w:val=" ADDIN NE.Ref.{D3C7569D-D04C-4FEB-BEE5-B5C3E151401F}&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D3E3C80B-AE7E-4003-B0F9-570C8D125622}" w:val=" ADDIN NE.Ref.{D3E3C80B-AE7E-4003-B0F9-570C8D125622}&lt;Citation SecTmpl=&quot;1&quot;&gt;&lt;Group&gt;&lt;References&gt;&lt;Item&gt;&lt;ID&gt;975&lt;/ID&gt;&lt;UID&gt;{807E7CAB-78C9-479E-A2A8-DAD99F820F91}&lt;/UID&gt;&lt;Title&gt;Greenhouse gas emissions in China 2007: Inventory and input-output analysis&lt;/Title&gt;&lt;Template&gt;Journal Article&lt;/Template&gt;&lt;Star&gt;0&lt;/Star&gt;&lt;Tag&gt;0&lt;/Tag&gt;&lt;Author&gt;Chen, G Q; Zhang, Bo&lt;/Author&gt;&lt;Year&gt;2010&lt;/Year&gt;&lt;Details&gt;&lt;_accessed&gt;58463216&lt;/_accessed&gt;&lt;_alternate_title&gt;Energy Policy&lt;/_alternate_title&gt;&lt;_created&gt;58100299&lt;/_created&gt;&lt;_isbn&gt;0301-4215&lt;/_isbn&gt;&lt;_issue&gt;10&lt;/_issue&gt;&lt;_journal&gt;Energy Policy&lt;/_journal&gt;&lt;_keywords&gt;Greenhouse gas emissions; Carbon emission inventory; Input-output analysis&lt;/_keywords&gt;&lt;_label&gt;已打&lt;/_label&gt;&lt;_modified&gt;58463216&lt;/_modified&gt;&lt;_pages&gt;6180-6193&lt;/_pages&gt;&lt;_url&gt;http://www.sciencedirect.com/science/article/B6V2W-50B5WDR-5/2/71d3e7f8b034b083ed50565df1af7e8e&lt;/_url&gt;&lt;_volume&gt;38&lt;/_volume&gt;&lt;/Details&gt;&lt;Extra&gt;&lt;DBUID&gt;{502CA3C0-22CA-4511-973C-E02D6A2BD88D}&lt;/DBUID&gt;&lt;/Extra&gt;&lt;/Item&gt;&lt;/References&gt;&lt;/Group&gt;&lt;/Citation&gt;_x000a_"/>
    <w:docVar w:name="NE.Ref{D3FA5CEE-6E0F-4D78-85B5-C31B7B59935E}" w:val=" ADDIN NE.Ref.{D3FA5CEE-6E0F-4D78-85B5-C31B7B59935E}&lt;Citation&gt;&lt;Group&gt;&lt;References&gt;&lt;Item&gt;&lt;ID&gt;1239&lt;/ID&gt;&lt;UID&gt;{860D115D-9BB4-4632-8CE7-8C0E78C925EB}&lt;/UID&gt;&lt;Title&gt;A decomposition method of structural decomposition analysis&lt;/Title&gt;&lt;Template&gt;Journal Article&lt;/Template&gt;&lt;Star&gt;0&lt;/Star&gt;&lt;Tag&gt;0&lt;/Tag&gt;&lt;Author&gt;Li, Jinghua&lt;/Author&gt;&lt;Year&gt;2005&lt;/Year&gt;&lt;Details&gt;&lt;_accessed&gt;58911203&lt;/_accessed&gt;&lt;_created&gt;58847844&lt;/_created&gt;&lt;_issue&gt;2&lt;/_issue&gt;&lt;_journal&gt;Journal of Systems Science and Complexity&lt;/_journal&gt;&lt;_modified&gt;58848120&lt;/_modified&gt;&lt;_pages&gt;210-218&lt;/_pages&gt;&lt;_volume&gt;18&lt;/_volume&gt;&lt;/Details&gt;&lt;Extra&gt;&lt;DBUID&gt;{502CA3C0-22CA-4511-973C-E02D6A2BD88D}&lt;/DBUID&gt;&lt;/Extra&gt;&lt;/Item&gt;&lt;/References&gt;&lt;/Group&gt;&lt;/Citation&gt;_x000a_"/>
    <w:docVar w:name="NE.Ref{D525A486-AB24-4FDB-9453-016ABAD376E1}" w:val=" ADDIN NE.Ref.{D525A486-AB24-4FDB-9453-016ABAD376E1}&lt;Citation&gt;&lt;Group&gt;&lt;References&gt;&lt;Item&gt;&lt;ID&gt;970&lt;/ID&gt;&lt;UID&gt;{F85174F9-0470-404B-8578-C286AE2B2B2B}&lt;/UID&gt;&lt;Title&gt;Understanding Changes in the UK&amp;apos;s CO2 Emissions: A Global Perspective&lt;/Title&gt;&lt;Template&gt;Journal Article&lt;/Template&gt;&lt;Star&gt;0&lt;/Star&gt;&lt;Tag&gt;0&lt;/Tag&gt;&lt;Author&gt;Baiocchi, G; Minx, J C&lt;/Author&gt;&lt;Year&gt;2010&lt;/Year&gt;&lt;Details&gt;&lt;_accessed&gt;58752982&lt;/_accessed&gt;&lt;_created&gt;57975140&lt;/_created&gt;&lt;_date_display&gt;2010_x000d__x000a_FEB 15&lt;/_date_display&gt;&lt;_isbn&gt;0013-936X&lt;/_isbn&gt;&lt;_issue&gt;4&lt;/_issue&gt;&lt;_journal&gt;Environmental Science and Technology&lt;/_journal&gt;&lt;_keywords&gt;INTERNATIONAL-TRADE; CLIMATE-CHANGE; ENERGY USE; DECOMPOSITION ANALYSIS; CONSUMPTION; US; ECONOMY; GROWTH; POLICY; INVENTORIES&lt;/_keywords&gt;&lt;_label&gt;SDA; 已打&lt;/_label&gt;&lt;_language&gt;English&lt;/_language&gt;&lt;_marked_fields&gt;title;SUB|37|1 _x000d__x000a_&lt;/_marked_fields&gt;&lt;_modified&gt;58752983&lt;/_modified&gt;&lt;_number&gt;ISI:000274347800006&lt;/_number&gt;&lt;_pages&gt;1177-1184&lt;/_pages&gt;&lt;_type_work&gt;Article&lt;/_type_work&gt;&lt;_volume&gt;44&lt;/_volume&gt;&lt;/Details&gt;&lt;Extra&gt;&lt;DBUID&gt;{502CA3C0-22CA-4511-973C-E02D6A2BD88D}&lt;/DBUID&gt;&lt;/Extra&gt;&lt;/Item&gt;&lt;/References&gt;&lt;/Group&gt;&lt;/Citation&gt;_x000a_"/>
    <w:docVar w:name="NE.Ref{D5F46E54-CDE9-4784-B3DB-995631D6D554}" w:val=" ADDIN NE.Ref.{D5F46E54-CDE9-4784-B3DB-995631D6D554}&lt;Citation&gt;&lt;Group&gt;&lt;References&gt;&lt;Item&gt;&lt;ID&gt;1212&lt;/ID&gt;&lt;UID&gt;{C5C4A50D-07B2-4756-A319-3359677938AA}&lt;/UID&gt;&lt;Title&gt;CO2 Multipliers in Multi-region Input-Output Models&lt;/Title&gt;&lt;Template&gt;Journal Article&lt;/Template&gt;&lt;Star&gt;0&lt;/Star&gt;&lt;Tag&gt;0&lt;/Tag&gt;&lt;Author&gt;Lenzen, Manfred; Pade, Lise-Lotte; Munksgaard, Jesper&lt;/Author&gt;&lt;Year&gt;2004&lt;/Year&gt;&lt;Details&gt;&lt;_accessed&gt;58828381&lt;/_accessed&gt;&lt;_created&gt;58750017&lt;/_created&gt;&lt;_issue&gt;4&lt;/_issue&gt;&lt;_journal&gt;Economic Systems Research&lt;/_journal&gt;&lt;_marked_fields&gt;title;SUB|3|1 _x000d__x000a_&lt;/_marked_fields&gt;&lt;_modified&gt;58750017&lt;/_modified&gt;&lt;_pages&gt;391-412&lt;/_pages&gt;&lt;_volume&gt;16&lt;/_volume&gt;&lt;/Details&gt;&lt;Extra&gt;&lt;DBUID&gt;{502CA3C0-22CA-4511-973C-E02D6A2BD88D}&lt;/DBUID&gt;&lt;/Extra&gt;&lt;/Item&gt;&lt;/References&gt;&lt;/Group&gt;&lt;/Citation&gt;_x000a_"/>
    <w:docVar w:name="NE.Ref{D6FEED91-EFFF-417A-A24D-F6BD20CE3732}" w:val=" ADDIN NE.Ref.{D6FEED91-EFFF-417A-A24D-F6BD20CE3732}&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D96A0F51-2286-4494-8346-44E9370CA940}" w:val=" ADDIN NE.Ref.{D96A0F51-2286-4494-8346-44E9370CA940}&lt;Citation&gt;&lt;Group&gt;&lt;References&gt;&lt;Item&gt;&lt;ID&gt;1289&lt;/ID&gt;&lt;UID&gt;{8E51FA89-4BC6-40D1-96DF-2CCC8EAD3018}&lt;/UID&gt;&lt;Title&gt;A spatial structural decomposition analysis of Chinese and Japanese energy demand: 1985–1990&lt;/Title&gt;&lt;Template&gt;Journal Article&lt;/Template&gt;&lt;Star&gt;0&lt;/Star&gt;&lt;Tag&gt;0&lt;/Tag&gt;&lt;Author&gt;Kagawa, Shigemi; Inamura, Hajime&lt;/Author&gt;&lt;Year&gt;2004&lt;/Year&gt;&lt;Details&gt;&lt;_accessed&gt;59366980&lt;/_accessed&gt;&lt;_created&gt;59331799&lt;/_created&gt;&lt;_issue&gt;3&lt;/_issue&gt;&lt;_journal&gt;Economic Systems Research&lt;/_journal&gt;&lt;_language&gt;English&lt;/_language&gt;&lt;_modified&gt;59366980&lt;/_modified&gt;&lt;_pages&gt;279-299&lt;/_pages&gt;&lt;_volume&gt;16&lt;/_volume&gt;&lt;/Details&gt;&lt;Extra&gt;&lt;DBUID&gt;{502CA3C0-22CA-4511-973C-E02D6A2BD88D}&lt;/DBUID&gt;&lt;/Extra&gt;&lt;/Item&gt;&lt;/References&gt;&lt;/Group&gt;&lt;/Citation&gt;_x000a_"/>
    <w:docVar w:name="NE.Ref{DAE9BDD0-5642-4867-813C-948FC82E366A}" w:val=" ADDIN NE.Ref.{DAE9BDD0-5642-4867-813C-948FC82E366A}&lt;Citation&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DB63855B-71C5-4D18-B84B-C67273C5C2B3}" w:val=" ADDIN NE.Ref.{DB63855B-71C5-4D18-B84B-C67273C5C2B3}&lt;Citation&gt;&lt;Group&gt;&lt;References&gt;&lt;Item&gt;&lt;ID&gt;1217&lt;/ID&gt;&lt;UID&gt;{DBB42579-9C5B-453B-9481-1D6A3389A152}&lt;/UID&gt;&lt;Title&gt;Accounting for changes in Australian carbon dioxide emissions&lt;/Title&gt;&lt;Template&gt;Journal Article&lt;/Template&gt;&lt;Star&gt;0&lt;/Star&gt;&lt;Tag&gt;0&lt;/Tag&gt;&lt;Author&gt;Common, M S; Salma, U&lt;/Author&gt;&lt;Year&gt;1992&lt;/Year&gt;&lt;Details&gt;&lt;_accessed&gt;58750167&lt;/_accessed&gt;&lt;_created&gt;58750167&lt;/_created&gt;&lt;_issue&gt;3&lt;/_issue&gt;&lt;_journal&gt;Energy Economics&lt;/_journal&gt;&lt;_modified&gt;58750167&lt;/_modified&gt;&lt;_pages&gt;217–225&lt;/_pages&gt;&lt;_volume&gt;14&lt;/_volume&gt;&lt;/Details&gt;&lt;Extra&gt;&lt;DBUID&gt;{502CA3C0-22CA-4511-973C-E02D6A2BD88D}&lt;/DBUID&gt;&lt;/Extra&gt;&lt;/Item&gt;&lt;/References&gt;&lt;/Group&gt;&lt;Group&gt;&lt;References&gt;&lt;Item&gt;&lt;ID&gt;1216&lt;/ID&gt;&lt;UID&gt;{D70B3F8D-BCC4-44A6-9646-A7EEEFE1C595}&lt;/UID&gt;&lt;Title&gt;The embodiment of carbon in imports of manufactured products—Implications for international agreements on greenhouse gas emissions&lt;/Title&gt;&lt;Template&gt;Journal Article&lt;/Template&gt;&lt;Star&gt;0&lt;/Star&gt;&lt;Tag&gt;0&lt;/Tag&gt;&lt;Author&gt;Wyckoff, A W; Roop, J M&lt;/Author&gt;&lt;Year&gt;1994&lt;/Year&gt;&lt;Details&gt;&lt;_accessed&gt;58750165&lt;/_accessed&gt;&lt;_created&gt;58750165&lt;/_created&gt;&lt;_issue&gt;3&lt;/_issue&gt;&lt;_journal&gt;Energy Policy&lt;/_journal&gt;&lt;_modified&gt;58750165&lt;/_modified&gt;&lt;_pages&gt;187-194&lt;/_pages&gt;&lt;_volume&gt;22&lt;/_volume&gt;&lt;/Details&gt;&lt;Extra&gt;&lt;DBUID&gt;{502CA3C0-22CA-4511-973C-E02D6A2BD88D}&lt;/DBUID&gt;&lt;/Extra&gt;&lt;/Item&gt;&lt;/References&gt;&lt;/Group&gt;&lt;Group&gt;&lt;References&gt;&lt;Item&gt;&lt;ID&gt;1215&lt;/ID&gt;&lt;UID&gt;{1963DBE9-950D-4D35-B8C2-FE66ABE5BBB4}&lt;/UID&gt;&lt;Title&gt;The embodiment of carbon associated with Brazilian imports and exports&lt;/Title&gt;&lt;Template&gt;Journal Article&lt;/Template&gt;&lt;Star&gt;0&lt;/Star&gt;&lt;Tag&gt;0&lt;/Tag&gt;&lt;Author&gt;Schaeffer, R; Leal De Sá, A&lt;/Author&gt;&lt;Year&gt;1996&lt;/Year&gt;&lt;Details&gt;&lt;_accessed&gt;58750156&lt;/_accessed&gt;&lt;_created&gt;58750156&lt;/_created&gt;&lt;_issue&gt;6-8&lt;/_issue&gt;&lt;_journal&gt;Energy Conversion and Management&lt;/_journal&gt;&lt;_modified&gt;58750156&lt;/_modified&gt;&lt;_pages&gt;955-960&lt;/_pages&gt;&lt;_volume&gt;37&lt;/_volume&gt;&lt;/Details&gt;&lt;Extra&gt;&lt;DBUID&gt;{502CA3C0-22CA-4511-973C-E02D6A2BD88D}&lt;/DBUID&gt;&lt;/Extra&gt;&lt;/Item&gt;&lt;/References&gt;&lt;/Group&gt;&lt;Group&gt;&lt;References&gt;&lt;Item&gt;&lt;ID&gt;1041&lt;/ID&gt;&lt;UID&gt;{AEEEB202-44B5-4AAC-AB00-1856F9A46691}&lt;/UID&gt;&lt;Title&gt;Primary energy and greenhouse gases embodied in Australian final consumption: an input-output analysis&lt;/Title&gt;&lt;Template&gt;Journal Article&lt;/Template&gt;&lt;Star&gt;0&lt;/Star&gt;&lt;Tag&gt;0&lt;/Tag&gt;&lt;Author&gt;Lenzen, M&lt;/Author&gt;&lt;Year&gt;1998&lt;/Year&gt;&lt;Details&gt;&lt;_accessed&gt;58801601&lt;/_accessed&gt;&lt;_created&gt;57975140&lt;/_created&gt;&lt;_date_display&gt;1998_x000d__x000a_MAY&lt;/_date_display&gt;&lt;_isbn&gt;0301-4215&lt;/_isbn&gt;&lt;_issue&gt;6&lt;/_issue&gt;&lt;_journal&gt;Energy Policy&lt;/_journal&gt;&lt;_keywords&gt;greenhouse gas emissions; input-output analysis; Australia; CARBON-DIOXIDE PRODUCTION; SERVICES; IMPORTS; GOODS&lt;/_keywords&gt;&lt;_label&gt;已打&lt;/_label&gt;&lt;_language&gt;English&lt;/_language&gt;&lt;_modified&gt;58801601&lt;/_modified&gt;&lt;_number&gt;ISI:000074579900006&lt;/_number&gt;&lt;_pages&gt;495-506&lt;/_pages&gt;&lt;_type_work&gt;Article&lt;/_type_work&gt;&lt;_volume&gt;26&lt;/_volume&gt;&lt;/Details&gt;&lt;Extra&gt;&lt;DBUID&gt;{502CA3C0-22CA-4511-973C-E02D6A2BD88D}&lt;/DBUID&gt;&lt;/Extra&gt;&lt;/Item&gt;&lt;/References&gt;&lt;/Group&gt;&lt;/Citation&gt;_x000a_"/>
    <w:docVar w:name="NE.Ref{DB7122FD-428C-4434-BE47-ECB29C245D38}" w:val=" ADDIN NE.Ref.{DB7122FD-428C-4434-BE47-ECB29C245D38} ADDIN NE.Ref.{DB7122FD-428C-4434-BE47-ECB29C245D38}&lt;Citation&gt;&lt;Group&gt;&lt;References&gt;&lt;Item&gt;&lt;ID&gt;1013&lt;/ID&gt;&lt;UID&gt;{DD0344DF-835C-4A02-89CA-C4529531BD1A}&lt;/UID&gt;&lt;Title&gt;From production-based to consumption-based national emission inventories&lt;/Title&gt;&lt;Template&gt;Journal Article&lt;/Template&gt;&lt;Star&gt;0&lt;/Star&gt;&lt;Tag&gt;0&lt;/Tag&gt;&lt;Author&gt;Peters, G P&lt;/Author&gt;&lt;Year&gt;2008&lt;/Year&gt;&lt;Details&gt;&lt;_accessed&gt;58801602&lt;/_accessed&gt;&lt;_created&gt;57975140&lt;/_created&gt;&lt;_date_display&gt;2008_x000d__x000a_MAR 15&lt;/_date_display&gt;&lt;_isbn&gt;0921-8009&lt;/_isbn&gt;&lt;_issue&gt;1&lt;/_issue&gt;&lt;_journal&gt;Ecological Economics&lt;/_journal&gt;&lt;_keywords&gt;emission inventory; carbon leakage; shared responsibility; multi-regional input-output; Kyoto Protocol; clean development mechanism; GLOBAL ENVIRONMENTAL-IMPACT; GREENHOUSE-GAS EMISSIONS; CONSUMER RESPONSIBILITY; CO2 EMISSIONS; INPUT-OUTPUT; TRADE; POLLUTION; IMPORTS; CARBON; SYSTEM&lt;/_keywords&gt;&lt;_language&gt;English&lt;/_language&gt;&lt;_modified&gt;58801603&lt;/_modified&gt;&lt;_number&gt;ISI:000254423100002&lt;/_number&gt;&lt;_pages&gt;13-23&lt;/_pages&gt;&lt;_type_work&gt;Article&lt;/_type_work&gt;&lt;_volume&gt;65&lt;/_volume&gt;&lt;/Details&gt;&lt;Extra&gt;&lt;DBUID&gt;{502CA3C0-22CA-4511-973C-E02D6A2BD88D}&lt;/DBUID&gt;&lt;/Extra&gt;&lt;/Item&gt;&lt;/References&gt;&lt;/Group&gt;&lt;/Citation&gt;_x000a_"/>
    <w:docVar w:name="NE.Ref{DCE066C7-F8A7-4C77-92A6-878FF4B330DB}" w:val=" ADDIN NE.Ref.{DCE066C7-F8A7-4C77-92A6-878FF4B330DB}&lt;Citation SecTmpl=&quot;1&quot;&gt;&lt;Group&gt;&lt;References&gt;&lt;Item&gt;&lt;ID&gt;1259&lt;/ID&gt;&lt;UID&gt;{4413A8C3-DE75-4B2E-B951-41B6F3401DC2}&lt;/UID&gt;&lt;Title&gt;中国2050年低碳发展之路——能源需求暨碳排放情景分析&lt;/Title&gt;&lt;Template&gt;Book&lt;/Template&gt;&lt;Star&gt;0&lt;/Star&gt;&lt;Tag&gt;0&lt;/Tag&gt;&lt;Author&gt;国家发展和改革委员会能源研究所课题组&lt;/Author&gt;&lt;Year&gt;2009&lt;/Year&gt;&lt;Details&gt;&lt;_accessed&gt;59082763&lt;/_accessed&gt;&lt;_created&gt;59082763&lt;/_created&gt;&lt;_language&gt;Chinese&lt;/_language&gt;&lt;_modified&gt;59082763&lt;/_modified&gt;&lt;_place_published&gt;北京&lt;/_place_published&gt;&lt;_publisher&gt;科学出版社&lt;/_publisher&gt;&lt;/Details&gt;&lt;Extra&gt;&lt;DBUID&gt;{502CA3C0-22CA-4511-973C-E02D6A2BD88D}&lt;/DBUID&gt;&lt;/Extra&gt;&lt;/Item&gt;&lt;/References&gt;&lt;/Group&gt;&lt;/Citation&gt;_x000a_"/>
    <w:docVar w:name="NE.Ref{DD49E53F-1E96-48C7-ACFA-2DD6C0EC690C}" w:val=" ADDIN NE.Ref.{DD49E53F-1E96-48C7-ACFA-2DD6C0EC690C}&lt;Citation SecTmpl=&quot;1&quot;&gt;&lt;Group&gt;&lt;References&gt;&lt;Item&gt;&lt;ID&gt;1170&lt;/ID&gt;&lt;UID&gt;{06F12BA5-106A-439C-B8DD-4E3AF250C9FF}&lt;/UID&gt;&lt;Title&gt;国际主要温室气体排放数据集比较分析研究&lt;/Title&gt;&lt;Template&gt;Journal Article&lt;/Template&gt;&lt;Star&gt;0&lt;/Star&gt;&lt;Tag&gt;0&lt;/Tag&gt;&lt;Author&gt;曲建升; 曾静静; 张志强&lt;/Author&gt;&lt;Year&gt;2008&lt;/Year&gt;&lt;Details&gt;&lt;_accessed&gt;59355942&lt;/_accessed&gt;&lt;_author_adr&gt;中国科学院国家科学图书馆兰州分馆,中国科学院国家科学图书馆兰州分馆,中国科学院国家科学图书馆兰州分馆 中国科学院资源环境科学信息中心,甘肃兰州730000,兰州大学教育部西部环境重点实验室,甘肃兰州730000,中国科学院资源环境科学信息中心,甘肃兰州730000,中国科学院资源环境科学信息中心,甘肃兰州730000&lt;/_author_adr&gt;&lt;_created&gt;58032711&lt;/_created&gt;&lt;_db_provider&gt;CNKI&lt;/_db_provider&gt;&lt;_isbn&gt;1001-8166&lt;/_isbn&gt;&lt;_issue&gt;1&lt;/_issue&gt;&lt;_journal&gt;地球科学进展&lt;/_journal&gt;&lt;_keywords&gt;全球变暖;;气候政策;;温室气体;;数据;;二氧化碳&lt;/_keywords&gt;&lt;_modified&gt;58032712&lt;/_modified&gt;&lt;_pages&gt;47-54&lt;/_pages&gt;&lt;_url&gt;http://epub.cnki.net/grid2008/brief/detailj.aspx?filename=DXJZ200801010&amp;amp;dbname=CJFQ2008&lt;/_url&gt;&lt;_volume&gt;23&lt;/_volume&gt;&lt;/Details&gt;&lt;Extra&gt;&lt;DBUID&gt;{502CA3C0-22CA-4511-973C-E02D6A2BD88D}&lt;/DBUID&gt;&lt;/Extra&gt;&lt;/Item&gt;&lt;/References&gt;&lt;/Group&gt;&lt;/Citation&gt;_x000a_"/>
    <w:docVar w:name="NE.Ref{DF6A4533-79AC-4F31-A20B-880BF4D58552}" w:val=" ADDIN NE.Ref.{DF6A4533-79AC-4F31-A20B-880BF4D58552}&lt;Citation&gt;&lt;Group&gt;&lt;References&gt;&lt;Item&gt;&lt;ID&gt;860&lt;/ID&gt;&lt;UID&gt;{FB08EF99-4578-45EF-AA5D-831FD99C509A}&lt;/UID&gt;&lt;Title&gt;The greenhouse gas protocol: a corporate accounting and reporting standard (revised edition)&lt;/Title&gt;&lt;Template&gt;Book&lt;/Template&gt;&lt;Star&gt;0&lt;/Star&gt;&lt;Tag&gt;0&lt;/Tag&gt;&lt;Author&gt;WRI&lt;/Author&gt;&lt;Year&gt;2004&lt;/Year&gt;&lt;Details&gt;&lt;_accessed&gt;58065134&lt;/_accessed&gt;&lt;_created&gt;57730236&lt;/_created&gt;&lt;_language&gt;English&lt;/_language&gt;&lt;_modified&gt;58065134&lt;/_modified&gt;&lt;_place_published&gt;Geneva, Switzerland&lt;/_place_published&gt;&lt;_publisher&gt;World Business Council For Sustainable Development and World Resource Institute&lt;/_publisher&gt;&lt;/Details&gt;&lt;Extra&gt;&lt;DBUID&gt;{502CA3C0-22CA-4511-973C-E02D6A2BD88D}&lt;/DBUID&gt;&lt;/Extra&gt;&lt;/Item&gt;&lt;/References&gt;&lt;/Group&gt;&lt;/Citation&gt;_x000a_"/>
    <w:docVar w:name="NE.Ref{E03D1212-BF08-4CDF-99C5-9BC4BB1C62BE}" w:val=" ADDIN NE.Ref.{E03D1212-BF08-4CDF-99C5-9BC4BB1C62BE}&lt;Citation SecTmpl=&quot;1&quot;&gt;&lt;Group&gt;&lt;References&gt;&lt;Item&gt;&lt;ID&gt;1189&lt;/ID&gt;&lt;UID&gt;{A6520ABB-D663-46F7-AD07-CF1FE9E67A6C}&lt;/UID&gt;&lt;Title&gt;Using input-output analysis to estimate economy-wide discharges&lt;/Title&gt;&lt;Template&gt;Journal Article&lt;/Template&gt;&lt;Star&gt;0&lt;/Star&gt;&lt;Tag&gt;0&lt;/Tag&gt;&lt;Author&gt;Lave, Lester B; Cobas-Flores, Elisa; Hendrickson, Chris T; McMichael, Francis C&lt;/Author&gt;&lt;Year&gt;1995&lt;/Year&gt;&lt;Details&gt;&lt;_alternate_title&gt;Environmental Science &amp;amp; Technology&lt;/_alternate_title&gt;&lt;_created&gt;58034313&lt;/_created&gt;&lt;_date&gt;1995-09-01&lt;/_date&gt;&lt;_date_display&gt;1995_x000d__x000a_1995/09/01/&lt;/_date_display&gt;&lt;_isbn&gt;0013-936X&lt;/_isbn&gt;&lt;_issue&gt;9&lt;/_issue&gt;&lt;_journal&gt;Environmental Science &amp;amp; Technology&lt;/_journal&gt;&lt;_modified&gt;58034313&lt;/_modified&gt;&lt;_ori_publication&gt;American Chemical Society&lt;/_ori_publication&gt;&lt;_pages&gt;420A-426A&lt;/_pages&gt;&lt;_url&gt;http://dx.doi.org/10.1021/es00009a003&lt;/_url&gt;&lt;_volume&gt;29&lt;/_volume&gt;&lt;/Details&gt;&lt;Extra&gt;&lt;DBUID&gt;{502CA3C0-22CA-4511-973C-E02D6A2BD88D}&lt;/DBUID&gt;&lt;/Extra&gt;&lt;/Item&gt;&lt;/References&gt;&lt;/Group&gt;&lt;/Citation&gt;_x000a_"/>
    <w:docVar w:name="NE.Ref{E0509E7F-0AF0-4A29-889E-C4E67FE05ADB}" w:val=" ADDIN NE.Ref.{E0509E7F-0AF0-4A29-889E-C4E67FE05ADB}&lt;Citation SecTmpl=&quot;1&quot;&gt;&lt;Group&gt;&lt;References&gt;&lt;Item&gt;&lt;ID&gt;1274&lt;/ID&gt;&lt;UID&gt;{3C5AC7C6-5807-4BFC-8680-E55630E9BFD5}&lt;/UID&gt;&lt;Title&gt;Chapter 74 - The Place of Nature in Economic Development&lt;/Title&gt;&lt;Template&gt;Book Section&lt;/Template&gt;&lt;Star&gt;0&lt;/Star&gt;&lt;Tag&gt;0&lt;/Tag&gt;&lt;Author&gt;Dasgupta, Partha&lt;/Author&gt;&lt;Year&gt;2010&lt;/Year&gt;&lt;Details&gt;&lt;_url&gt;http://www.sciencedirect.com/science/article/pii/B9780444529442000124&lt;/_url&gt;&lt;_secondary_author&gt;Rodrik, Dani; Rosenzweig, Mark&lt;/_secondary_author&gt;&lt;_secondary_title&gt;Handbook of Development Economics, Volume 5&lt;/_secondary_title&gt;&lt;_pages&gt;4977-5046&lt;/_pages&gt;&lt;_volume&gt;5&lt;/_volume&gt;&lt;_publisher&gt;North-Holland&lt;/_publisher&gt;&lt;_place_published&gt;Amsterdam, the Netherlands&lt;/_place_published&gt;&lt;_modified&gt;59317111&lt;/_modified&gt;&lt;_created&gt;59317111&lt;/_created&gt;&lt;_accessed&gt;59317111&lt;/_accessed&gt;&lt;/Details&gt;&lt;Extra&gt;&lt;DBUID&gt;{502CA3C0-22CA-4511-973C-E02D6A2BD88D}&lt;/DBUID&gt;&lt;/Extra&gt;&lt;/Item&gt;&lt;/References&gt;&lt;/Group&gt;&lt;/Citation&gt;_x000a_"/>
    <w:docVar w:name="NE.Ref{E0B57A03-D78B-478D-A26C-35FA29D629E0}" w:val=" ADDIN NE.Ref.{E0B57A03-D78B-478D-A26C-35FA29D629E0}&lt;Citation&gt;&lt;Group&gt;&lt;References&gt;&lt;Item&gt;&lt;ID&gt;1247&lt;/ID&gt;&lt;UID&gt;{A4091267-5AFB-4CDA-8EC7-54527F7C08E8}&lt;/UID&gt;&lt;Title&gt;World Population Prospects: The 2008 Revision&lt;/Title&gt;&lt;Template&gt;Report&lt;/Template&gt;&lt;Star&gt;0&lt;/Star&gt;&lt;Tag&gt;0&lt;/Tag&gt;&lt;Author&gt;&amp;quot;UN Population Division&amp;quot;&lt;/Author&gt;&lt;Year&gt;2009&lt;/Year&gt;&lt;Details&gt;&lt;_accessed&gt;59082699&lt;/_accessed&gt;&lt;_created&gt;59082699&lt;/_created&gt;&lt;_language&gt;English&lt;/_language&gt;&lt;_modified&gt;59082699&lt;/_modified&gt;&lt;_place_published&gt;New York&lt;/_place_published&gt;&lt;_publisher&gt;Population Division, Department of Economic and Social Affairs, United Nations&lt;/_publisher&gt;&lt;/Details&gt;&lt;Extra&gt;&lt;DBUID&gt;{502CA3C0-22CA-4511-973C-E02D6A2BD88D}&lt;/DBUID&gt;&lt;/Extra&gt;&lt;/Item&gt;&lt;/References&gt;&lt;/Group&gt;&lt;/Citation&gt;_x000a_"/>
    <w:docVar w:name="NE.Ref{E142A466-DB7D-43BC-8CE7-D98F48682CD1}" w:val=" ADDIN NE.Ref.{E142A466-DB7D-43BC-8CE7-D98F48682CD1}&lt;Citation&gt;&lt;Group&gt;&lt;References&gt;&lt;Item&gt;&lt;ID&gt;1224&lt;/ID&gt;&lt;UID&gt;{A62D2BC4-C194-4A6C-A753-0A61D098F7DF}&lt;/UID&gt;&lt;Title&gt;Uncertainties in constructing environmental multiregional input-output models&lt;/Title&gt;&lt;Template&gt;Conference Paper&lt;/Template&gt;&lt;Star&gt;0&lt;/Star&gt;&lt;Tag&gt;0&lt;/Tag&gt;&lt;Author&gt;Weber, C L&lt;/Author&gt;&lt;Year&gt;2008&lt;/Year&gt;&lt;Details&gt;&lt;_accessed&gt;59085822&lt;/_accessed&gt;&lt;_created&gt;58750559&lt;/_created&gt;&lt;_modified&gt;59085823&lt;/_modified&gt;&lt;_place_published&gt;Seville, Spain&lt;/_place_published&gt;&lt;_secondary_title&gt;International Input-Output Meeting on Managing the Environment&lt;/_secondary_title&gt;&lt;/Details&gt;&lt;Extra&gt;&lt;DBUID&gt;{502CA3C0-22CA-4511-973C-E02D6A2BD88D}&lt;/DBUID&gt;&lt;/Extra&gt;&lt;/Item&gt;&lt;/References&gt;&lt;/Group&gt;&lt;/Citation&gt;_x000a_"/>
    <w:docVar w:name="NE.Ref{E2104BB3-164C-4D39-940F-8C332D387552}" w:val=" ADDIN NE.Ref.{E2104BB3-164C-4D39-940F-8C332D387552}&lt;Citation SecTmpl=&quot;1&quot;&gt;&lt;Group&gt;&lt;References&gt;&lt;Item&gt;&lt;ID&gt;153&lt;/ID&gt;&lt;UID&gt;{F8B0099D-9365-4D66-B83C-B133F2C0CD87}&lt;/UID&gt;&lt;Title&gt;Climate Analysis Indicators Tool (CAIT) Version 8.0&lt;/Title&gt;&lt;Template&gt;Electronic Source&lt;/Template&gt;&lt;Star&gt;0&lt;/Star&gt;&lt;Tag&gt;0&lt;/Tag&gt;&lt;Author&gt;WRI&lt;/Author&gt;&lt;Year&gt;2010&lt;/Year&gt;&lt;Details&gt;&lt;_accessed&gt;58535170&lt;/_accessed&gt;&lt;_created&gt;58020423&lt;/_created&gt;&lt;_date&gt;58335840&lt;/_date&gt;&lt;_date_display&gt;2011-4-10&lt;/_date_display&gt;&lt;_issue&gt;4-25&lt;/_issue&gt;&lt;_modified&gt;58535133&lt;/_modified&gt;&lt;_number&gt;2011-4-10&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E31E57A8-3727-465E-9A35-8DA8057DFE15}" w:val=" ADDIN NE.Ref.{E31E57A8-3727-465E-9A35-8DA8057DFE15}&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E3C8C3B0-F46C-4A18-BCDA-E6E693BE500A}" w:val=" ADDIN NE.Ref.{E3C8C3B0-F46C-4A18-BCDA-E6E693BE500A}&lt;Citation&gt;&lt;Group&gt;&lt;References&gt;&lt;Item&gt;&lt;ID&gt;1174&lt;/ID&gt;&lt;UID&gt;{1BE0B864-BA02-4A7D-8FE0-48A0556EF57C}&lt;/UID&gt;&lt;Title&gt;China&amp;apos;s Growing CO2 Emissions - A Race between Increasing Consumption and Efficiency Gains&lt;/Title&gt;&lt;Template&gt;Journal Article&lt;/Template&gt;&lt;Star&gt;0&lt;/Star&gt;&lt;Tag&gt;0&lt;/Tag&gt;&lt;Author&gt;Peters, Glen P; Weber, Christopher L; Guan, Dabo; Hubacek, Klaus&lt;/Author&gt;&lt;Year&gt;2007&lt;/Year&gt;&lt;Details&gt;&lt;_accessed&gt;59085818&lt;/_accessed&gt;&lt;_created&gt;58014525&lt;/_created&gt;&lt;_issue&gt;17&lt;/_issue&gt;&lt;_journal&gt;Environmental Science &amp;amp; Technology&lt;/_journal&gt;&lt;_language&gt;English&lt;/_language&gt;&lt;_marked_fields&gt;title;SUB|19|1 _x000d__x000a_&lt;/_marked_fields&gt;&lt;_modified&gt;59085819&lt;/_modified&gt;&lt;_pages&gt;5939-5944&lt;/_pages&gt;&lt;_volume&gt;41&lt;/_volume&gt;&lt;/Details&gt;&lt;Extra&gt;&lt;DBUID&gt;{502CA3C0-22CA-4511-973C-E02D6A2BD88D}&lt;/DBUID&gt;&lt;/Extra&gt;&lt;/Item&gt;&lt;/References&gt;&lt;/Group&gt;&lt;Group&gt;&lt;References&gt;&lt;Item&gt;&lt;ID&gt;1133&lt;/ID&gt;&lt;UID&gt;{C755E969-AB63-4089-A48C-0F0DD3FC3F49}&lt;/UID&gt;&lt;Title&gt;Journey to world top emitter: An analysis of the driving forces of China&amp;apos;s recent CO2 emissions surge&lt;/Title&gt;&lt;Template&gt;Journal Article&lt;/Template&gt;&lt;Star&gt;0&lt;/Star&gt;&lt;Tag&gt;0&lt;/Tag&gt;&lt;Author&gt;Guan, Dabo; Peters, Glen P; Weber, Christopher L; Hubacek, Klaus&lt;/Author&gt;&lt;Year&gt;2009&lt;/Year&gt;&lt;Details&gt;&lt;_accessed&gt;59334404&lt;/_accessed&gt;&lt;_alternate_title&gt;Geophys. Res. Lett.&lt;/_alternate_title&gt;&lt;_created&gt;58202908&lt;/_created&gt;&lt;_date&gt;2009-02-27&lt;/_date&gt;&lt;_date_display&gt;2009/02/27&lt;/_date_display&gt;&lt;_isbn&gt;0094-8276&lt;/_isbn&gt;&lt;_issue&gt;4&lt;/_issue&gt;&lt;_journal&gt;Geophys. Res. Lett.&lt;/_journal&gt;&lt;_keywords&gt;CO 2  emission; China; structural decomposition analysis; 1637 Global Change: Regional climate change; 1605 Global Change: Abrupt/rapid climate change; 9320 Geographic Location: Asia&lt;/_keywords&gt;&lt;_label&gt;已打&lt;/_label&gt;&lt;_marked_fields&gt;title;SUB|85|1 _x000d__x000a_&lt;/_marked_fields&gt;&lt;_modified&gt;58801911&lt;/_modified&gt;&lt;_ori_publication&gt;AGU&lt;/_ori_publication&gt;&lt;_pages&gt;L04709&lt;/_pages&gt;&lt;_url&gt;http://dx.doi.org/10.1029/2008GL036540&lt;/_url&gt;&lt;_volume&gt;36&lt;/_volume&gt;&lt;/Details&gt;&lt;Extra&gt;&lt;DBUID&gt;{502CA3C0-22CA-4511-973C-E02D6A2BD88D}&lt;/DBUID&gt;&lt;/Extra&gt;&lt;/Item&gt;&lt;/References&gt;&lt;/Group&gt;&lt;Group&gt;&lt;References&gt;&lt;Item&gt;&lt;ID&gt;1226&lt;/ID&gt;&lt;UID&gt;{75DF7F8B-2086-4163-B2E4-7A1BBA432869}&lt;/UID&gt;&lt;Title&gt;Supply-side structural effect on carbon emissions in China&lt;/Title&gt;&lt;Template&gt;Journal Article&lt;/Template&gt;&lt;Star&gt;0&lt;/Star&gt;&lt;Tag&gt;0&lt;/Tag&gt;&lt;Author&gt;Zhang, Youguo&lt;/Author&gt;&lt;Year&gt;2010&lt;/Year&gt;&lt;Details&gt;&lt;_accessed&gt;59334695&lt;/_accessed&gt;&lt;_created&gt;58751114&lt;/_created&gt;&lt;_issue&gt;1&lt;/_issue&gt;&lt;_journal&gt;Energy Economics&lt;/_journal&gt;&lt;_modified&gt;58751114&lt;/_modified&gt;&lt;_pages&gt;186-193&lt;/_pages&gt;&lt;_volume&gt;32&lt;/_volume&gt;&lt;/Details&gt;&lt;Extra&gt;&lt;DBUID&gt;{502CA3C0-22CA-4511-973C-E02D6A2BD88D}&lt;/DBUID&gt;&lt;/Extra&gt;&lt;/Item&gt;&lt;/References&gt;&lt;/Group&gt;&lt;Group&gt;&lt;References&gt;&lt;Item&gt;&lt;ID&gt;1126&lt;/ID&gt;&lt;UID&gt;{683724DC-1CE0-423B-99D2-C7D3187BCBE9}&lt;/UID&gt;&lt;Title&gt;中国二氧化碳排放增长因素分析——基于SDA分解技术&lt;/Title&gt;&lt;Template&gt;Journal Article&lt;/Template&gt;&lt;Star&gt;0&lt;/Star&gt;&lt;Tag&gt;0&lt;/Tag&gt;&lt;Author&gt;郭朝先&lt;/Author&gt;&lt;Year&gt;2010&lt;/Year&gt;&lt;Details&gt;&lt;_accessed&gt;58591293&lt;/_accessed&gt;&lt;_created&gt;58441616&lt;/_created&gt;&lt;_issue&gt;12&lt;/_issue&gt;&lt;_journal&gt;中国工业经济&lt;/_journal&gt;&lt;_language&gt;Chinese&lt;/_language&gt;&lt;_modified&gt;58441616&lt;/_modified&gt;&lt;_pages&gt;47-56&lt;/_pages&gt;&lt;/Details&gt;&lt;Extra&gt;&lt;DBUID&gt;{502CA3C0-22CA-4511-973C-E02D6A2BD88D}&lt;/DBUID&gt;&lt;/Extra&gt;&lt;/Item&gt;&lt;/References&gt;&lt;/Group&gt;&lt;Group&gt;&lt;References&gt;&lt;Item&gt;&lt;ID&gt;1243&lt;/ID&gt;&lt;UID&gt;{B98A28BB-D5F9-41DA-BAF9-5999DA56F62A}&lt;/UID&gt;&lt;Title&gt;A &amp;quot;Carbonizing Dragon&amp;quot;: China&amp;apos;s Fast Growing CO2 Emissions Revisited&lt;/Title&gt;&lt;Template&gt;Journal Article&lt;/Template&gt;&lt;Star&gt;0&lt;/Star&gt;&lt;Tag&gt;0&lt;/Tag&gt;&lt;Author&gt;Minx, Jan C; Baiocchi, Giovanni; Peters, Glen P; Weber, Christopher L; Guan, Dabo; Hubacek, Klaus&lt;/Author&gt;&lt;Year&gt;2011&lt;/Year&gt;&lt;Details&gt;&lt;_accessed&gt;59331784&lt;/_accessed&gt;&lt;_alternate_title&gt;Environ. Sci. Technol._x000d__x000a_Environmental Science &amp;amp; Technology&lt;/_alternate_title&gt;&lt;_created&gt;58906194&lt;/_created&gt;&lt;_date&gt;2011-09-02&lt;/_date&gt;&lt;_date_display&gt;2011_x000d__x000a_2011/09/02&lt;/_date_display&gt;&lt;_isbn&gt;0013-936X&lt;/_isbn&gt;&lt;_issue&gt;21&lt;/_issue&gt;&lt;_journal&gt;Environmental Science &amp;amp; Technology&lt;/_journal&gt;&lt;_modified&gt;59033721&lt;/_modified&gt;&lt;_ori_publication&gt;American Chemical Society&lt;/_ori_publication&gt;&lt;_pages&gt;9144-9153&lt;/_pages&gt;&lt;_url&gt;http://dx.doi.org/10.1021/es201497m&lt;/_url&gt;&lt;_volume&gt;45&lt;/_volume&gt;&lt;/Details&gt;&lt;Extra&gt;&lt;DBUID&gt;{502CA3C0-22CA-4511-973C-E02D6A2BD88D}&lt;/DBUID&gt;&lt;/Extra&gt;&lt;/Item&gt;&lt;/References&gt;&lt;/Group&gt;&lt;Group&gt;&lt;References&gt;&lt;Item&gt;&lt;ID&gt;1230&lt;/ID&gt;&lt;UID&gt;{54C6975A-D385-42E2-B9FE-2FBBE48BA1EF}&lt;/UID&gt;&lt;Title&gt;中国出口贸易中隐含碳排放增长的结构分解分析&lt;/Title&gt;&lt;Template&gt;Journal Article&lt;/Template&gt;&lt;Star&gt;0&lt;/Star&gt;&lt;Tag&gt;0&lt;/Tag&gt;&lt;Author&gt;李艳梅; 付加锋&lt;/Author&gt;&lt;Year&gt;2010&lt;/Year&gt;&lt;Details&gt;&lt;_accessed&gt;59082748&lt;/_accessed&gt;&lt;_created&gt;58751165&lt;/_created&gt;&lt;_issue&gt;8&lt;/_issue&gt;&lt;_journal&gt;中国人口·资源与环境&lt;/_journal&gt;&lt;_modified&gt;58757242&lt;/_modified&gt;&lt;_pages&gt;53-57&lt;/_pages&gt;&lt;_volume&gt;20&lt;/_volume&gt;&lt;/Details&gt;&lt;Extra&gt;&lt;DBUID&gt;{502CA3C0-22CA-4511-973C-E02D6A2BD88D}&lt;/DBUID&gt;&lt;/Extra&gt;&lt;/Item&gt;&lt;/References&gt;&lt;/Group&gt;&lt;/Citation&gt;_x000a_"/>
    <w:docVar w:name="NE.Ref{E690F773-61DC-4D76-90C2-6C21956CCE53}" w:val=" ADDIN NE.Ref.{E690F773-61DC-4D76-90C2-6C21956CCE53}&lt;Citation&gt;&lt;Group&gt;&lt;References&gt;&lt;Item&gt;&lt;ID&gt;1246&lt;/ID&gt;&lt;UID&gt;{C40343FB-BF28-45BA-A1A6-DB8A7580DC2C}&lt;/UID&gt;&lt;Title&gt;World Population Prospects: The 2010 Revision&lt;/Title&gt;&lt;Template&gt;Report&lt;/Template&gt;&lt;Star&gt;0&lt;/Star&gt;&lt;Tag&gt;0&lt;/Tag&gt;&lt;Author&gt;&amp;quot;UN Population Division&amp;quot;&lt;/Author&gt;&lt;Year&gt;2011&lt;/Year&gt;&lt;Details&gt;&lt;_accessed&gt;59082699&lt;/_accessed&gt;&lt;_created&gt;59082695&lt;/_created&gt;&lt;_language&gt;English&lt;/_language&gt;&lt;_modified&gt;59082699&lt;/_modified&gt;&lt;_place_published&gt;New York&lt;/_place_published&gt;&lt;_publisher&gt;Population Division, Department of Economic and Social Affairs, United Nations&lt;/_publisher&gt;&lt;_url&gt;http://esa.un.org/unpd/wpp/index.htm&lt;/_url&gt;&lt;/Details&gt;&lt;Extra&gt;&lt;DBUID&gt;{502CA3C0-22CA-4511-973C-E02D6A2BD88D}&lt;/DBUID&gt;&lt;/Extra&gt;&lt;/Item&gt;&lt;/References&gt;&lt;/Group&gt;&lt;/Citation&gt;_x000a_"/>
    <w:docVar w:name="NE.Ref{E6E98978-6AF7-4B93-9197-B63436C7AEE8}" w:val=" ADDIN NE.Ref.{E6E98978-6AF7-4B93-9197-B63436C7AEE8}&lt;Citation SecTmpl=&quot;1&quot;&gt;&lt;Group&gt;&lt;References&gt;&lt;Item&gt;&lt;ID&gt;1308&lt;/ID&gt;&lt;UID&gt;{CA8AC64A-1CCA-4DCE-8D62-D44B11C2C5F3}&lt;/UID&gt;&lt;Title&gt;Labor productivity in Western Europe 1975-1985: An intercountry, interindustry analysis&lt;/Title&gt;&lt;Template&gt;Journal Article&lt;/Template&gt;&lt;Star&gt;0&lt;/Star&gt;&lt;Tag&gt;0&lt;/Tag&gt;&lt;Author&gt;Dietzenbacher, Erik; Hoen, Alex R; Los, Bart&lt;/Author&gt;&lt;Year&gt;2000&lt;/Year&gt;&lt;Details&gt;&lt;_accessed&gt;59366975&lt;/_accessed&gt;&lt;_created&gt;59333255&lt;/_created&gt;&lt;_issue&gt;3&lt;/_issue&gt;&lt;_journal&gt;Journal of Regional Science&lt;/_journal&gt;&lt;_language&gt;English&lt;/_language&gt;&lt;_modified&gt;59366976&lt;/_modified&gt;&lt;_pages&gt;425-452&lt;/_pages&gt;&lt;_volume&gt;40&lt;/_volume&gt;&lt;/Details&gt;&lt;Extra&gt;&lt;DBUID&gt;{502CA3C0-22CA-4511-973C-E02D6A2BD88D}&lt;/DBUID&gt;&lt;/Extra&gt;&lt;/Item&gt;&lt;/References&gt;&lt;/Group&gt;&lt;/Citation&gt;_x000a_"/>
    <w:docVar w:name="NE.Ref{E7913C35-100A-4CE1-BA69-1875665B8C29}" w:val=" ADDIN NE.Ref.{E7913C35-100A-4CE1-BA69-1875665B8C29}&lt;Citation&gt;&lt;Group&gt;&lt;References&gt;&lt;Item&gt;&lt;ID&gt;1119&lt;/ID&gt;&lt;UID&gt;{05FA38D8-F7E4-4740-ADAF-7F76867682DD}&lt;/UID&gt;&lt;Title&gt;Climate Analysis Indicators Tool (CAIT) Version 8.0&lt;/Title&gt;&lt;Template&gt;Electronic Source&lt;/Template&gt;&lt;Star&gt;0&lt;/Star&gt;&lt;Tag&gt;0&lt;/Tag&gt;&lt;Author&gt;WRI&lt;/Author&gt;&lt;Year&gt;2011&lt;/Year&gt;&lt;Details&gt;&lt;_accessed&gt;59082413&lt;/_accessed&gt;&lt;_created&gt;58020423&lt;/_created&gt;&lt;_date&gt;58335840&lt;/_date&gt;&lt;_date_display&gt;2010-4-25&lt;/_date_display&gt;&lt;_issue&gt;4-25&lt;/_issue&gt;&lt;_modified&gt;58442269&lt;/_modified&gt;&lt;_number&gt;2011-2-12&lt;/_number&gt;&lt;_place_published&gt;Washington, DC&lt;/_place_published&gt;&lt;_publisher&gt;World Resources Institute&lt;/_publisher&gt;&lt;_url&gt;http://cait.wri.org&lt;/_url&gt;&lt;_volume&gt;2011&lt;/_volume&gt;&lt;/Details&gt;&lt;Extra&gt;&lt;DBUID&gt;{502CA3C0-22CA-4511-973C-E02D6A2BD88D}&lt;/DBUID&gt;&lt;/Extra&gt;&lt;/Item&gt;&lt;/References&gt;&lt;/Group&gt;&lt;/Citation&gt;_x000a_"/>
    <w:docVar w:name="NE.Ref{E81E8666-F14D-4CC3-9280-1A8940EF14AC}" w:val=" ADDIN NE.Ref.{E81E8666-F14D-4CC3-9280-1A8940EF14AC}&lt;Citation&gt;&lt;Group&gt;&lt;References&gt;&lt;Item&gt;&lt;ID&gt;1014&lt;/ID&gt;&lt;UID&gt;{C7B58D86-6EF1-43C4-8250-1BE3F1F6E11A}&lt;/UID&gt;&lt;Title&gt;Post-Kyoto greenhouse gas inventories: production versus consumption&lt;/Title&gt;&lt;Template&gt;Journal Article&lt;/Template&gt;&lt;Star&gt;0&lt;/Star&gt;&lt;Tag&gt;0&lt;/Tag&gt;&lt;Author&gt;Peters, G P; Hertwich, E G&lt;/Author&gt;&lt;Year&gt;2008&lt;/Year&gt;&lt;Details&gt;&lt;_accessed&gt;58801603&lt;/_accessed&gt;&lt;_created&gt;57975140&lt;/_created&gt;&lt;_date_display&gt;2008_x000d__x000a_JAN&lt;/_date_display&gt;&lt;_isbn&gt;0165-0009&lt;/_isbn&gt;&lt;_issue&gt;1-2&lt;/_issue&gt;&lt;_journal&gt;Climatic Change&lt;/_journal&gt;&lt;_keywords&gt;INPUT-OUTPUT APPROACH; INTERNATIONAL-TRADE; CLIMATE-CHANGE; CONSUMER RESPONSIBILITY; ENVIRONMENTAL LOAD; CO2 EMISSIONS; POLICY; ENERGY; POLLUTION; IMPORTS&lt;/_keywords&gt;&lt;_language&gt;English&lt;/_language&gt;&lt;_modified&gt;58801603&lt;/_modified&gt;&lt;_number&gt;ISI:000251821500007&lt;/_number&gt;&lt;_pages&gt;51-66&lt;/_pages&gt;&lt;_type_work&gt;Article&lt;/_type_work&gt;&lt;_volume&gt;86&lt;/_volume&gt;&lt;/Details&gt;&lt;Extra&gt;&lt;DBUID&gt;{502CA3C0-22CA-4511-973C-E02D6A2BD88D}&lt;/DBUID&gt;&lt;/Extra&gt;&lt;/Item&gt;&lt;/References&gt;&lt;/Group&gt;&lt;/Citation&gt;_x000a_"/>
    <w:docVar w:name="NE.Ref{E99DEB2F-A20F-4AA4-B714-4570A05CFAE8}" w:val=" ADDIN NE.Ref.{E99DEB2F-A20F-4AA4-B714-4570A05CFAE8}&lt;Citation SecTmpl=&quot;1&quot;&gt;&lt;Group&gt;&lt;References&gt;&lt;Item&gt;&lt;ID&gt;519&lt;/ID&gt;&lt;UID&gt;{300D951C-C0D8-49E1-B0BF-60A5761D57DA}&lt;/UID&gt;&lt;Title&gt;中国进出口贸易中的隐含碳估算&lt;/Title&gt;&lt;Template&gt;Journal Article&lt;/Template&gt;&lt;Star&gt;0&lt;/Star&gt;&lt;Tag&gt;0&lt;/Tag&gt;&lt;Author&gt;齐晔; 李惠民; 徐明&lt;/Author&gt;&lt;Year&gt;2008&lt;/Year&gt;&lt;Details&gt;&lt;_accessed&gt;59334759&lt;/_accessed&gt;&lt;_created&gt;57702209&lt;/_created&gt;&lt;_isbn&gt;1002-2104&lt;/_isbn&gt;&lt;_issue&gt;3&lt;/_issue&gt;&lt;_journal&gt;中国人口∙资源与环境&lt;/_journal&gt;&lt;_keywords&gt;进出口贸易;;隐含碳;;投入产出法&lt;/_keywords&gt;&lt;_modified&gt;58757243&lt;/_modified&gt;&lt;_pages&gt;8-13&lt;/_pages&gt;&lt;_volume&gt;18&lt;/_volume&gt;&lt;/Details&gt;&lt;Extra&gt;&lt;DBUID&gt;{502CA3C0-22CA-4511-973C-E02D6A2BD88D}&lt;/DBUID&gt;&lt;/Extra&gt;&lt;/Item&gt;&lt;/References&gt;&lt;/Group&gt;&lt;Group&gt;&lt;References&gt;&lt;Item&gt;&lt;ID&gt;471&lt;/ID&gt;&lt;UID&gt;{3FE434D1-B2DF-4A01-9771-E7F8643C4A2D}&lt;/UID&gt;&lt;Title&gt;基于投入产出分析的中国国际贸易碳排放研究&lt;/Title&gt;&lt;Template&gt;Journal Article&lt;/Template&gt;&lt;Star&gt;0&lt;/Star&gt;&lt;Tag&gt;0&lt;/Tag&gt;&lt;Author&gt;魏本勇; 方修琦; 王媛; 杨会民; 张迪&lt;/Author&gt;&lt;Year&gt;2009&lt;/Year&gt;&lt;Details&gt;&lt;_accessed&gt;58750172&lt;/_accessed&gt;&lt;_author_adr&gt;北京师范大学地理学与遥感科学学院;天津大学环境科学与工程学院;&lt;/_author_adr&gt;&lt;_created&gt;57702108&lt;/_created&gt;&lt;_isbn&gt;0476-0301&lt;/_isbn&gt;&lt;_issue&gt;4&lt;/_issue&gt;&lt;_journal&gt;北京师范大学学报(自然科学版)&lt;/_journal&gt;&lt;_keywords&gt;国际贸易; 碳排放; 碳污染; 投入产出分析; 中国&lt;/_keywords&gt;&lt;_modified&gt;58750173&lt;/_modified&gt;&lt;_pages&gt;413-419&lt;/_pages&gt;&lt;_volume&gt;45&lt;/_volume&gt;&lt;/Details&gt;&lt;Extra&gt;&lt;DBUID&gt;{502CA3C0-22CA-4511-973C-E02D6A2BD88D}&lt;/DBUID&gt;&lt;/Extra&gt;&lt;/Item&gt;&lt;/References&gt;&lt;/Group&gt;&lt;Group&gt;&lt;References&gt;&lt;Item&gt;&lt;ID&gt;498&lt;/ID&gt;&lt;UID&gt;{7A6B80AB-A1D8-4430-B6A3-D96767A5F906}&lt;/UID&gt;&lt;Title&gt;中国对外贸易产生的CO2排放区位转移分析&lt;/Title&gt;&lt;Template&gt;Journal Article&lt;/Template&gt;&lt;Star&gt;0&lt;/Star&gt;&lt;Tag&gt;0&lt;/Tag&gt;&lt;Author&gt;张晓平&lt;/Author&gt;&lt;Year&gt;2009&lt;/Year&gt;&lt;Details&gt;&lt;_accessed&gt;58750187&lt;/_accessed&gt;&lt;_author_adr&gt;中国科学院研究生院资源与环境学院;&lt;/_author_adr&gt;&lt;_created&gt;57702162&lt;/_created&gt;&lt;_isbn&gt;0375-5444&lt;/_isbn&gt;&lt;_issue&gt;2&lt;/_issue&gt;&lt;_journal&gt;地理学报&lt;/_journal&gt;&lt;_keywords&gt;对外贸易; CO2排放; 内涵能源; 投入产出分析; 中国&lt;/_keywords&gt;&lt;_marked_fields&gt;title;SUB|12|1 _x000d__x000a_&lt;/_marked_fields&gt;&lt;_modified&gt;58750187&lt;/_modified&gt;&lt;_pages&gt;234-242&lt;/_pages&gt;&lt;_volume&gt;64&lt;/_volume&gt;&lt;/Details&gt;&lt;Extra&gt;&lt;DBUID&gt;{502CA3C0-22CA-4511-973C-E02D6A2BD88D}&lt;/DBUID&gt;&lt;/Extra&gt;&lt;/Item&gt;&lt;/References&gt;&lt;/Group&gt;&lt;Group&gt;&lt;References&gt;&lt;Item&gt;&lt;ID&gt;1218&lt;/ID&gt;&lt;UID&gt;{9064E983-C813-4370-8239-BDC2A6D3DB2E}&lt;/UID&gt;&lt;Title&gt;进出口贸易对中国隐含碳排放量的影响:2000-2009年——基于国内消费视角的单区域投入产出模型分析&lt;/Title&gt;&lt;Template&gt;Journal Article&lt;/Template&gt;&lt;Star&gt;0&lt;/Star&gt;&lt;Tag&gt;0&lt;/Tag&gt;&lt;Author&gt;马述忠; 陈颖&lt;/Author&gt;&lt;Year&gt;2010&lt;/Year&gt;&lt;Details&gt;&lt;_accessed&gt;58750189&lt;/_accessed&gt;&lt;_created&gt;58750189&lt;/_created&gt;&lt;_issue&gt;12&lt;/_issue&gt;&lt;_journal&gt;财贸经济&lt;/_journal&gt;&lt;_modified&gt;58750190&lt;/_modified&gt;&lt;_pages&gt;82-89, 145&lt;/_pages&gt;&lt;/Details&gt;&lt;Extra&gt;&lt;DBUID&gt;{502CA3C0-22CA-4511-973C-E02D6A2BD88D}&lt;/DBUID&gt;&lt;/Extra&gt;&lt;/Item&gt;&lt;/References&gt;&lt;/Group&gt;&lt;Group&gt;&lt;References&gt;&lt;Item&gt;&lt;ID&gt;974&lt;/ID&gt;&lt;UID&gt;{61B18AB6-3CE2-4B7B-99C3-C6C5F624C080}&lt;/UID&gt;&lt;Title&gt;基于投入产出分析的中国碳排放足迹研究&lt;/Title&gt;&lt;Template&gt;Journal Article&lt;/Template&gt;&lt;Star&gt;0&lt;/Star&gt;&lt;Tag&gt;0&lt;/Tag&gt;&lt;Author&gt;孙建卫; 陈志刚; 赵荣钦; 黄贤金; 赖力&lt;/Author&gt;&lt;Year&gt;2010&lt;/Year&gt;&lt;Details&gt;&lt;_accessed&gt;58279675&lt;/_accessed&gt;&lt;_created&gt;58055772&lt;/_created&gt;&lt;_issue&gt;5&lt;/_issue&gt;&lt;_journal&gt;中国人口∙资源与环境&lt;/_journal&gt;&lt;_language&gt;Chinese&lt;/_language&gt;&lt;_modified&gt;58279675&lt;/_modified&gt;&lt;_pages&gt;28-34&lt;/_pages&gt;&lt;_tertiary_title&gt;China Population, Resources and Environment&lt;/_tertiary_title&gt;&lt;_translated_author&gt;Sun, Jianwei; Chen, Zhigang; Zhao, Rongqin; Huang, Xianjin; Lai, Li&lt;/_translated_author&gt;&lt;_translated_title&gt;Research on Carbon emission footprint of China based on input-output model&lt;/_translated_title&gt;&lt;_volume&gt;20&lt;/_volume&gt;&lt;/Details&gt;&lt;Extra&gt;&lt;DBUID&gt;{502CA3C0-22CA-4511-973C-E02D6A2BD88D}&lt;/DBUID&gt;&lt;/Extra&gt;&lt;/Item&gt;&lt;/References&gt;&lt;/Group&gt;&lt;/Citation&gt;_x000a_"/>
    <w:docVar w:name="NE.Ref{EA08C983-C9BE-4B27-B5C4-0B2C0BB522C9}" w:val=" ADDIN NE.Ref.{EA08C983-C9BE-4B27-B5C4-0B2C0BB522C9}&lt;Citation SecTmpl=&quot;1&quot;&gt;&lt;Group&gt;&lt;References&gt;&lt;Item&gt;&lt;ID&gt;1250&lt;/ID&gt;&lt;UID&gt;{12C20B80-0367-47B3-BFA4-322592B4617A}&lt;/UID&gt;&lt;Title&gt;2010年第六次全国人口普查主要数据公报（第1号）&lt;/Title&gt;&lt;Template&gt;Report&lt;/Template&gt;&lt;Star&gt;0&lt;/Star&gt;&lt;Tag&gt;0&lt;/Tag&gt;&lt;Author&gt;国家统计局&lt;/Author&gt;&lt;Year&gt;2011&lt;/Year&gt;&lt;Details&gt;&lt;_accessed&gt;59082706&lt;/_accessed&gt;&lt;_created&gt;59082706&lt;/_created&gt;&lt;_language&gt;Chinese&lt;/_language&gt;&lt;_modified&gt;59082706&lt;/_modified&gt;&lt;_place_published&gt;北京&lt;/_place_published&gt;&lt;_publisher&gt;国家统计局&lt;/_publisher&gt;&lt;_url&gt;http://www.stats.gov.cn/tjfx/jdfx/t20110428_402722253.htm&lt;/_url&gt;&lt;/Details&gt;&lt;Extra&gt;&lt;DBUID&gt;{502CA3C0-22CA-4511-973C-E02D6A2BD88D}&lt;/DBUID&gt;&lt;/Extra&gt;&lt;/Item&gt;&lt;/References&gt;&lt;/Group&gt;&lt;/Citation&gt;_x000a_"/>
    <w:docVar w:name="NE.Ref{EBD6E4FB-DB91-431F-94DB-9EC09261DEED}" w:val=" ADDIN NE.Ref.{EBD6E4FB-DB91-431F-94DB-9EC09261DEED}&lt;Citation&gt;&lt;Group&gt;&lt;References&gt;&lt;Item&gt;&lt;ID&gt;1187&lt;/ID&gt;&lt;UID&gt;{59DA5930-7734-4321-9CBA-3C768437B485}&lt;/UID&gt;&lt;Title&gt;Revised 1996 IPCC Guidelines for National Greenhouse Gas Inventories&lt;/Title&gt;&lt;Template&gt;Book&lt;/Template&gt;&lt;Star&gt;0&lt;/Star&gt;&lt;Tag&gt;0&lt;/Tag&gt;&lt;Author&gt;IPCC; OECD; IEA&lt;/Author&gt;&lt;Year&gt;1997&lt;/Year&gt;&lt;Details&gt;&lt;_accessed&gt;58066050&lt;/_accessed&gt;&lt;_created&gt;58014498&lt;/_created&gt;&lt;_language&gt;English&lt;/_language&gt;&lt;_modified&gt;58066050&lt;/_modified&gt;&lt;_place_published&gt;Paris&lt;/_place_published&gt;&lt;_publisher&gt;Organization for Economic Cooperative Development&lt;/_publisher&gt;&lt;/Details&gt;&lt;Extra&gt;&lt;DBUID&gt;{502CA3C0-22CA-4511-973C-E02D6A2BD88D}&lt;/DBUID&gt;&lt;/Extra&gt;&lt;/Item&gt;&lt;/References&gt;&lt;/Group&gt;&lt;/Citation&gt;_x000a_"/>
    <w:docVar w:name="NE.Ref{ED1403B3-AAF4-453E-A96E-FC2C189820F5}" w:val=" ADDIN NE.Ref.{ED1403B3-AAF4-453E-A96E-FC2C189820F5}&lt;Citation&gt;&lt;Group&gt;&lt;References&gt;&lt;Item&gt;&lt;ID&gt;1126&lt;/ID&gt;&lt;UID&gt;{683724DC-1CE0-423B-99D2-C7D3187BCBE9}&lt;/UID&gt;&lt;Title&gt;中国二氧化碳排放增长因素分析——基于SDA分解技术&lt;/Title&gt;&lt;Template&gt;Journal Article&lt;/Template&gt;&lt;Star&gt;0&lt;/Star&gt;&lt;Tag&gt;0&lt;/Tag&gt;&lt;Author&gt;郭朝先&lt;/Author&gt;&lt;Year&gt;2010&lt;/Year&gt;&lt;Details&gt;&lt;_accessed&gt;58591293&lt;/_accessed&gt;&lt;_created&gt;58441616&lt;/_created&gt;&lt;_issue&gt;12&lt;/_issue&gt;&lt;_journal&gt;中国工业经济&lt;/_journal&gt;&lt;_language&gt;Chinese&lt;/_language&gt;&lt;_modified&gt;58441616&lt;/_modified&gt;&lt;_pages&gt;47-56&lt;/_pages&gt;&lt;/Details&gt;&lt;Extra&gt;&lt;DBUID&gt;{502CA3C0-22CA-4511-973C-E02D6A2BD88D}&lt;/DBUID&gt;&lt;/Extra&gt;&lt;/Item&gt;&lt;/References&gt;&lt;/Group&gt;&lt;Group&gt;&lt;References&gt;&lt;Item&gt;&lt;ID&gt;1230&lt;/ID&gt;&lt;UID&gt;{54C6975A-D385-42E2-B9FE-2FBBE48BA1EF}&lt;/UID&gt;&lt;Title&gt;中国出口贸易中隐含碳排放增长的结构分解分析&lt;/Title&gt;&lt;Template&gt;Journal Article&lt;/Template&gt;&lt;Star&gt;0&lt;/Star&gt;&lt;Tag&gt;0&lt;/Tag&gt;&lt;Author&gt;李艳梅; 付加锋&lt;/Author&gt;&lt;Year&gt;2010&lt;/Year&gt;&lt;Details&gt;&lt;_accessed&gt;59082748&lt;/_accessed&gt;&lt;_created&gt;58751165&lt;/_created&gt;&lt;_issue&gt;8&lt;/_issue&gt;&lt;_journal&gt;中国人口·资源与环境&lt;/_journal&gt;&lt;_modified&gt;58757242&lt;/_modified&gt;&lt;_pages&gt;53-57&lt;/_pages&gt;&lt;_volume&gt;20&lt;/_volume&gt;&lt;/Details&gt;&lt;Extra&gt;&lt;DBUID&gt;{502CA3C0-22CA-4511-973C-E02D6A2BD88D}&lt;/DBUID&gt;&lt;/Extra&gt;&lt;/Item&gt;&lt;/References&gt;&lt;/Group&gt;&lt;/Citation&gt;_x000a_"/>
    <w:docVar w:name="NE.Ref{ED3FE36E-1DE6-4D56-B418-56417CFE169F}" w:val=" ADDIN NE.Ref.{ED3FE36E-1DE6-4D56-B418-56417CFE169F}&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EDF90C52-D617-4984-9DC3-46F8151FD1A7}" w:val=" ADDIN NE.Ref.{EDF90C52-D617-4984-9DC3-46F8151FD1A7}&lt;Citation&gt;&lt;Group&gt;&lt;References&gt;&lt;Item&gt;&lt;ID&gt;1359&lt;/ID&gt;&lt;UID&gt;{23D722CB-EC4C-4035-AC2F-5712AA8427EC}&lt;/UID&gt;&lt;Title&gt;中国统计年鉴2012&lt;/Title&gt;&lt;Template&gt;Book&lt;/Template&gt;&lt;Star&gt;0&lt;/Star&gt;&lt;Tag&gt;0&lt;/Tag&gt;&lt;Author&gt;国家统计局&lt;/Author&gt;&lt;Year&gt;2012&lt;/Year&gt;&lt;Details&gt;&lt;_accessed&gt;59397054&lt;/_accessed&gt;&lt;_created&gt;59397054&lt;/_created&gt;&lt;_language&gt;chinese&lt;/_language&gt;&lt;_modified&gt;59397054&lt;/_modified&gt;&lt;_place_published&gt;北京&lt;/_place_published&gt;&lt;_publisher&gt;中国统计出版社&lt;/_publisher&gt;&lt;/Details&gt;&lt;Extra&gt;&lt;DBUID&gt;{502CA3C0-22CA-4511-973C-E02D6A2BD88D}&lt;/DBUID&gt;&lt;/Extra&gt;&lt;/Item&gt;&lt;/References&gt;&lt;/Group&gt;&lt;/Citation&gt;_x000a_"/>
    <w:docVar w:name="NE.Ref{EF3B5B72-9C9C-47DD-BCD7-A40558C938B6}" w:val=" ADDIN NE.Ref.{EF3B5B72-9C9C-47DD-BCD7-A40558C938B6}&lt;Citation&gt;&lt;Group&gt;&lt;References&gt;&lt;Item&gt;&lt;ID&gt;155&lt;/ID&gt;&lt;UID&gt;{4143CCE7-BEAF-4212-80DA-3BB831C80864}&lt;/UID&gt;&lt;Title&gt;International Energy Statistics - CO2 Emissions&lt;/Title&gt;&lt;Template&gt;Electronic Source&lt;/Template&gt;&lt;Star&gt;0&lt;/Star&gt;&lt;Tag&gt;0&lt;/Tag&gt;&lt;Author&gt;USEIA&lt;/Author&gt;&lt;Year&gt;2010&lt;/Year&gt;&lt;Details&gt;&lt;_accessed&gt;59082357&lt;/_accessed&gt;&lt;_created&gt;58032017&lt;/_created&gt;&lt;_date&gt;58134240&lt;/_date&gt;&lt;_marked_fields&gt;title;SUB|37|1 _x000d__x000a_&lt;/_marked_fields&gt;&lt;_modified&gt;59082357&lt;/_modified&gt;&lt;_number&gt;2011-4-10&lt;/_number&gt;&lt;_place_published&gt;Washington, DC&lt;/_place_published&gt;&lt;_publisher&gt;U.S. Energy Information Administration&lt;/_publisher&gt;&lt;_url&gt;http://tonto.eia.doe.gov/cfapps/ipdbproject/IEDIndex3.cfm?tid=90&amp;amp;pid=44&amp;amp;aid=8&lt;/_url&gt;&lt;/Details&gt;&lt;Extra&gt;&lt;DBUID&gt;{502CA3C0-22CA-4511-973C-E02D6A2BD88D}&lt;/DBUID&gt;&lt;/Extra&gt;&lt;/Item&gt;&lt;/References&gt;&lt;/Group&gt;&lt;/Citation&gt;_x000a_"/>
    <w:docVar w:name="NE.Ref{EF4A0B5D-AD98-4538-B2C0-220E147CCA04}" w:val=" ADDIN NE.Ref.{EF4A0B5D-AD98-4538-B2C0-220E147CCA04}&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EFAEA7CB-4BEE-4BE9-BB20-08D3922DD812}" w:val=" ADDIN NE.Ref.{EFAEA7CB-4BEE-4BE9-BB20-08D3922DD812}&lt;Citation&gt;&lt;Group&gt;&lt;References&gt;&lt;Item&gt;&lt;ID&gt;1132&lt;/ID&gt;&lt;UID&gt;{5F7AD348-E7AE-4FC8-BD0B-7671C70739CD}&lt;/UID&gt;&lt;Title&gt;Measuring structural change and energy use: Decomposition of the US economy from 1997 to 2002&lt;/Title&gt;&lt;Template&gt;Journal Article&lt;/Template&gt;&lt;Star&gt;0&lt;/Star&gt;&lt;Tag&gt;0&lt;/Tag&gt;&lt;Author&gt;Weber, Christopher L&lt;/Author&gt;&lt;Year&gt;2009&lt;/Year&gt;&lt;Details&gt;&lt;_alternate_title&gt;Energy Policy&lt;/_alternate_title&gt;&lt;_created&gt;58202867&lt;/_created&gt;&lt;_date_display&gt;2009/4//&lt;/_date_display&gt;&lt;_isbn&gt;0301-4215&lt;/_isbn&gt;&lt;_issue&gt;4&lt;/_issue&gt;&lt;_journal&gt;Energy Policy&lt;/_journal&gt;&lt;_keywords&gt;Structural decomposition analysis; Index decomposition analysis; Structural change&lt;/_keywords&gt;&lt;_label&gt;已打&lt;/_label&gt;&lt;_modified&gt;58202867&lt;/_modified&gt;&lt;_pages&gt;1561-1570&lt;/_pages&gt;&lt;_url&gt;http://www.sciencedirect.com/science/article/B6V2W-4VJJWFX-3/2/ed3eb60c033c8a8476e9969bd8e6f2ee&lt;/_url&gt;&lt;_volume&gt;37&lt;/_volume&gt;&lt;/Details&gt;&lt;Extra&gt;&lt;DBUID&gt;{502CA3C0-22CA-4511-973C-E02D6A2BD88D}&lt;/DBUID&gt;&lt;/Extra&gt;&lt;/Item&gt;&lt;/References&gt;&lt;/Group&gt;&lt;/Citation&gt;_x000a_"/>
    <w:docVar w:name="NE.Ref{F311F113-C60B-41AE-9C26-325C8F78BFB9}" w:val=" ADDIN NE.Ref.{F311F113-C60B-41AE-9C26-325C8F78BFB9}&lt;Citation&gt;&lt;Group&gt;&lt;References&gt;&lt;Item&gt;&lt;ID&gt;1182&lt;/ID&gt;&lt;UID&gt;{5EC5EC4B-DE76-4E06-999F-7C2027AC8C7C}&lt;/UID&gt;&lt;Title&gt;2006 IPCC Guidelines for National Greenhouse Gas Inventories&lt;/Title&gt;&lt;Template&gt;Book&lt;/Template&gt;&lt;Star&gt;0&lt;/Star&gt;&lt;Tag&gt;0&lt;/Tag&gt;&lt;Author&gt;IPCC&lt;/Author&gt;&lt;Year&gt;2006&lt;/Year&gt;&lt;Details&gt;&lt;_accessed&gt;58548501&lt;/_accessed&gt;&lt;_created&gt;58031931&lt;/_created&gt;&lt;_language&gt;English&lt;/_language&gt;&lt;_modified&gt;58548501&lt;/_modified&gt;&lt;_place_published&gt;Hayama, Kanagawa, Japan&lt;/_place_published&gt;&lt;_publisher&gt;Institute for Global Environmental Strategies&lt;/_publisher&gt;&lt;/Details&gt;&lt;Extra&gt;&lt;DBUID&gt;{502CA3C0-22CA-4511-973C-E02D6A2BD88D}&lt;/DBUID&gt;&lt;/Extra&gt;&lt;/Item&gt;&lt;/References&gt;&lt;/Group&gt;&lt;/Citation&gt;_x000a_"/>
    <w:docVar w:name="NE.Ref{F4FE2589-BC4F-437C-83B0-B3E7D41C27AE}" w:val=" ADDIN NE.Ref.{F4FE2589-BC4F-437C-83B0-B3E7D41C27AE}&lt;Citation&gt;&lt;Group&gt;&lt;References&gt;&lt;Item&gt;&lt;ID&gt;1175&lt;/ID&gt;&lt;UID&gt;{8D52B573-79B1-43C7-A4EB-0A5BA56B9802}&lt;/UID&gt;&lt;Title&gt;Climate Change 2007: The Fourth Assessment Report of the Intergovernmental Panel on Climate Change&lt;/Title&gt;&lt;Template&gt;Book&lt;/Template&gt;&lt;Star&gt;0&lt;/Star&gt;&lt;Tag&gt;0&lt;/Tag&gt;&lt;Author&gt;IPCC&lt;/Author&gt;&lt;Year&gt;2007&lt;/Year&gt;&lt;Details&gt;&lt;_accessed&gt;59082387&lt;/_accessed&gt;&lt;_created&gt;58014601&lt;/_created&gt;&lt;_language&gt;English&lt;/_language&gt;&lt;_modified&gt;59082387&lt;/_modified&gt;&lt;_place_published&gt;Cambridge&lt;/_place_published&gt;&lt;_publisher&gt;Cambridge University Press&lt;/_publisher&gt;&lt;/Details&gt;&lt;Extra&gt;&lt;DBUID&gt;{502CA3C0-22CA-4511-973C-E02D6A2BD88D}&lt;/DBUID&gt;&lt;/Extra&gt;&lt;/Item&gt;&lt;/References&gt;&lt;/Group&gt;&lt;/Citation&gt;_x000a_"/>
    <w:docVar w:name="NE.Ref{F5325E9F-92C8-44D8-A67C-17D2249A0E64}" w:val=" ADDIN NE.Ref.{F5325E9F-92C8-44D8-A67C-17D2249A0E64}&lt;Citation&gt;&lt;Group&gt;&lt;References&gt;&lt;Item&gt;&lt;ID&gt;856&lt;/ID&gt;&lt;UID&gt;{5AA138EA-8028-4461-8CD0-E9B26825FE83}&lt;/UID&gt;&lt;Title&gt;Impact of regional climate change on human health&lt;/Title&gt;&lt;Template&gt;Journal Article&lt;/Template&gt;&lt;Star&gt;0&lt;/Star&gt;&lt;Tag&gt;0&lt;/Tag&gt;&lt;Author&gt;Patz, Jonathan A; Campbell-Lendrum, Diarmid; Holloway, Tracey; Foley, Jonathan A&lt;/Author&gt;&lt;Year&gt;2005&lt;/Year&gt;&lt;Details&gt;&lt;_accessed&gt;57719348&lt;/_accessed&gt;&lt;_alternate_title&gt;Nature&lt;/_alternate_title&gt;&lt;_created&gt;57719348&lt;/_created&gt;&lt;_date_display&gt;2005/11/17/print&lt;/_date_display&gt;&lt;_isbn&gt;0028-0836&lt;/_isbn&gt;&lt;_issue&gt;7066&lt;/_issue&gt;&lt;_journal&gt;Nature&lt;/_journal&gt;&lt;_language&gt;English&lt;/_language&gt;&lt;_modified&gt;57719349&lt;/_modified&gt;&lt;_ori_publication&gt;Nature Publishing Group&lt;/_ori_publication&gt;&lt;_pages&gt;310-317&lt;/_pages&gt;&lt;_url&gt;http://dx.doi.org/10.1038/nature04188&lt;/_url&gt;&lt;_volume&gt;438&lt;/_volume&gt;&lt;/Details&gt;&lt;Extra&gt;&lt;DBUID&gt;{502CA3C0-22CA-4511-973C-E02D6A2BD88D}&lt;/DBUID&gt;&lt;/Extra&gt;&lt;/Item&gt;&lt;/References&gt;&lt;/Group&gt;&lt;/Citation&gt;_x000a_"/>
    <w:docVar w:name="NE.Ref{F65E5BF4-814C-46DD-85F8-FA418C275263}" w:val=" ADDIN NE.Ref.{F65E5BF4-814C-46DD-85F8-FA418C275263}&lt;Citation SecTmpl=&quot;1&quot;&gt;&lt;Group&gt;&lt;References&gt;&lt;Item&gt;&lt;ID&gt;1351&lt;/ID&gt;&lt;UID&gt;{595E33E1-DC9E-419F-8174-A70F18F4026E}&lt;/UID&gt;&lt;Title&gt;An inventory of primary air pollutants and CO2 emissions from cement production in China, 1990–2020&lt;/Title&gt;&lt;Template&gt;Journal Article&lt;/Template&gt;&lt;Star&gt;0&lt;/Star&gt;&lt;Tag&gt;0&lt;/Tag&gt;&lt;Author&gt;Lei, Yu; Zhang, Qiang; Nielsen, Chris; He, Kebin&lt;/Author&gt;&lt;Year&gt;2011&lt;/Year&gt;&lt;Details&gt;&lt;_accessed&gt;59393437&lt;/_accessed&gt;&lt;_alternate_title&gt;Atmospheric Environment&lt;/_alternate_title&gt;&lt;_created&gt;59354967&lt;/_created&gt;&lt;_date_display&gt;2011/1//&lt;/_date_display&gt;&lt;_db_updated&gt;ScienceDirect&lt;/_db_updated&gt;&lt;_isbn&gt;1352-2310&lt;/_isbn&gt;&lt;_issue&gt;1&lt;/_issue&gt;&lt;_journal&gt;Atmospheric Environment&lt;/_journal&gt;&lt;_keywords&gt;Cement industry; Emission inventory; China; Technology-based methodology&lt;/_keywords&gt;&lt;_marked_fields&gt;title;SUB|46|1 _x000d__x000a_&lt;/_marked_fields&gt;&lt;_modified&gt;59393437&lt;/_modified&gt;&lt;_pages&gt;147-154&lt;/_pages&gt;&lt;_url&gt;http://www.sciencedirect.com/science/article/pii/S1352231010008095&lt;/_url&gt;&lt;_volume&gt;45&lt;/_volume&gt;&lt;/Details&gt;&lt;Extra&gt;&lt;DBUID&gt;{502CA3C0-22CA-4511-973C-E02D6A2BD88D}&lt;/DBUID&gt;&lt;/Extra&gt;&lt;/Item&gt;&lt;/References&gt;&lt;/Group&gt;&lt;/Citation&gt;_x000a_"/>
    <w:docVar w:name="NE.Ref{F6CF70D0-E7B5-4DA3-AB18-23F7D0D8EE99}" w:val=" ADDIN NE.Ref.{F6CF70D0-E7B5-4DA3-AB18-23F7D0D8EE99}&lt;Citation SecTmpl=&quot;1&quot;&gt;&lt;Group&gt;&lt;References&gt;&lt;Item&gt;&lt;ID&gt;1135&lt;/ID&gt;&lt;UID&gt;{9430A693-E780-4D02-94FE-197C8B7FFD9D}&lt;/UID&gt;&lt;Title&gt;Structural decomposition analysis of sources of decarbonizing economic development in China: 1992-2006&lt;/Title&gt;&lt;Template&gt;Journal Article&lt;/Template&gt;&lt;Star&gt;0&lt;/Star&gt;&lt;Tag&gt;0&lt;/Tag&gt;&lt;Author&gt;Zhang, Youguo&lt;/Author&gt;&lt;Year&gt;2009&lt;/Year&gt;&lt;Details&gt;&lt;_accessed&gt;59334412&lt;/_accessed&gt;&lt;_alternate_title&gt;Ecological Economics&lt;/_alternate_title&gt;&lt;_created&gt;58212724&lt;/_created&gt;&lt;_date_display&gt;2009/6/15/&lt;/_date_display&gt;&lt;_isbn&gt;0921-8009&lt;/_isbn&gt;&lt;_issue&gt;8-9&lt;/_issue&gt;&lt;_journal&gt;Ecological Economics&lt;/_journal&gt;&lt;_keywords&gt;Decarbonizing; Carbon intensity; Production pattern; Demand pattern; Structural decomposition analysis&lt;/_keywords&gt;&lt;_modified&gt;58442104&lt;/_modified&gt;&lt;_pages&gt;2399-2405&lt;/_pages&gt;&lt;_url&gt;http://www.sciencedirect.com/science/article/B6VDY-4W2H2BY-2/2/0135a20bb172f61f65675f9b9e975ccc&lt;/_url&gt;&lt;_volume&gt;68&lt;/_volume&gt;&lt;/Details&gt;&lt;Extra&gt;&lt;DBUID&gt;{502CA3C0-22CA-4511-973C-E02D6A2BD88D}&lt;/DBUID&gt;&lt;/Extra&gt;&lt;/Item&gt;&lt;/References&gt;&lt;/Group&gt;&lt;/Citation&gt;_x000a_"/>
    <w:docVar w:name="NE.Ref{FA696DCF-0CC9-4479-A482-A47CCB236148}" w:val=" ADDIN NE.Ref.{FA696DCF-0CC9-4479-A482-A47CCB236148}&lt;Citation&gt;&lt;Group&gt;&lt;References&gt;&lt;Item&gt;&lt;ID&gt;161&lt;/ID&gt;&lt;UID&gt;{E2C9F7B0-33A4-4DE2-A9ED-EC6D7D109988}&lt;/UID&gt;&lt;Title&gt;2010中国低碳发展报告&lt;/Title&gt;&lt;Template&gt;Book&lt;/Template&gt;&lt;Star&gt;0&lt;/Star&gt;&lt;Tag&gt;0&lt;/Tag&gt;&lt;Author&gt;齐晔&lt;/Author&gt;&lt;Year&gt;2011&lt;/Year&gt;&lt;Details&gt;&lt;_accessed&gt;58541298&lt;/_accessed&gt;&lt;_created&gt;58538769&lt;/_created&gt;&lt;_language&gt;Chinese&lt;/_language&gt;&lt;_modified&gt;58541298&lt;/_modified&gt;&lt;_place_published&gt;北京&lt;/_place_published&gt;&lt;_publisher&gt;科学出版社&lt;/_publisher&gt;&lt;/Details&gt;&lt;Extra&gt;&lt;DBUID&gt;{502CA3C0-22CA-4511-973C-E02D6A2BD88D}&lt;/DBUID&gt;&lt;/Extra&gt;&lt;/Item&gt;&lt;/References&gt;&lt;/Group&gt;&lt;/Citation&gt;_x000a_"/>
    <w:docVar w:name="NE.Ref{FA8252B3-CC1E-444E-A318-D21699271BD8}" w:val=" ADDIN NE.Ref.{FA8252B3-CC1E-444E-A318-D21699271BD8}&lt;Citation&gt;&lt;Group&gt;&lt;References&gt;&lt;Item&gt;&lt;ID&gt;1147&lt;/ID&gt;&lt;UID&gt;{AA7FC275-8C26-42B6-B7EC-D4874C13F02E}&lt;/UID&gt;&lt;Title&gt;Structural decomposition techniques: Sense and sensitivity&lt;/Title&gt;&lt;Template&gt;Journal Article&lt;/Template&gt;&lt;Star&gt;0&lt;/Star&gt;&lt;Tag&gt;0&lt;/Tag&gt;&lt;Author&gt;Dietzenbacher, Erik; Los, Bart&lt;/Author&gt;&lt;Year&gt;1998&lt;/Year&gt;&lt;Details&gt;&lt;_accessed&gt;59366975&lt;/_accessed&gt;&lt;_created&gt;58205376&lt;/_created&gt;&lt;_isbn&gt;0953-5314&lt;/_isbn&gt;&lt;_issue&gt;4&lt;/_issue&gt;&lt;_journal&gt;Economic Systems Research&lt;/_journal&gt;&lt;_modified&gt;59366975&lt;/_modified&gt;&lt;_pages&gt;307-324&lt;/_pages&gt;&lt;_url&gt;http://www.informaworld.com/10.1080/09535319800000023&lt;/_url&gt;&lt;_volume&gt;10&lt;/_volume&gt;&lt;/Details&gt;&lt;Extra&gt;&lt;DBUID&gt;{502CA3C0-22CA-4511-973C-E02D6A2BD88D}&lt;/DBUID&gt;&lt;/Extra&gt;&lt;/Item&gt;&lt;/References&gt;&lt;/Group&gt;&lt;/Citation&gt;_x000a_"/>
    <w:docVar w:name="NE.Ref{FC65BDC1-0A35-4E76-85C3-BCBE63A4A6AA}" w:val=" ADDIN NE.Ref.{FC65BDC1-0A35-4E76-85C3-BCBE63A4A6AA}&lt;Citation&gt;&lt;Group&gt;&lt;References&gt;&lt;Item&gt;&lt;ID&gt;164&lt;/ID&gt;&lt;UID&gt;{DA08697F-61F8-437B-A2BA-1263DF953077}&lt;/UID&gt;&lt;Title&gt;中国能源统计年鉴2009&lt;/Title&gt;&lt;Template&gt;Book&lt;/Template&gt;&lt;Star&gt;0&lt;/Star&gt;&lt;Tag&gt;0&lt;/Tag&gt;&lt;Author&gt;国家统计局能源统计司&lt;/Author&gt;&lt;Year&gt;2010&lt;/Year&gt;&lt;Details&gt;&lt;_accessed&gt;59082744&lt;/_accessed&gt;&lt;_created&gt;58014286&lt;/_created&gt;&lt;_language&gt;Chinese&lt;/_language&gt;&lt;_modified&gt;59082745&lt;/_modified&gt;&lt;_place_published&gt;北京&lt;/_place_published&gt;&lt;_publisher&gt;中国统计出版社&lt;/_publisher&gt;&lt;/Details&gt;&lt;Extra&gt;&lt;DBUID&gt;{502CA3C0-22CA-4511-973C-E02D6A2BD88D}&lt;/DBUID&gt;&lt;/Extra&gt;&lt;/Item&gt;&lt;/References&gt;&lt;/Group&gt;&lt;/Citation&gt;_x000a_"/>
    <w:docVar w:name="NE.Ref{FEB4044E-2B48-4CC1-831F-937DEDE3ED35}" w:val=" ADDIN NE.Ref.{FEB4044E-2B48-4CC1-831F-937DEDE3ED35}&lt;Citation&gt;&lt;Group&gt;&lt;References&gt;&lt;Item&gt;&lt;ID&gt;1253&lt;/ID&gt;&lt;UID&gt;{D514D74C-133F-4312-84CD-5ACF1453621F}&lt;/UID&gt;&lt;Title&gt;Principles of Economics, 6th Edition&lt;/Title&gt;&lt;Template&gt;Book&lt;/Template&gt;&lt;Star&gt;0&lt;/Star&gt;&lt;Tag&gt;0&lt;/Tag&gt;&lt;Author&gt;Mankiw, N Gregory&lt;/Author&gt;&lt;Year&gt;2011&lt;/Year&gt;&lt;Details&gt;&lt;_accessed&gt;59082735&lt;/_accessed&gt;&lt;_created&gt;59082735&lt;/_created&gt;&lt;_language&gt;English&lt;/_language&gt;&lt;_modified&gt;59082735&lt;/_modified&gt;&lt;_place_published&gt;Mason, OH&lt;/_place_published&gt;&lt;_publisher&gt;South-Western Cengage Learning&lt;/_publisher&gt;&lt;/Details&gt;&lt;Extra&gt;&lt;DBUID&gt;{502CA3C0-22CA-4511-973C-E02D6A2BD88D}&lt;/DBUID&gt;&lt;/Extra&gt;&lt;/Item&gt;&lt;/References&gt;&lt;/Group&gt;&lt;/Citation&gt;_x000a_"/>
    <w:docVar w:name="ne_docsoft" w:val="MSWord"/>
    <w:docVar w:name="ne_docversion" w:val="NoteExpress 2.0"/>
    <w:docVar w:name="ne_stylename" w:val="中国国家标准GBT_7714-2005_作者_年份 New"/>
  </w:docVars>
  <w:rsids>
    <w:rsidRoot w:val="00D17E1C"/>
    <w:rsid w:val="000000D3"/>
    <w:rsid w:val="00000460"/>
    <w:rsid w:val="00000F08"/>
    <w:rsid w:val="00001534"/>
    <w:rsid w:val="00002006"/>
    <w:rsid w:val="00002479"/>
    <w:rsid w:val="000025B3"/>
    <w:rsid w:val="0000291B"/>
    <w:rsid w:val="00002D89"/>
    <w:rsid w:val="00004A80"/>
    <w:rsid w:val="00005020"/>
    <w:rsid w:val="000062E6"/>
    <w:rsid w:val="00006411"/>
    <w:rsid w:val="00006B9E"/>
    <w:rsid w:val="00007329"/>
    <w:rsid w:val="00010405"/>
    <w:rsid w:val="00010D4D"/>
    <w:rsid w:val="00012460"/>
    <w:rsid w:val="000124D4"/>
    <w:rsid w:val="0001293D"/>
    <w:rsid w:val="00012FEF"/>
    <w:rsid w:val="000140CD"/>
    <w:rsid w:val="000144AA"/>
    <w:rsid w:val="0001494A"/>
    <w:rsid w:val="00014A48"/>
    <w:rsid w:val="00014B84"/>
    <w:rsid w:val="00014BD6"/>
    <w:rsid w:val="00014FD5"/>
    <w:rsid w:val="000159B7"/>
    <w:rsid w:val="00015BE1"/>
    <w:rsid w:val="000165A9"/>
    <w:rsid w:val="00016B2E"/>
    <w:rsid w:val="00016B62"/>
    <w:rsid w:val="00017D8E"/>
    <w:rsid w:val="000211F9"/>
    <w:rsid w:val="00022642"/>
    <w:rsid w:val="000231B1"/>
    <w:rsid w:val="000244A5"/>
    <w:rsid w:val="00024745"/>
    <w:rsid w:val="00024BD6"/>
    <w:rsid w:val="000250D3"/>
    <w:rsid w:val="0002573D"/>
    <w:rsid w:val="000259C0"/>
    <w:rsid w:val="00027790"/>
    <w:rsid w:val="00027C28"/>
    <w:rsid w:val="00030477"/>
    <w:rsid w:val="00030C9A"/>
    <w:rsid w:val="00030D63"/>
    <w:rsid w:val="00030E84"/>
    <w:rsid w:val="000323B1"/>
    <w:rsid w:val="000323E7"/>
    <w:rsid w:val="00034224"/>
    <w:rsid w:val="00034230"/>
    <w:rsid w:val="000342A8"/>
    <w:rsid w:val="00034518"/>
    <w:rsid w:val="00034DB3"/>
    <w:rsid w:val="0003512B"/>
    <w:rsid w:val="00035465"/>
    <w:rsid w:val="00035B68"/>
    <w:rsid w:val="00035EBA"/>
    <w:rsid w:val="000366FD"/>
    <w:rsid w:val="00036C05"/>
    <w:rsid w:val="00036CFB"/>
    <w:rsid w:val="000379A9"/>
    <w:rsid w:val="00040053"/>
    <w:rsid w:val="00040441"/>
    <w:rsid w:val="00040CAC"/>
    <w:rsid w:val="0004190A"/>
    <w:rsid w:val="0004251F"/>
    <w:rsid w:val="00042747"/>
    <w:rsid w:val="00042A26"/>
    <w:rsid w:val="00042E8E"/>
    <w:rsid w:val="00043114"/>
    <w:rsid w:val="00043668"/>
    <w:rsid w:val="00044C00"/>
    <w:rsid w:val="00045033"/>
    <w:rsid w:val="00045161"/>
    <w:rsid w:val="000458ED"/>
    <w:rsid w:val="0004596A"/>
    <w:rsid w:val="00045AD7"/>
    <w:rsid w:val="00045B8C"/>
    <w:rsid w:val="00045D38"/>
    <w:rsid w:val="00045D78"/>
    <w:rsid w:val="00045F71"/>
    <w:rsid w:val="0004602A"/>
    <w:rsid w:val="00046541"/>
    <w:rsid w:val="00046821"/>
    <w:rsid w:val="000468BA"/>
    <w:rsid w:val="00047142"/>
    <w:rsid w:val="0004774E"/>
    <w:rsid w:val="0004783F"/>
    <w:rsid w:val="00047D28"/>
    <w:rsid w:val="0005002F"/>
    <w:rsid w:val="00050A14"/>
    <w:rsid w:val="00050E58"/>
    <w:rsid w:val="0005163F"/>
    <w:rsid w:val="00051A34"/>
    <w:rsid w:val="000529E3"/>
    <w:rsid w:val="00052E39"/>
    <w:rsid w:val="00053272"/>
    <w:rsid w:val="00053BD4"/>
    <w:rsid w:val="00053ED4"/>
    <w:rsid w:val="0005585C"/>
    <w:rsid w:val="00056082"/>
    <w:rsid w:val="00056926"/>
    <w:rsid w:val="00057471"/>
    <w:rsid w:val="00057693"/>
    <w:rsid w:val="000577AE"/>
    <w:rsid w:val="00057824"/>
    <w:rsid w:val="00057850"/>
    <w:rsid w:val="00057BA1"/>
    <w:rsid w:val="00057C38"/>
    <w:rsid w:val="00057CB5"/>
    <w:rsid w:val="0006025B"/>
    <w:rsid w:val="00060615"/>
    <w:rsid w:val="0006188F"/>
    <w:rsid w:val="00061B76"/>
    <w:rsid w:val="00062656"/>
    <w:rsid w:val="000626A1"/>
    <w:rsid w:val="000641CD"/>
    <w:rsid w:val="0006477D"/>
    <w:rsid w:val="00064805"/>
    <w:rsid w:val="000648E0"/>
    <w:rsid w:val="000653BF"/>
    <w:rsid w:val="00065518"/>
    <w:rsid w:val="000656FE"/>
    <w:rsid w:val="00065C3E"/>
    <w:rsid w:val="00065EA3"/>
    <w:rsid w:val="00066EC9"/>
    <w:rsid w:val="00066FB9"/>
    <w:rsid w:val="0006768E"/>
    <w:rsid w:val="00070152"/>
    <w:rsid w:val="00070320"/>
    <w:rsid w:val="0007184A"/>
    <w:rsid w:val="00071865"/>
    <w:rsid w:val="00071F3A"/>
    <w:rsid w:val="00072716"/>
    <w:rsid w:val="00073417"/>
    <w:rsid w:val="0007386C"/>
    <w:rsid w:val="000744AE"/>
    <w:rsid w:val="00074F55"/>
    <w:rsid w:val="00075167"/>
    <w:rsid w:val="00075DED"/>
    <w:rsid w:val="00076286"/>
    <w:rsid w:val="00076705"/>
    <w:rsid w:val="00076762"/>
    <w:rsid w:val="000771B1"/>
    <w:rsid w:val="00081AB3"/>
    <w:rsid w:val="00081B17"/>
    <w:rsid w:val="00081B9B"/>
    <w:rsid w:val="00082507"/>
    <w:rsid w:val="00082AF4"/>
    <w:rsid w:val="00082E23"/>
    <w:rsid w:val="00082F4E"/>
    <w:rsid w:val="000835A4"/>
    <w:rsid w:val="000837D3"/>
    <w:rsid w:val="00084E5C"/>
    <w:rsid w:val="00085102"/>
    <w:rsid w:val="00086216"/>
    <w:rsid w:val="00086CF1"/>
    <w:rsid w:val="000873FC"/>
    <w:rsid w:val="000878AA"/>
    <w:rsid w:val="00087AAD"/>
    <w:rsid w:val="00090119"/>
    <w:rsid w:val="00090650"/>
    <w:rsid w:val="00090C2B"/>
    <w:rsid w:val="000913F6"/>
    <w:rsid w:val="0009151F"/>
    <w:rsid w:val="000919BE"/>
    <w:rsid w:val="00091F6E"/>
    <w:rsid w:val="00092984"/>
    <w:rsid w:val="00092AA4"/>
    <w:rsid w:val="000938A4"/>
    <w:rsid w:val="00093C54"/>
    <w:rsid w:val="000946C1"/>
    <w:rsid w:val="00094903"/>
    <w:rsid w:val="00094DAC"/>
    <w:rsid w:val="000951F4"/>
    <w:rsid w:val="0009533E"/>
    <w:rsid w:val="000957B4"/>
    <w:rsid w:val="00095E4B"/>
    <w:rsid w:val="00095F79"/>
    <w:rsid w:val="00096B56"/>
    <w:rsid w:val="00097254"/>
    <w:rsid w:val="000976E8"/>
    <w:rsid w:val="0009796B"/>
    <w:rsid w:val="00097B62"/>
    <w:rsid w:val="00097E26"/>
    <w:rsid w:val="000A0398"/>
    <w:rsid w:val="000A0DE5"/>
    <w:rsid w:val="000A1F76"/>
    <w:rsid w:val="000A254E"/>
    <w:rsid w:val="000A2941"/>
    <w:rsid w:val="000A2C7E"/>
    <w:rsid w:val="000A341B"/>
    <w:rsid w:val="000A3B83"/>
    <w:rsid w:val="000A3D60"/>
    <w:rsid w:val="000A4539"/>
    <w:rsid w:val="000A4B14"/>
    <w:rsid w:val="000A536C"/>
    <w:rsid w:val="000A5735"/>
    <w:rsid w:val="000A5F79"/>
    <w:rsid w:val="000A627A"/>
    <w:rsid w:val="000A6743"/>
    <w:rsid w:val="000A6A6E"/>
    <w:rsid w:val="000A6D89"/>
    <w:rsid w:val="000A711E"/>
    <w:rsid w:val="000A71D0"/>
    <w:rsid w:val="000A734B"/>
    <w:rsid w:val="000A75C8"/>
    <w:rsid w:val="000A7BD1"/>
    <w:rsid w:val="000A7F1C"/>
    <w:rsid w:val="000A7F4C"/>
    <w:rsid w:val="000B02BA"/>
    <w:rsid w:val="000B0A74"/>
    <w:rsid w:val="000B0C94"/>
    <w:rsid w:val="000B16DD"/>
    <w:rsid w:val="000B1EE2"/>
    <w:rsid w:val="000B2A3D"/>
    <w:rsid w:val="000B47BB"/>
    <w:rsid w:val="000B492E"/>
    <w:rsid w:val="000B4D55"/>
    <w:rsid w:val="000B569F"/>
    <w:rsid w:val="000B61EE"/>
    <w:rsid w:val="000B6C2D"/>
    <w:rsid w:val="000B7AA5"/>
    <w:rsid w:val="000C123C"/>
    <w:rsid w:val="000C262D"/>
    <w:rsid w:val="000C2760"/>
    <w:rsid w:val="000C28DA"/>
    <w:rsid w:val="000C2D22"/>
    <w:rsid w:val="000C438F"/>
    <w:rsid w:val="000C4511"/>
    <w:rsid w:val="000C488C"/>
    <w:rsid w:val="000C5507"/>
    <w:rsid w:val="000C5DC1"/>
    <w:rsid w:val="000C609C"/>
    <w:rsid w:val="000C629D"/>
    <w:rsid w:val="000C666B"/>
    <w:rsid w:val="000D02E0"/>
    <w:rsid w:val="000D0A12"/>
    <w:rsid w:val="000D0B2E"/>
    <w:rsid w:val="000D1318"/>
    <w:rsid w:val="000D1A22"/>
    <w:rsid w:val="000D1BD2"/>
    <w:rsid w:val="000D2FE7"/>
    <w:rsid w:val="000D33B6"/>
    <w:rsid w:val="000D3845"/>
    <w:rsid w:val="000D3847"/>
    <w:rsid w:val="000D3B29"/>
    <w:rsid w:val="000D3BB7"/>
    <w:rsid w:val="000D482D"/>
    <w:rsid w:val="000D596C"/>
    <w:rsid w:val="000D5F7C"/>
    <w:rsid w:val="000D5FB3"/>
    <w:rsid w:val="000D6332"/>
    <w:rsid w:val="000D640D"/>
    <w:rsid w:val="000D72B3"/>
    <w:rsid w:val="000D7C62"/>
    <w:rsid w:val="000D7F73"/>
    <w:rsid w:val="000E03A7"/>
    <w:rsid w:val="000E11CA"/>
    <w:rsid w:val="000E1463"/>
    <w:rsid w:val="000E23E6"/>
    <w:rsid w:val="000E3408"/>
    <w:rsid w:val="000E34CD"/>
    <w:rsid w:val="000E3751"/>
    <w:rsid w:val="000E4A09"/>
    <w:rsid w:val="000E543F"/>
    <w:rsid w:val="000E560F"/>
    <w:rsid w:val="000E56CA"/>
    <w:rsid w:val="000E60FB"/>
    <w:rsid w:val="000E63B1"/>
    <w:rsid w:val="000E6584"/>
    <w:rsid w:val="000E6DAA"/>
    <w:rsid w:val="000E6E45"/>
    <w:rsid w:val="000E6ED5"/>
    <w:rsid w:val="000E71C2"/>
    <w:rsid w:val="000E7430"/>
    <w:rsid w:val="000E7864"/>
    <w:rsid w:val="000E7A01"/>
    <w:rsid w:val="000F0E25"/>
    <w:rsid w:val="000F0F16"/>
    <w:rsid w:val="000F1460"/>
    <w:rsid w:val="000F1B85"/>
    <w:rsid w:val="000F2105"/>
    <w:rsid w:val="000F2304"/>
    <w:rsid w:val="000F25F3"/>
    <w:rsid w:val="000F2D8C"/>
    <w:rsid w:val="000F3F87"/>
    <w:rsid w:val="000F4CAD"/>
    <w:rsid w:val="000F5E77"/>
    <w:rsid w:val="000F5F86"/>
    <w:rsid w:val="000F6189"/>
    <w:rsid w:val="000F77CB"/>
    <w:rsid w:val="000F7837"/>
    <w:rsid w:val="001026B9"/>
    <w:rsid w:val="00103D4D"/>
    <w:rsid w:val="00103F6E"/>
    <w:rsid w:val="00104258"/>
    <w:rsid w:val="00104C77"/>
    <w:rsid w:val="00104FCD"/>
    <w:rsid w:val="00105046"/>
    <w:rsid w:val="00105B86"/>
    <w:rsid w:val="00106348"/>
    <w:rsid w:val="0010682A"/>
    <w:rsid w:val="00106F6E"/>
    <w:rsid w:val="001073CC"/>
    <w:rsid w:val="00107AB1"/>
    <w:rsid w:val="00107AF9"/>
    <w:rsid w:val="00107DA7"/>
    <w:rsid w:val="001100B6"/>
    <w:rsid w:val="00110133"/>
    <w:rsid w:val="001109A9"/>
    <w:rsid w:val="00110DDB"/>
    <w:rsid w:val="00112AC1"/>
    <w:rsid w:val="00112F9D"/>
    <w:rsid w:val="00113961"/>
    <w:rsid w:val="00113A4B"/>
    <w:rsid w:val="00113F47"/>
    <w:rsid w:val="00113F57"/>
    <w:rsid w:val="001147B3"/>
    <w:rsid w:val="001147EF"/>
    <w:rsid w:val="00114F56"/>
    <w:rsid w:val="0011598A"/>
    <w:rsid w:val="001161FB"/>
    <w:rsid w:val="0011746E"/>
    <w:rsid w:val="00117DDE"/>
    <w:rsid w:val="0012063C"/>
    <w:rsid w:val="0012154B"/>
    <w:rsid w:val="00122214"/>
    <w:rsid w:val="001225A4"/>
    <w:rsid w:val="001226B4"/>
    <w:rsid w:val="0012319C"/>
    <w:rsid w:val="001232F4"/>
    <w:rsid w:val="0012379F"/>
    <w:rsid w:val="00123AF1"/>
    <w:rsid w:val="00124A86"/>
    <w:rsid w:val="0012553F"/>
    <w:rsid w:val="0012594A"/>
    <w:rsid w:val="00125E5F"/>
    <w:rsid w:val="00125FEF"/>
    <w:rsid w:val="001262F1"/>
    <w:rsid w:val="0012648E"/>
    <w:rsid w:val="0012702A"/>
    <w:rsid w:val="0012731D"/>
    <w:rsid w:val="001276AA"/>
    <w:rsid w:val="00130004"/>
    <w:rsid w:val="001311D8"/>
    <w:rsid w:val="0013156B"/>
    <w:rsid w:val="001318CD"/>
    <w:rsid w:val="00131C59"/>
    <w:rsid w:val="00131EA3"/>
    <w:rsid w:val="0013234E"/>
    <w:rsid w:val="0013270C"/>
    <w:rsid w:val="00132BBE"/>
    <w:rsid w:val="00133611"/>
    <w:rsid w:val="0013461F"/>
    <w:rsid w:val="00134C19"/>
    <w:rsid w:val="00134D9C"/>
    <w:rsid w:val="00134FE2"/>
    <w:rsid w:val="001355A5"/>
    <w:rsid w:val="00136E3B"/>
    <w:rsid w:val="001370C7"/>
    <w:rsid w:val="00137595"/>
    <w:rsid w:val="0013764B"/>
    <w:rsid w:val="00137E13"/>
    <w:rsid w:val="00137F7A"/>
    <w:rsid w:val="0014004C"/>
    <w:rsid w:val="00140403"/>
    <w:rsid w:val="001406D9"/>
    <w:rsid w:val="00140903"/>
    <w:rsid w:val="0014142B"/>
    <w:rsid w:val="00142736"/>
    <w:rsid w:val="0014288D"/>
    <w:rsid w:val="00142DB1"/>
    <w:rsid w:val="0014304B"/>
    <w:rsid w:val="00143075"/>
    <w:rsid w:val="00143167"/>
    <w:rsid w:val="001435D4"/>
    <w:rsid w:val="001438CC"/>
    <w:rsid w:val="00143CAA"/>
    <w:rsid w:val="00143DC4"/>
    <w:rsid w:val="00144449"/>
    <w:rsid w:val="00144566"/>
    <w:rsid w:val="00144C90"/>
    <w:rsid w:val="00145446"/>
    <w:rsid w:val="001455A0"/>
    <w:rsid w:val="00145732"/>
    <w:rsid w:val="00146A8D"/>
    <w:rsid w:val="00146BB7"/>
    <w:rsid w:val="00146F7B"/>
    <w:rsid w:val="0014718A"/>
    <w:rsid w:val="00147FF1"/>
    <w:rsid w:val="001507DE"/>
    <w:rsid w:val="00151A7D"/>
    <w:rsid w:val="001521C0"/>
    <w:rsid w:val="0015290B"/>
    <w:rsid w:val="00153536"/>
    <w:rsid w:val="00153C02"/>
    <w:rsid w:val="00154B59"/>
    <w:rsid w:val="001550E7"/>
    <w:rsid w:val="00155EDF"/>
    <w:rsid w:val="001570C3"/>
    <w:rsid w:val="00157BE3"/>
    <w:rsid w:val="00157D70"/>
    <w:rsid w:val="00157E37"/>
    <w:rsid w:val="00160014"/>
    <w:rsid w:val="0016173F"/>
    <w:rsid w:val="00161882"/>
    <w:rsid w:val="00162B6E"/>
    <w:rsid w:val="001630E6"/>
    <w:rsid w:val="00163ACE"/>
    <w:rsid w:val="00163B6E"/>
    <w:rsid w:val="001644AE"/>
    <w:rsid w:val="00164ACE"/>
    <w:rsid w:val="0016548B"/>
    <w:rsid w:val="00165562"/>
    <w:rsid w:val="00166434"/>
    <w:rsid w:val="00166545"/>
    <w:rsid w:val="001665F0"/>
    <w:rsid w:val="001666F6"/>
    <w:rsid w:val="00167003"/>
    <w:rsid w:val="00167A5D"/>
    <w:rsid w:val="001717C1"/>
    <w:rsid w:val="00171B18"/>
    <w:rsid w:val="00171F2A"/>
    <w:rsid w:val="001725F6"/>
    <w:rsid w:val="00172C1C"/>
    <w:rsid w:val="001731C3"/>
    <w:rsid w:val="00173337"/>
    <w:rsid w:val="00174051"/>
    <w:rsid w:val="00174D7D"/>
    <w:rsid w:val="0017559B"/>
    <w:rsid w:val="00175A8C"/>
    <w:rsid w:val="00176610"/>
    <w:rsid w:val="00176DD2"/>
    <w:rsid w:val="00176E34"/>
    <w:rsid w:val="00176FE6"/>
    <w:rsid w:val="00177976"/>
    <w:rsid w:val="00180034"/>
    <w:rsid w:val="00180EA3"/>
    <w:rsid w:val="00180FFB"/>
    <w:rsid w:val="0018146E"/>
    <w:rsid w:val="00181487"/>
    <w:rsid w:val="00181B92"/>
    <w:rsid w:val="001823AA"/>
    <w:rsid w:val="00182C8E"/>
    <w:rsid w:val="00182F6F"/>
    <w:rsid w:val="001830EE"/>
    <w:rsid w:val="001832D6"/>
    <w:rsid w:val="00184404"/>
    <w:rsid w:val="0018509D"/>
    <w:rsid w:val="00185623"/>
    <w:rsid w:val="00185728"/>
    <w:rsid w:val="00185910"/>
    <w:rsid w:val="00185E9E"/>
    <w:rsid w:val="001862CF"/>
    <w:rsid w:val="00186FBC"/>
    <w:rsid w:val="001871B1"/>
    <w:rsid w:val="00187421"/>
    <w:rsid w:val="00187B58"/>
    <w:rsid w:val="00187CB2"/>
    <w:rsid w:val="00187CC8"/>
    <w:rsid w:val="00187FAD"/>
    <w:rsid w:val="0019097C"/>
    <w:rsid w:val="00191925"/>
    <w:rsid w:val="00192367"/>
    <w:rsid w:val="00192630"/>
    <w:rsid w:val="00193040"/>
    <w:rsid w:val="00193529"/>
    <w:rsid w:val="00193C1D"/>
    <w:rsid w:val="00193EEF"/>
    <w:rsid w:val="001945EF"/>
    <w:rsid w:val="001954AC"/>
    <w:rsid w:val="001955B5"/>
    <w:rsid w:val="00195766"/>
    <w:rsid w:val="00195C2E"/>
    <w:rsid w:val="00196095"/>
    <w:rsid w:val="00196A01"/>
    <w:rsid w:val="00197030"/>
    <w:rsid w:val="001973F8"/>
    <w:rsid w:val="00197A86"/>
    <w:rsid w:val="00197D0F"/>
    <w:rsid w:val="00197DA8"/>
    <w:rsid w:val="001A003D"/>
    <w:rsid w:val="001A0479"/>
    <w:rsid w:val="001A0669"/>
    <w:rsid w:val="001A07C1"/>
    <w:rsid w:val="001A08BC"/>
    <w:rsid w:val="001A0C6F"/>
    <w:rsid w:val="001A10D1"/>
    <w:rsid w:val="001A1682"/>
    <w:rsid w:val="001A22F5"/>
    <w:rsid w:val="001A2399"/>
    <w:rsid w:val="001A2E50"/>
    <w:rsid w:val="001A30F0"/>
    <w:rsid w:val="001A315C"/>
    <w:rsid w:val="001A3FEF"/>
    <w:rsid w:val="001A5856"/>
    <w:rsid w:val="001A5AE0"/>
    <w:rsid w:val="001A5CE8"/>
    <w:rsid w:val="001A5FFF"/>
    <w:rsid w:val="001A66AD"/>
    <w:rsid w:val="001A6D19"/>
    <w:rsid w:val="001A6ED8"/>
    <w:rsid w:val="001A77FC"/>
    <w:rsid w:val="001A79E1"/>
    <w:rsid w:val="001A7C2D"/>
    <w:rsid w:val="001A7DA8"/>
    <w:rsid w:val="001B0221"/>
    <w:rsid w:val="001B02E5"/>
    <w:rsid w:val="001B141A"/>
    <w:rsid w:val="001B1D61"/>
    <w:rsid w:val="001B215C"/>
    <w:rsid w:val="001B2839"/>
    <w:rsid w:val="001B3E77"/>
    <w:rsid w:val="001B3E99"/>
    <w:rsid w:val="001B42D0"/>
    <w:rsid w:val="001B5A3B"/>
    <w:rsid w:val="001B63C1"/>
    <w:rsid w:val="001B64A0"/>
    <w:rsid w:val="001B64B6"/>
    <w:rsid w:val="001B68DB"/>
    <w:rsid w:val="001B6920"/>
    <w:rsid w:val="001B75AA"/>
    <w:rsid w:val="001B7B23"/>
    <w:rsid w:val="001C034C"/>
    <w:rsid w:val="001C0CFA"/>
    <w:rsid w:val="001C1A98"/>
    <w:rsid w:val="001C1AA1"/>
    <w:rsid w:val="001C2024"/>
    <w:rsid w:val="001C2E48"/>
    <w:rsid w:val="001C44D5"/>
    <w:rsid w:val="001C554B"/>
    <w:rsid w:val="001C579F"/>
    <w:rsid w:val="001C5CE6"/>
    <w:rsid w:val="001C6447"/>
    <w:rsid w:val="001C70CF"/>
    <w:rsid w:val="001D0D85"/>
    <w:rsid w:val="001D0DB1"/>
    <w:rsid w:val="001D0DEE"/>
    <w:rsid w:val="001D20B1"/>
    <w:rsid w:val="001D2AE6"/>
    <w:rsid w:val="001D2BF4"/>
    <w:rsid w:val="001D320E"/>
    <w:rsid w:val="001D4F24"/>
    <w:rsid w:val="001D5749"/>
    <w:rsid w:val="001D58D3"/>
    <w:rsid w:val="001D5E61"/>
    <w:rsid w:val="001D60C4"/>
    <w:rsid w:val="001D677C"/>
    <w:rsid w:val="001D76EC"/>
    <w:rsid w:val="001D7BBA"/>
    <w:rsid w:val="001D7C48"/>
    <w:rsid w:val="001D7FDD"/>
    <w:rsid w:val="001E024F"/>
    <w:rsid w:val="001E0403"/>
    <w:rsid w:val="001E098B"/>
    <w:rsid w:val="001E0FF7"/>
    <w:rsid w:val="001E14CC"/>
    <w:rsid w:val="001E33A4"/>
    <w:rsid w:val="001E3ED6"/>
    <w:rsid w:val="001E4AF4"/>
    <w:rsid w:val="001E4F77"/>
    <w:rsid w:val="001E5329"/>
    <w:rsid w:val="001E5C4E"/>
    <w:rsid w:val="001E6588"/>
    <w:rsid w:val="001E67FC"/>
    <w:rsid w:val="001E6C5F"/>
    <w:rsid w:val="001E74EB"/>
    <w:rsid w:val="001E7A91"/>
    <w:rsid w:val="001E7DB5"/>
    <w:rsid w:val="001F0773"/>
    <w:rsid w:val="001F0E37"/>
    <w:rsid w:val="001F1098"/>
    <w:rsid w:val="001F1365"/>
    <w:rsid w:val="001F1A27"/>
    <w:rsid w:val="001F1CA1"/>
    <w:rsid w:val="001F2FCE"/>
    <w:rsid w:val="001F38F5"/>
    <w:rsid w:val="001F4C66"/>
    <w:rsid w:val="001F4FC3"/>
    <w:rsid w:val="001F5076"/>
    <w:rsid w:val="001F5C85"/>
    <w:rsid w:val="001F60C7"/>
    <w:rsid w:val="001F6863"/>
    <w:rsid w:val="002001EB"/>
    <w:rsid w:val="002005E4"/>
    <w:rsid w:val="002018F5"/>
    <w:rsid w:val="00201D29"/>
    <w:rsid w:val="00201D47"/>
    <w:rsid w:val="00202994"/>
    <w:rsid w:val="00203188"/>
    <w:rsid w:val="00203CEB"/>
    <w:rsid w:val="00205239"/>
    <w:rsid w:val="00205C0A"/>
    <w:rsid w:val="00205F47"/>
    <w:rsid w:val="00206528"/>
    <w:rsid w:val="002066AC"/>
    <w:rsid w:val="00206ED6"/>
    <w:rsid w:val="00207F66"/>
    <w:rsid w:val="002101C0"/>
    <w:rsid w:val="00210E56"/>
    <w:rsid w:val="00211C21"/>
    <w:rsid w:val="00211E9B"/>
    <w:rsid w:val="00211EFC"/>
    <w:rsid w:val="00212567"/>
    <w:rsid w:val="002134B5"/>
    <w:rsid w:val="00213806"/>
    <w:rsid w:val="002141C6"/>
    <w:rsid w:val="0021470D"/>
    <w:rsid w:val="00214C77"/>
    <w:rsid w:val="00214E21"/>
    <w:rsid w:val="0021534D"/>
    <w:rsid w:val="00216577"/>
    <w:rsid w:val="00216B9C"/>
    <w:rsid w:val="00216F12"/>
    <w:rsid w:val="00221816"/>
    <w:rsid w:val="00221C6C"/>
    <w:rsid w:val="00222CD6"/>
    <w:rsid w:val="00223F41"/>
    <w:rsid w:val="002251E5"/>
    <w:rsid w:val="002258F4"/>
    <w:rsid w:val="00226E65"/>
    <w:rsid w:val="00227069"/>
    <w:rsid w:val="00227195"/>
    <w:rsid w:val="00227470"/>
    <w:rsid w:val="00227520"/>
    <w:rsid w:val="0022755E"/>
    <w:rsid w:val="002278AB"/>
    <w:rsid w:val="00227E5A"/>
    <w:rsid w:val="00227F06"/>
    <w:rsid w:val="00230563"/>
    <w:rsid w:val="00230692"/>
    <w:rsid w:val="002306B0"/>
    <w:rsid w:val="002309F4"/>
    <w:rsid w:val="00230A40"/>
    <w:rsid w:val="00231112"/>
    <w:rsid w:val="00231EDE"/>
    <w:rsid w:val="002324C9"/>
    <w:rsid w:val="00233934"/>
    <w:rsid w:val="00233C36"/>
    <w:rsid w:val="0023465A"/>
    <w:rsid w:val="00234BF4"/>
    <w:rsid w:val="0023511C"/>
    <w:rsid w:val="002356E9"/>
    <w:rsid w:val="00235F97"/>
    <w:rsid w:val="0023641C"/>
    <w:rsid w:val="002367F9"/>
    <w:rsid w:val="00236A04"/>
    <w:rsid w:val="00236B50"/>
    <w:rsid w:val="00236FF2"/>
    <w:rsid w:val="002371FE"/>
    <w:rsid w:val="00237794"/>
    <w:rsid w:val="002377C7"/>
    <w:rsid w:val="00241782"/>
    <w:rsid w:val="0024242E"/>
    <w:rsid w:val="00243478"/>
    <w:rsid w:val="00244ADE"/>
    <w:rsid w:val="00245268"/>
    <w:rsid w:val="00245447"/>
    <w:rsid w:val="00245768"/>
    <w:rsid w:val="002458D2"/>
    <w:rsid w:val="00245CD5"/>
    <w:rsid w:val="00246CE5"/>
    <w:rsid w:val="0024789D"/>
    <w:rsid w:val="00250149"/>
    <w:rsid w:val="00250541"/>
    <w:rsid w:val="002506CD"/>
    <w:rsid w:val="00251004"/>
    <w:rsid w:val="00251B84"/>
    <w:rsid w:val="0025282B"/>
    <w:rsid w:val="00252964"/>
    <w:rsid w:val="00253605"/>
    <w:rsid w:val="00254E3F"/>
    <w:rsid w:val="00254F8B"/>
    <w:rsid w:val="0025517D"/>
    <w:rsid w:val="00255410"/>
    <w:rsid w:val="00255A5F"/>
    <w:rsid w:val="00256014"/>
    <w:rsid w:val="0025607C"/>
    <w:rsid w:val="00256145"/>
    <w:rsid w:val="002561ED"/>
    <w:rsid w:val="002579C0"/>
    <w:rsid w:val="0026006E"/>
    <w:rsid w:val="002607D7"/>
    <w:rsid w:val="002610B2"/>
    <w:rsid w:val="0026157D"/>
    <w:rsid w:val="0026163F"/>
    <w:rsid w:val="0026200D"/>
    <w:rsid w:val="002626D6"/>
    <w:rsid w:val="00262708"/>
    <w:rsid w:val="00262CAE"/>
    <w:rsid w:val="00263024"/>
    <w:rsid w:val="0026331C"/>
    <w:rsid w:val="002634E2"/>
    <w:rsid w:val="00263766"/>
    <w:rsid w:val="00263AA5"/>
    <w:rsid w:val="00263B9E"/>
    <w:rsid w:val="00263CAD"/>
    <w:rsid w:val="0026500F"/>
    <w:rsid w:val="0026575F"/>
    <w:rsid w:val="00265B14"/>
    <w:rsid w:val="0026605C"/>
    <w:rsid w:val="00266148"/>
    <w:rsid w:val="00266C05"/>
    <w:rsid w:val="002672E0"/>
    <w:rsid w:val="00267BE5"/>
    <w:rsid w:val="00270154"/>
    <w:rsid w:val="002702D2"/>
    <w:rsid w:val="002706BF"/>
    <w:rsid w:val="00270AF7"/>
    <w:rsid w:val="002719FC"/>
    <w:rsid w:val="00272067"/>
    <w:rsid w:val="00272949"/>
    <w:rsid w:val="00273F63"/>
    <w:rsid w:val="002741B1"/>
    <w:rsid w:val="002761D8"/>
    <w:rsid w:val="00276932"/>
    <w:rsid w:val="002769D3"/>
    <w:rsid w:val="00277292"/>
    <w:rsid w:val="00277A44"/>
    <w:rsid w:val="00277DE4"/>
    <w:rsid w:val="00280072"/>
    <w:rsid w:val="002802F0"/>
    <w:rsid w:val="002810E6"/>
    <w:rsid w:val="002811AB"/>
    <w:rsid w:val="00281A37"/>
    <w:rsid w:val="00282508"/>
    <w:rsid w:val="00282EB5"/>
    <w:rsid w:val="00283310"/>
    <w:rsid w:val="002834A5"/>
    <w:rsid w:val="00283B07"/>
    <w:rsid w:val="00283D16"/>
    <w:rsid w:val="00283F6C"/>
    <w:rsid w:val="002844DF"/>
    <w:rsid w:val="00284C4F"/>
    <w:rsid w:val="00284E40"/>
    <w:rsid w:val="00284E7D"/>
    <w:rsid w:val="00285EFB"/>
    <w:rsid w:val="002861CB"/>
    <w:rsid w:val="002863A6"/>
    <w:rsid w:val="00286402"/>
    <w:rsid w:val="002865B8"/>
    <w:rsid w:val="002868F3"/>
    <w:rsid w:val="00286A72"/>
    <w:rsid w:val="00286B9B"/>
    <w:rsid w:val="00286CB1"/>
    <w:rsid w:val="00286DBE"/>
    <w:rsid w:val="00286F1B"/>
    <w:rsid w:val="00287021"/>
    <w:rsid w:val="002878DE"/>
    <w:rsid w:val="00287914"/>
    <w:rsid w:val="002922CF"/>
    <w:rsid w:val="00292BD3"/>
    <w:rsid w:val="002930ED"/>
    <w:rsid w:val="002933C0"/>
    <w:rsid w:val="00293515"/>
    <w:rsid w:val="00295177"/>
    <w:rsid w:val="002961D9"/>
    <w:rsid w:val="00296633"/>
    <w:rsid w:val="00296EA5"/>
    <w:rsid w:val="0029733B"/>
    <w:rsid w:val="00297365"/>
    <w:rsid w:val="00297788"/>
    <w:rsid w:val="00297934"/>
    <w:rsid w:val="002A02B8"/>
    <w:rsid w:val="002A1BE6"/>
    <w:rsid w:val="002A3558"/>
    <w:rsid w:val="002A392C"/>
    <w:rsid w:val="002A433B"/>
    <w:rsid w:val="002A4377"/>
    <w:rsid w:val="002A457D"/>
    <w:rsid w:val="002A47B3"/>
    <w:rsid w:val="002A50BC"/>
    <w:rsid w:val="002A556F"/>
    <w:rsid w:val="002A5DF7"/>
    <w:rsid w:val="002A5FCF"/>
    <w:rsid w:val="002A6B86"/>
    <w:rsid w:val="002A6E35"/>
    <w:rsid w:val="002A77D6"/>
    <w:rsid w:val="002A7F2E"/>
    <w:rsid w:val="002B09C4"/>
    <w:rsid w:val="002B0A12"/>
    <w:rsid w:val="002B0CC2"/>
    <w:rsid w:val="002B0FA8"/>
    <w:rsid w:val="002B162C"/>
    <w:rsid w:val="002B1ED8"/>
    <w:rsid w:val="002B2295"/>
    <w:rsid w:val="002B23AB"/>
    <w:rsid w:val="002B2431"/>
    <w:rsid w:val="002B2436"/>
    <w:rsid w:val="002B2500"/>
    <w:rsid w:val="002B2CE4"/>
    <w:rsid w:val="002B2D66"/>
    <w:rsid w:val="002B3FC3"/>
    <w:rsid w:val="002B4C51"/>
    <w:rsid w:val="002B6940"/>
    <w:rsid w:val="002B70D1"/>
    <w:rsid w:val="002C024E"/>
    <w:rsid w:val="002C053B"/>
    <w:rsid w:val="002C10D9"/>
    <w:rsid w:val="002C12AF"/>
    <w:rsid w:val="002C15B4"/>
    <w:rsid w:val="002C15DF"/>
    <w:rsid w:val="002C1616"/>
    <w:rsid w:val="002C1EE4"/>
    <w:rsid w:val="002C1EFA"/>
    <w:rsid w:val="002C21BE"/>
    <w:rsid w:val="002C27FF"/>
    <w:rsid w:val="002C3906"/>
    <w:rsid w:val="002C3BFB"/>
    <w:rsid w:val="002C3DA2"/>
    <w:rsid w:val="002C534A"/>
    <w:rsid w:val="002C55C0"/>
    <w:rsid w:val="002C57A1"/>
    <w:rsid w:val="002C61C8"/>
    <w:rsid w:val="002C6268"/>
    <w:rsid w:val="002C6436"/>
    <w:rsid w:val="002C76C6"/>
    <w:rsid w:val="002C7830"/>
    <w:rsid w:val="002D0467"/>
    <w:rsid w:val="002D1910"/>
    <w:rsid w:val="002D1966"/>
    <w:rsid w:val="002D2200"/>
    <w:rsid w:val="002D2526"/>
    <w:rsid w:val="002D2AAB"/>
    <w:rsid w:val="002D324D"/>
    <w:rsid w:val="002D372E"/>
    <w:rsid w:val="002D423A"/>
    <w:rsid w:val="002D614E"/>
    <w:rsid w:val="002D61B2"/>
    <w:rsid w:val="002D72A7"/>
    <w:rsid w:val="002E0015"/>
    <w:rsid w:val="002E01C5"/>
    <w:rsid w:val="002E0363"/>
    <w:rsid w:val="002E1627"/>
    <w:rsid w:val="002E1B8F"/>
    <w:rsid w:val="002E2327"/>
    <w:rsid w:val="002E2503"/>
    <w:rsid w:val="002E25D3"/>
    <w:rsid w:val="002E29CC"/>
    <w:rsid w:val="002E36DF"/>
    <w:rsid w:val="002E3A2C"/>
    <w:rsid w:val="002E3CA9"/>
    <w:rsid w:val="002E45C4"/>
    <w:rsid w:val="002E49B7"/>
    <w:rsid w:val="002E5250"/>
    <w:rsid w:val="002E5A84"/>
    <w:rsid w:val="002E5C4F"/>
    <w:rsid w:val="002E5ECE"/>
    <w:rsid w:val="002E66CE"/>
    <w:rsid w:val="002E6DD0"/>
    <w:rsid w:val="002E7E11"/>
    <w:rsid w:val="002E7EAC"/>
    <w:rsid w:val="002E7F74"/>
    <w:rsid w:val="002F0280"/>
    <w:rsid w:val="002F102D"/>
    <w:rsid w:val="002F110B"/>
    <w:rsid w:val="002F1808"/>
    <w:rsid w:val="002F4211"/>
    <w:rsid w:val="002F4470"/>
    <w:rsid w:val="002F49AE"/>
    <w:rsid w:val="002F5E1B"/>
    <w:rsid w:val="002F6BB9"/>
    <w:rsid w:val="002F7707"/>
    <w:rsid w:val="002F795F"/>
    <w:rsid w:val="003008B1"/>
    <w:rsid w:val="00300D2F"/>
    <w:rsid w:val="00300DAA"/>
    <w:rsid w:val="0030206B"/>
    <w:rsid w:val="00302DB2"/>
    <w:rsid w:val="00303A95"/>
    <w:rsid w:val="00303ACC"/>
    <w:rsid w:val="00303C5B"/>
    <w:rsid w:val="00304074"/>
    <w:rsid w:val="00304147"/>
    <w:rsid w:val="00304482"/>
    <w:rsid w:val="003046C5"/>
    <w:rsid w:val="00305382"/>
    <w:rsid w:val="00305DFB"/>
    <w:rsid w:val="00305E34"/>
    <w:rsid w:val="00306127"/>
    <w:rsid w:val="00306244"/>
    <w:rsid w:val="00306ECF"/>
    <w:rsid w:val="00307528"/>
    <w:rsid w:val="00307D7D"/>
    <w:rsid w:val="00307FEB"/>
    <w:rsid w:val="00310553"/>
    <w:rsid w:val="003105E3"/>
    <w:rsid w:val="00310B68"/>
    <w:rsid w:val="003116FA"/>
    <w:rsid w:val="003117BB"/>
    <w:rsid w:val="00311888"/>
    <w:rsid w:val="00311896"/>
    <w:rsid w:val="00313789"/>
    <w:rsid w:val="00313B54"/>
    <w:rsid w:val="003140B1"/>
    <w:rsid w:val="003142E1"/>
    <w:rsid w:val="003149C8"/>
    <w:rsid w:val="00315892"/>
    <w:rsid w:val="0031635C"/>
    <w:rsid w:val="00316537"/>
    <w:rsid w:val="00316C48"/>
    <w:rsid w:val="00316E33"/>
    <w:rsid w:val="003174E3"/>
    <w:rsid w:val="00320305"/>
    <w:rsid w:val="00320730"/>
    <w:rsid w:val="00320793"/>
    <w:rsid w:val="00320CF6"/>
    <w:rsid w:val="00320DB9"/>
    <w:rsid w:val="00320E0E"/>
    <w:rsid w:val="003212D2"/>
    <w:rsid w:val="00321E7A"/>
    <w:rsid w:val="00322517"/>
    <w:rsid w:val="003229C7"/>
    <w:rsid w:val="00322B9E"/>
    <w:rsid w:val="00323115"/>
    <w:rsid w:val="003233B2"/>
    <w:rsid w:val="0032416C"/>
    <w:rsid w:val="00325E6C"/>
    <w:rsid w:val="00326057"/>
    <w:rsid w:val="003263FF"/>
    <w:rsid w:val="00326564"/>
    <w:rsid w:val="00326BB5"/>
    <w:rsid w:val="00327402"/>
    <w:rsid w:val="0032756E"/>
    <w:rsid w:val="00327FD0"/>
    <w:rsid w:val="00330C21"/>
    <w:rsid w:val="00330C79"/>
    <w:rsid w:val="00330EFE"/>
    <w:rsid w:val="00330FBE"/>
    <w:rsid w:val="00331835"/>
    <w:rsid w:val="00331DF1"/>
    <w:rsid w:val="00331F0B"/>
    <w:rsid w:val="00332826"/>
    <w:rsid w:val="00332D0D"/>
    <w:rsid w:val="00332F2F"/>
    <w:rsid w:val="00332FC4"/>
    <w:rsid w:val="00334719"/>
    <w:rsid w:val="00334E91"/>
    <w:rsid w:val="00335944"/>
    <w:rsid w:val="00335A5C"/>
    <w:rsid w:val="00335C0F"/>
    <w:rsid w:val="00335FAC"/>
    <w:rsid w:val="00336D90"/>
    <w:rsid w:val="003371C3"/>
    <w:rsid w:val="00337236"/>
    <w:rsid w:val="003378B9"/>
    <w:rsid w:val="003401B9"/>
    <w:rsid w:val="003403BC"/>
    <w:rsid w:val="00340663"/>
    <w:rsid w:val="00340A2C"/>
    <w:rsid w:val="00340B07"/>
    <w:rsid w:val="00340C4F"/>
    <w:rsid w:val="0034137A"/>
    <w:rsid w:val="00341E2A"/>
    <w:rsid w:val="00342559"/>
    <w:rsid w:val="00342A43"/>
    <w:rsid w:val="00343AA1"/>
    <w:rsid w:val="00343E1E"/>
    <w:rsid w:val="003440F6"/>
    <w:rsid w:val="0034466B"/>
    <w:rsid w:val="0034500C"/>
    <w:rsid w:val="00345639"/>
    <w:rsid w:val="00346390"/>
    <w:rsid w:val="00347493"/>
    <w:rsid w:val="00350AE1"/>
    <w:rsid w:val="00350F2B"/>
    <w:rsid w:val="003512F4"/>
    <w:rsid w:val="00351421"/>
    <w:rsid w:val="00351837"/>
    <w:rsid w:val="003525A1"/>
    <w:rsid w:val="0035295B"/>
    <w:rsid w:val="00352C77"/>
    <w:rsid w:val="003534FF"/>
    <w:rsid w:val="00353803"/>
    <w:rsid w:val="00353E96"/>
    <w:rsid w:val="003543E5"/>
    <w:rsid w:val="00354765"/>
    <w:rsid w:val="003549B0"/>
    <w:rsid w:val="00354B05"/>
    <w:rsid w:val="0035517A"/>
    <w:rsid w:val="00356DD3"/>
    <w:rsid w:val="00356FA9"/>
    <w:rsid w:val="00357061"/>
    <w:rsid w:val="0036045A"/>
    <w:rsid w:val="00360FE0"/>
    <w:rsid w:val="003617A0"/>
    <w:rsid w:val="0036260F"/>
    <w:rsid w:val="00362A8D"/>
    <w:rsid w:val="0036345B"/>
    <w:rsid w:val="003638A0"/>
    <w:rsid w:val="00363AFF"/>
    <w:rsid w:val="00363B84"/>
    <w:rsid w:val="00363DB2"/>
    <w:rsid w:val="00363F96"/>
    <w:rsid w:val="00364076"/>
    <w:rsid w:val="00364CF1"/>
    <w:rsid w:val="0036564D"/>
    <w:rsid w:val="003669E8"/>
    <w:rsid w:val="00367397"/>
    <w:rsid w:val="00367A9F"/>
    <w:rsid w:val="00367ADE"/>
    <w:rsid w:val="00367C06"/>
    <w:rsid w:val="00370E64"/>
    <w:rsid w:val="003713B7"/>
    <w:rsid w:val="003714CB"/>
    <w:rsid w:val="00371531"/>
    <w:rsid w:val="003719BA"/>
    <w:rsid w:val="00374043"/>
    <w:rsid w:val="003749C1"/>
    <w:rsid w:val="00374D16"/>
    <w:rsid w:val="00374DA4"/>
    <w:rsid w:val="00374F5F"/>
    <w:rsid w:val="00375729"/>
    <w:rsid w:val="00375813"/>
    <w:rsid w:val="0037583A"/>
    <w:rsid w:val="00375913"/>
    <w:rsid w:val="00375C93"/>
    <w:rsid w:val="00375CD8"/>
    <w:rsid w:val="00375D68"/>
    <w:rsid w:val="0037697D"/>
    <w:rsid w:val="003769A1"/>
    <w:rsid w:val="00376E21"/>
    <w:rsid w:val="0037716F"/>
    <w:rsid w:val="00377490"/>
    <w:rsid w:val="00377A5C"/>
    <w:rsid w:val="00380519"/>
    <w:rsid w:val="003809FB"/>
    <w:rsid w:val="00381416"/>
    <w:rsid w:val="0038177F"/>
    <w:rsid w:val="00381F7B"/>
    <w:rsid w:val="0038296B"/>
    <w:rsid w:val="00382E98"/>
    <w:rsid w:val="00383781"/>
    <w:rsid w:val="0038404B"/>
    <w:rsid w:val="003843E6"/>
    <w:rsid w:val="00384491"/>
    <w:rsid w:val="003849B1"/>
    <w:rsid w:val="00385C03"/>
    <w:rsid w:val="00385E26"/>
    <w:rsid w:val="00385E58"/>
    <w:rsid w:val="003862D0"/>
    <w:rsid w:val="00386436"/>
    <w:rsid w:val="0038689B"/>
    <w:rsid w:val="00387FED"/>
    <w:rsid w:val="003903E9"/>
    <w:rsid w:val="00390434"/>
    <w:rsid w:val="003904E8"/>
    <w:rsid w:val="00390D49"/>
    <w:rsid w:val="00391267"/>
    <w:rsid w:val="0039277D"/>
    <w:rsid w:val="003932DA"/>
    <w:rsid w:val="0039346F"/>
    <w:rsid w:val="00393A34"/>
    <w:rsid w:val="00394D73"/>
    <w:rsid w:val="00394E99"/>
    <w:rsid w:val="00395840"/>
    <w:rsid w:val="00396195"/>
    <w:rsid w:val="003966F8"/>
    <w:rsid w:val="00396ABE"/>
    <w:rsid w:val="00397D36"/>
    <w:rsid w:val="003A0253"/>
    <w:rsid w:val="003A03F7"/>
    <w:rsid w:val="003A06A6"/>
    <w:rsid w:val="003A0985"/>
    <w:rsid w:val="003A13B9"/>
    <w:rsid w:val="003A1665"/>
    <w:rsid w:val="003A2686"/>
    <w:rsid w:val="003A2EE9"/>
    <w:rsid w:val="003A3756"/>
    <w:rsid w:val="003A455C"/>
    <w:rsid w:val="003A48CD"/>
    <w:rsid w:val="003A620E"/>
    <w:rsid w:val="003A7CA8"/>
    <w:rsid w:val="003B08FE"/>
    <w:rsid w:val="003B0D24"/>
    <w:rsid w:val="003B2C4D"/>
    <w:rsid w:val="003B30AD"/>
    <w:rsid w:val="003B316B"/>
    <w:rsid w:val="003B3403"/>
    <w:rsid w:val="003B3A04"/>
    <w:rsid w:val="003B3BDB"/>
    <w:rsid w:val="003B428A"/>
    <w:rsid w:val="003B47A8"/>
    <w:rsid w:val="003B4B7B"/>
    <w:rsid w:val="003B53C0"/>
    <w:rsid w:val="003B5C96"/>
    <w:rsid w:val="003B5CBF"/>
    <w:rsid w:val="003B6712"/>
    <w:rsid w:val="003B7A7D"/>
    <w:rsid w:val="003C0833"/>
    <w:rsid w:val="003C0E15"/>
    <w:rsid w:val="003C150B"/>
    <w:rsid w:val="003C1B1D"/>
    <w:rsid w:val="003C1B6A"/>
    <w:rsid w:val="003C2904"/>
    <w:rsid w:val="003C3380"/>
    <w:rsid w:val="003C3E23"/>
    <w:rsid w:val="003C4B6E"/>
    <w:rsid w:val="003C52D2"/>
    <w:rsid w:val="003C5ADA"/>
    <w:rsid w:val="003C5E46"/>
    <w:rsid w:val="003C6119"/>
    <w:rsid w:val="003C6851"/>
    <w:rsid w:val="003C69D7"/>
    <w:rsid w:val="003C7202"/>
    <w:rsid w:val="003C7F25"/>
    <w:rsid w:val="003D003D"/>
    <w:rsid w:val="003D0D1F"/>
    <w:rsid w:val="003D1675"/>
    <w:rsid w:val="003D16C2"/>
    <w:rsid w:val="003D212C"/>
    <w:rsid w:val="003D22DE"/>
    <w:rsid w:val="003D2935"/>
    <w:rsid w:val="003D30F2"/>
    <w:rsid w:val="003D35BF"/>
    <w:rsid w:val="003D3B9A"/>
    <w:rsid w:val="003D5308"/>
    <w:rsid w:val="003D5B88"/>
    <w:rsid w:val="003D5C87"/>
    <w:rsid w:val="003D6BBC"/>
    <w:rsid w:val="003D6ECD"/>
    <w:rsid w:val="003D7E0C"/>
    <w:rsid w:val="003E01AE"/>
    <w:rsid w:val="003E0451"/>
    <w:rsid w:val="003E07A9"/>
    <w:rsid w:val="003E0BFA"/>
    <w:rsid w:val="003E0CE0"/>
    <w:rsid w:val="003E0EF9"/>
    <w:rsid w:val="003E171C"/>
    <w:rsid w:val="003E18E6"/>
    <w:rsid w:val="003E197F"/>
    <w:rsid w:val="003E1AFA"/>
    <w:rsid w:val="003E2189"/>
    <w:rsid w:val="003E3189"/>
    <w:rsid w:val="003E3C96"/>
    <w:rsid w:val="003E497E"/>
    <w:rsid w:val="003E4B98"/>
    <w:rsid w:val="003E4D92"/>
    <w:rsid w:val="003E5090"/>
    <w:rsid w:val="003E521A"/>
    <w:rsid w:val="003E53F3"/>
    <w:rsid w:val="003E6784"/>
    <w:rsid w:val="003E6832"/>
    <w:rsid w:val="003E70C2"/>
    <w:rsid w:val="003E7399"/>
    <w:rsid w:val="003E7AFE"/>
    <w:rsid w:val="003E7BE3"/>
    <w:rsid w:val="003F0008"/>
    <w:rsid w:val="003F0206"/>
    <w:rsid w:val="003F05CD"/>
    <w:rsid w:val="003F06F2"/>
    <w:rsid w:val="003F0C8F"/>
    <w:rsid w:val="003F0F47"/>
    <w:rsid w:val="003F121C"/>
    <w:rsid w:val="003F2565"/>
    <w:rsid w:val="003F2C68"/>
    <w:rsid w:val="003F2C71"/>
    <w:rsid w:val="003F2DB7"/>
    <w:rsid w:val="003F3F54"/>
    <w:rsid w:val="003F461F"/>
    <w:rsid w:val="003F4ED6"/>
    <w:rsid w:val="003F50BF"/>
    <w:rsid w:val="003F541F"/>
    <w:rsid w:val="003F5BA4"/>
    <w:rsid w:val="003F60F1"/>
    <w:rsid w:val="003F6B19"/>
    <w:rsid w:val="003F6F33"/>
    <w:rsid w:val="003F6FC5"/>
    <w:rsid w:val="003F7121"/>
    <w:rsid w:val="003F77E0"/>
    <w:rsid w:val="003F7A95"/>
    <w:rsid w:val="003F7DEB"/>
    <w:rsid w:val="0040027B"/>
    <w:rsid w:val="00400A33"/>
    <w:rsid w:val="004010D4"/>
    <w:rsid w:val="00401E65"/>
    <w:rsid w:val="00402EA7"/>
    <w:rsid w:val="00403A17"/>
    <w:rsid w:val="00403F9C"/>
    <w:rsid w:val="00404363"/>
    <w:rsid w:val="00404367"/>
    <w:rsid w:val="00404882"/>
    <w:rsid w:val="004051BB"/>
    <w:rsid w:val="00405610"/>
    <w:rsid w:val="0040590A"/>
    <w:rsid w:val="00405E03"/>
    <w:rsid w:val="0040639E"/>
    <w:rsid w:val="00406513"/>
    <w:rsid w:val="004079E5"/>
    <w:rsid w:val="00410591"/>
    <w:rsid w:val="004105A1"/>
    <w:rsid w:val="00410E46"/>
    <w:rsid w:val="004117A5"/>
    <w:rsid w:val="004126B5"/>
    <w:rsid w:val="004127F3"/>
    <w:rsid w:val="00413C96"/>
    <w:rsid w:val="00414261"/>
    <w:rsid w:val="00415299"/>
    <w:rsid w:val="00415694"/>
    <w:rsid w:val="0041582B"/>
    <w:rsid w:val="00417639"/>
    <w:rsid w:val="00417B3C"/>
    <w:rsid w:val="00417CBD"/>
    <w:rsid w:val="00417FA3"/>
    <w:rsid w:val="00420BD2"/>
    <w:rsid w:val="00420F11"/>
    <w:rsid w:val="004217D9"/>
    <w:rsid w:val="00421C66"/>
    <w:rsid w:val="00421E70"/>
    <w:rsid w:val="00421EA4"/>
    <w:rsid w:val="00422189"/>
    <w:rsid w:val="0042236E"/>
    <w:rsid w:val="00422AD1"/>
    <w:rsid w:val="004234C9"/>
    <w:rsid w:val="0042350A"/>
    <w:rsid w:val="00423BF6"/>
    <w:rsid w:val="00423E72"/>
    <w:rsid w:val="0042486E"/>
    <w:rsid w:val="004250E7"/>
    <w:rsid w:val="0042554B"/>
    <w:rsid w:val="004256E0"/>
    <w:rsid w:val="00425991"/>
    <w:rsid w:val="00425C55"/>
    <w:rsid w:val="0042667B"/>
    <w:rsid w:val="004266D1"/>
    <w:rsid w:val="00426A59"/>
    <w:rsid w:val="00426B19"/>
    <w:rsid w:val="00426CDE"/>
    <w:rsid w:val="004278F0"/>
    <w:rsid w:val="00427C49"/>
    <w:rsid w:val="00427C4A"/>
    <w:rsid w:val="004303A1"/>
    <w:rsid w:val="0043064C"/>
    <w:rsid w:val="004308AC"/>
    <w:rsid w:val="00431C13"/>
    <w:rsid w:val="00431C78"/>
    <w:rsid w:val="00431CC7"/>
    <w:rsid w:val="004328DC"/>
    <w:rsid w:val="004329FC"/>
    <w:rsid w:val="00432CF9"/>
    <w:rsid w:val="00433008"/>
    <w:rsid w:val="00433AE1"/>
    <w:rsid w:val="004345BC"/>
    <w:rsid w:val="00434859"/>
    <w:rsid w:val="0043506A"/>
    <w:rsid w:val="00435583"/>
    <w:rsid w:val="00436205"/>
    <w:rsid w:val="00436356"/>
    <w:rsid w:val="0043656B"/>
    <w:rsid w:val="00436F93"/>
    <w:rsid w:val="0043705B"/>
    <w:rsid w:val="004372F0"/>
    <w:rsid w:val="00437504"/>
    <w:rsid w:val="00437A0E"/>
    <w:rsid w:val="00437B7D"/>
    <w:rsid w:val="00437DE7"/>
    <w:rsid w:val="00437EB9"/>
    <w:rsid w:val="00440952"/>
    <w:rsid w:val="00441267"/>
    <w:rsid w:val="00442831"/>
    <w:rsid w:val="00442960"/>
    <w:rsid w:val="00442DE5"/>
    <w:rsid w:val="00443077"/>
    <w:rsid w:val="00443527"/>
    <w:rsid w:val="00443793"/>
    <w:rsid w:val="004437D2"/>
    <w:rsid w:val="004439F7"/>
    <w:rsid w:val="00444093"/>
    <w:rsid w:val="00444355"/>
    <w:rsid w:val="0044447D"/>
    <w:rsid w:val="00445423"/>
    <w:rsid w:val="00445F08"/>
    <w:rsid w:val="00446B00"/>
    <w:rsid w:val="00446C5D"/>
    <w:rsid w:val="004509ED"/>
    <w:rsid w:val="00450BBC"/>
    <w:rsid w:val="0045126B"/>
    <w:rsid w:val="00451873"/>
    <w:rsid w:val="004520F8"/>
    <w:rsid w:val="00452F41"/>
    <w:rsid w:val="004535EC"/>
    <w:rsid w:val="00453B6D"/>
    <w:rsid w:val="0045428C"/>
    <w:rsid w:val="00456371"/>
    <w:rsid w:val="00456BD7"/>
    <w:rsid w:val="00456E1E"/>
    <w:rsid w:val="00457493"/>
    <w:rsid w:val="004575A7"/>
    <w:rsid w:val="004576BF"/>
    <w:rsid w:val="00460731"/>
    <w:rsid w:val="00460ADC"/>
    <w:rsid w:val="00460E3F"/>
    <w:rsid w:val="00461C08"/>
    <w:rsid w:val="004620F8"/>
    <w:rsid w:val="004623ED"/>
    <w:rsid w:val="004624C0"/>
    <w:rsid w:val="00462770"/>
    <w:rsid w:val="00462E86"/>
    <w:rsid w:val="00462EF0"/>
    <w:rsid w:val="004631CB"/>
    <w:rsid w:val="00463429"/>
    <w:rsid w:val="00463D40"/>
    <w:rsid w:val="0046419E"/>
    <w:rsid w:val="004645E7"/>
    <w:rsid w:val="00464A53"/>
    <w:rsid w:val="00464B44"/>
    <w:rsid w:val="00465976"/>
    <w:rsid w:val="00465DEE"/>
    <w:rsid w:val="00466170"/>
    <w:rsid w:val="00466502"/>
    <w:rsid w:val="00467ECC"/>
    <w:rsid w:val="00470B7A"/>
    <w:rsid w:val="00470C15"/>
    <w:rsid w:val="00470F93"/>
    <w:rsid w:val="00471ABC"/>
    <w:rsid w:val="00471D98"/>
    <w:rsid w:val="004724ED"/>
    <w:rsid w:val="00472E32"/>
    <w:rsid w:val="00473564"/>
    <w:rsid w:val="004735BD"/>
    <w:rsid w:val="004736A5"/>
    <w:rsid w:val="00474114"/>
    <w:rsid w:val="004745BE"/>
    <w:rsid w:val="00474826"/>
    <w:rsid w:val="00474E47"/>
    <w:rsid w:val="004751DE"/>
    <w:rsid w:val="00476C22"/>
    <w:rsid w:val="00476F41"/>
    <w:rsid w:val="00477C3C"/>
    <w:rsid w:val="00480926"/>
    <w:rsid w:val="00480ED4"/>
    <w:rsid w:val="0048175F"/>
    <w:rsid w:val="00481793"/>
    <w:rsid w:val="004822B3"/>
    <w:rsid w:val="0048292F"/>
    <w:rsid w:val="004830CD"/>
    <w:rsid w:val="00483D31"/>
    <w:rsid w:val="00483F9B"/>
    <w:rsid w:val="0048446B"/>
    <w:rsid w:val="00484650"/>
    <w:rsid w:val="00484692"/>
    <w:rsid w:val="004851FF"/>
    <w:rsid w:val="00486047"/>
    <w:rsid w:val="00486A1D"/>
    <w:rsid w:val="00487B28"/>
    <w:rsid w:val="004911BD"/>
    <w:rsid w:val="004911E8"/>
    <w:rsid w:val="00491435"/>
    <w:rsid w:val="004915F6"/>
    <w:rsid w:val="00491A6E"/>
    <w:rsid w:val="00491B5F"/>
    <w:rsid w:val="004932D0"/>
    <w:rsid w:val="00493346"/>
    <w:rsid w:val="004933EB"/>
    <w:rsid w:val="004938D1"/>
    <w:rsid w:val="004939E6"/>
    <w:rsid w:val="00493A65"/>
    <w:rsid w:val="00493D1D"/>
    <w:rsid w:val="00493F83"/>
    <w:rsid w:val="00494012"/>
    <w:rsid w:val="004954ED"/>
    <w:rsid w:val="00495D06"/>
    <w:rsid w:val="00495DDC"/>
    <w:rsid w:val="00496DEB"/>
    <w:rsid w:val="004978F1"/>
    <w:rsid w:val="004A028C"/>
    <w:rsid w:val="004A06E7"/>
    <w:rsid w:val="004A0E49"/>
    <w:rsid w:val="004A1146"/>
    <w:rsid w:val="004A206B"/>
    <w:rsid w:val="004A26F0"/>
    <w:rsid w:val="004A2FBC"/>
    <w:rsid w:val="004A3279"/>
    <w:rsid w:val="004A3398"/>
    <w:rsid w:val="004A354D"/>
    <w:rsid w:val="004A45E6"/>
    <w:rsid w:val="004A4B2B"/>
    <w:rsid w:val="004A4E50"/>
    <w:rsid w:val="004A5579"/>
    <w:rsid w:val="004A6260"/>
    <w:rsid w:val="004A6A20"/>
    <w:rsid w:val="004A7A6D"/>
    <w:rsid w:val="004B00CA"/>
    <w:rsid w:val="004B180B"/>
    <w:rsid w:val="004B19C4"/>
    <w:rsid w:val="004B1F5F"/>
    <w:rsid w:val="004B20DF"/>
    <w:rsid w:val="004B24E0"/>
    <w:rsid w:val="004B3EF1"/>
    <w:rsid w:val="004B4914"/>
    <w:rsid w:val="004B4E40"/>
    <w:rsid w:val="004B52E9"/>
    <w:rsid w:val="004B5889"/>
    <w:rsid w:val="004B590A"/>
    <w:rsid w:val="004B5B98"/>
    <w:rsid w:val="004B6A28"/>
    <w:rsid w:val="004C04F0"/>
    <w:rsid w:val="004C11D7"/>
    <w:rsid w:val="004C1A93"/>
    <w:rsid w:val="004C2847"/>
    <w:rsid w:val="004C2C98"/>
    <w:rsid w:val="004C39F7"/>
    <w:rsid w:val="004C4699"/>
    <w:rsid w:val="004C4837"/>
    <w:rsid w:val="004C484F"/>
    <w:rsid w:val="004C4AA2"/>
    <w:rsid w:val="004C51EB"/>
    <w:rsid w:val="004C5216"/>
    <w:rsid w:val="004C5BC5"/>
    <w:rsid w:val="004C5D0E"/>
    <w:rsid w:val="004C5D56"/>
    <w:rsid w:val="004C5FAA"/>
    <w:rsid w:val="004C6534"/>
    <w:rsid w:val="004C69D2"/>
    <w:rsid w:val="004C6B10"/>
    <w:rsid w:val="004C6B46"/>
    <w:rsid w:val="004D0B38"/>
    <w:rsid w:val="004D12CF"/>
    <w:rsid w:val="004D1773"/>
    <w:rsid w:val="004D1E85"/>
    <w:rsid w:val="004D26C9"/>
    <w:rsid w:val="004D3E16"/>
    <w:rsid w:val="004D4134"/>
    <w:rsid w:val="004D4836"/>
    <w:rsid w:val="004D4B08"/>
    <w:rsid w:val="004D4D07"/>
    <w:rsid w:val="004D4D65"/>
    <w:rsid w:val="004D51B0"/>
    <w:rsid w:val="004D53C6"/>
    <w:rsid w:val="004D6168"/>
    <w:rsid w:val="004D69DD"/>
    <w:rsid w:val="004D6AEA"/>
    <w:rsid w:val="004D700B"/>
    <w:rsid w:val="004D7A52"/>
    <w:rsid w:val="004E0652"/>
    <w:rsid w:val="004E0983"/>
    <w:rsid w:val="004E0A04"/>
    <w:rsid w:val="004E0CA7"/>
    <w:rsid w:val="004E10BE"/>
    <w:rsid w:val="004E1B00"/>
    <w:rsid w:val="004E250A"/>
    <w:rsid w:val="004E2AEF"/>
    <w:rsid w:val="004E2CD3"/>
    <w:rsid w:val="004E2D46"/>
    <w:rsid w:val="004E3C1F"/>
    <w:rsid w:val="004E4BBB"/>
    <w:rsid w:val="004E543A"/>
    <w:rsid w:val="004E73F9"/>
    <w:rsid w:val="004E7F5A"/>
    <w:rsid w:val="004F0474"/>
    <w:rsid w:val="004F0B65"/>
    <w:rsid w:val="004F1BF9"/>
    <w:rsid w:val="004F2199"/>
    <w:rsid w:val="004F25EE"/>
    <w:rsid w:val="004F2CD6"/>
    <w:rsid w:val="004F2F9B"/>
    <w:rsid w:val="004F3247"/>
    <w:rsid w:val="004F35BF"/>
    <w:rsid w:val="004F3E4F"/>
    <w:rsid w:val="004F43A4"/>
    <w:rsid w:val="004F56FB"/>
    <w:rsid w:val="004F7284"/>
    <w:rsid w:val="005000D3"/>
    <w:rsid w:val="005003D3"/>
    <w:rsid w:val="0050120D"/>
    <w:rsid w:val="0050276A"/>
    <w:rsid w:val="005027E9"/>
    <w:rsid w:val="00504ED3"/>
    <w:rsid w:val="005051FE"/>
    <w:rsid w:val="005053CF"/>
    <w:rsid w:val="0050593E"/>
    <w:rsid w:val="00506271"/>
    <w:rsid w:val="00506A4B"/>
    <w:rsid w:val="00506B6D"/>
    <w:rsid w:val="00506F35"/>
    <w:rsid w:val="0051020B"/>
    <w:rsid w:val="00510941"/>
    <w:rsid w:val="00510C22"/>
    <w:rsid w:val="00510CD1"/>
    <w:rsid w:val="005112A8"/>
    <w:rsid w:val="00511446"/>
    <w:rsid w:val="005114B5"/>
    <w:rsid w:val="00511988"/>
    <w:rsid w:val="00511BA2"/>
    <w:rsid w:val="00511BAE"/>
    <w:rsid w:val="00511FC2"/>
    <w:rsid w:val="00512887"/>
    <w:rsid w:val="00512957"/>
    <w:rsid w:val="00512D71"/>
    <w:rsid w:val="00512D83"/>
    <w:rsid w:val="005145E0"/>
    <w:rsid w:val="00514608"/>
    <w:rsid w:val="0051478A"/>
    <w:rsid w:val="0051532C"/>
    <w:rsid w:val="0051532E"/>
    <w:rsid w:val="005155A4"/>
    <w:rsid w:val="005155EB"/>
    <w:rsid w:val="00516A6C"/>
    <w:rsid w:val="00516FFB"/>
    <w:rsid w:val="00517442"/>
    <w:rsid w:val="00520668"/>
    <w:rsid w:val="005206CC"/>
    <w:rsid w:val="0052080D"/>
    <w:rsid w:val="005208A0"/>
    <w:rsid w:val="00520D3C"/>
    <w:rsid w:val="00521293"/>
    <w:rsid w:val="005216ED"/>
    <w:rsid w:val="00521F30"/>
    <w:rsid w:val="0052265C"/>
    <w:rsid w:val="0052304C"/>
    <w:rsid w:val="005244C1"/>
    <w:rsid w:val="005259EF"/>
    <w:rsid w:val="00525FCC"/>
    <w:rsid w:val="00525FFE"/>
    <w:rsid w:val="005266A5"/>
    <w:rsid w:val="0052695E"/>
    <w:rsid w:val="0052750C"/>
    <w:rsid w:val="005302D3"/>
    <w:rsid w:val="00531372"/>
    <w:rsid w:val="00531BB5"/>
    <w:rsid w:val="00532B26"/>
    <w:rsid w:val="00532E46"/>
    <w:rsid w:val="005333E8"/>
    <w:rsid w:val="00533467"/>
    <w:rsid w:val="00533E6A"/>
    <w:rsid w:val="00534F7E"/>
    <w:rsid w:val="00535889"/>
    <w:rsid w:val="00535FFE"/>
    <w:rsid w:val="00536098"/>
    <w:rsid w:val="00536D11"/>
    <w:rsid w:val="00537BA1"/>
    <w:rsid w:val="0054081E"/>
    <w:rsid w:val="005409E1"/>
    <w:rsid w:val="00540E7A"/>
    <w:rsid w:val="00540E84"/>
    <w:rsid w:val="0054124D"/>
    <w:rsid w:val="005416A7"/>
    <w:rsid w:val="0054243C"/>
    <w:rsid w:val="005424B5"/>
    <w:rsid w:val="00542634"/>
    <w:rsid w:val="00542800"/>
    <w:rsid w:val="00542A2E"/>
    <w:rsid w:val="00543F07"/>
    <w:rsid w:val="0054439E"/>
    <w:rsid w:val="00546324"/>
    <w:rsid w:val="0054665D"/>
    <w:rsid w:val="00546B2F"/>
    <w:rsid w:val="00546D17"/>
    <w:rsid w:val="00547CC1"/>
    <w:rsid w:val="0055034D"/>
    <w:rsid w:val="00551575"/>
    <w:rsid w:val="00552E42"/>
    <w:rsid w:val="00553453"/>
    <w:rsid w:val="0055377C"/>
    <w:rsid w:val="005539DE"/>
    <w:rsid w:val="00555020"/>
    <w:rsid w:val="0055575D"/>
    <w:rsid w:val="00555A1A"/>
    <w:rsid w:val="00555E23"/>
    <w:rsid w:val="00557631"/>
    <w:rsid w:val="005604A1"/>
    <w:rsid w:val="00560714"/>
    <w:rsid w:val="005608F8"/>
    <w:rsid w:val="00560D85"/>
    <w:rsid w:val="00561518"/>
    <w:rsid w:val="005618A8"/>
    <w:rsid w:val="00561A69"/>
    <w:rsid w:val="00562427"/>
    <w:rsid w:val="00562656"/>
    <w:rsid w:val="00562731"/>
    <w:rsid w:val="0056283C"/>
    <w:rsid w:val="00562C55"/>
    <w:rsid w:val="00562CA5"/>
    <w:rsid w:val="00562F85"/>
    <w:rsid w:val="00563E41"/>
    <w:rsid w:val="005643D9"/>
    <w:rsid w:val="005649B5"/>
    <w:rsid w:val="00564B1A"/>
    <w:rsid w:val="00565CE5"/>
    <w:rsid w:val="00566077"/>
    <w:rsid w:val="00566198"/>
    <w:rsid w:val="00566358"/>
    <w:rsid w:val="00567E5B"/>
    <w:rsid w:val="00570B2D"/>
    <w:rsid w:val="00571084"/>
    <w:rsid w:val="00572188"/>
    <w:rsid w:val="00572603"/>
    <w:rsid w:val="00572763"/>
    <w:rsid w:val="00572D2C"/>
    <w:rsid w:val="0057334F"/>
    <w:rsid w:val="0057387C"/>
    <w:rsid w:val="00575027"/>
    <w:rsid w:val="0057537C"/>
    <w:rsid w:val="00575828"/>
    <w:rsid w:val="00576036"/>
    <w:rsid w:val="00576158"/>
    <w:rsid w:val="00576271"/>
    <w:rsid w:val="005774EC"/>
    <w:rsid w:val="00580576"/>
    <w:rsid w:val="00581007"/>
    <w:rsid w:val="00581374"/>
    <w:rsid w:val="0058167A"/>
    <w:rsid w:val="00582296"/>
    <w:rsid w:val="005822AC"/>
    <w:rsid w:val="00582853"/>
    <w:rsid w:val="00582DC6"/>
    <w:rsid w:val="00583356"/>
    <w:rsid w:val="00583579"/>
    <w:rsid w:val="0058417C"/>
    <w:rsid w:val="005842C5"/>
    <w:rsid w:val="005843B0"/>
    <w:rsid w:val="0058574B"/>
    <w:rsid w:val="00586044"/>
    <w:rsid w:val="005863E6"/>
    <w:rsid w:val="005869D8"/>
    <w:rsid w:val="00586CA6"/>
    <w:rsid w:val="00586D41"/>
    <w:rsid w:val="0058773D"/>
    <w:rsid w:val="0058784D"/>
    <w:rsid w:val="00590C4B"/>
    <w:rsid w:val="00591A22"/>
    <w:rsid w:val="00592244"/>
    <w:rsid w:val="00592353"/>
    <w:rsid w:val="0059260F"/>
    <w:rsid w:val="00593209"/>
    <w:rsid w:val="00593222"/>
    <w:rsid w:val="00594787"/>
    <w:rsid w:val="00595FB5"/>
    <w:rsid w:val="00596401"/>
    <w:rsid w:val="00596749"/>
    <w:rsid w:val="00596A50"/>
    <w:rsid w:val="005970E1"/>
    <w:rsid w:val="00597536"/>
    <w:rsid w:val="00597DEC"/>
    <w:rsid w:val="00597EE0"/>
    <w:rsid w:val="005A022B"/>
    <w:rsid w:val="005A02D6"/>
    <w:rsid w:val="005A03EC"/>
    <w:rsid w:val="005A04F8"/>
    <w:rsid w:val="005A0B2B"/>
    <w:rsid w:val="005A12E0"/>
    <w:rsid w:val="005A1D70"/>
    <w:rsid w:val="005A2AE4"/>
    <w:rsid w:val="005A2B5B"/>
    <w:rsid w:val="005A2C60"/>
    <w:rsid w:val="005A2F9D"/>
    <w:rsid w:val="005A3ABC"/>
    <w:rsid w:val="005A3B21"/>
    <w:rsid w:val="005A427E"/>
    <w:rsid w:val="005A4AE4"/>
    <w:rsid w:val="005A4BB0"/>
    <w:rsid w:val="005A4DF1"/>
    <w:rsid w:val="005A660B"/>
    <w:rsid w:val="005A69CB"/>
    <w:rsid w:val="005A6AEC"/>
    <w:rsid w:val="005A6F32"/>
    <w:rsid w:val="005A7240"/>
    <w:rsid w:val="005A78FB"/>
    <w:rsid w:val="005B01F6"/>
    <w:rsid w:val="005B0FE0"/>
    <w:rsid w:val="005B19A2"/>
    <w:rsid w:val="005B1B35"/>
    <w:rsid w:val="005B2233"/>
    <w:rsid w:val="005B2C06"/>
    <w:rsid w:val="005B367D"/>
    <w:rsid w:val="005B3E4B"/>
    <w:rsid w:val="005B41B5"/>
    <w:rsid w:val="005B4BD7"/>
    <w:rsid w:val="005B6D6F"/>
    <w:rsid w:val="005B71B6"/>
    <w:rsid w:val="005B77CE"/>
    <w:rsid w:val="005C16B3"/>
    <w:rsid w:val="005C1F64"/>
    <w:rsid w:val="005C2281"/>
    <w:rsid w:val="005C2423"/>
    <w:rsid w:val="005C2B4D"/>
    <w:rsid w:val="005C3EB8"/>
    <w:rsid w:val="005C40A3"/>
    <w:rsid w:val="005C4183"/>
    <w:rsid w:val="005C4640"/>
    <w:rsid w:val="005C46F4"/>
    <w:rsid w:val="005C47D4"/>
    <w:rsid w:val="005C4F36"/>
    <w:rsid w:val="005C51EA"/>
    <w:rsid w:val="005C545C"/>
    <w:rsid w:val="005C64A6"/>
    <w:rsid w:val="005C6FAE"/>
    <w:rsid w:val="005C7204"/>
    <w:rsid w:val="005D03CC"/>
    <w:rsid w:val="005D08EE"/>
    <w:rsid w:val="005D0B75"/>
    <w:rsid w:val="005D0E34"/>
    <w:rsid w:val="005D10C8"/>
    <w:rsid w:val="005D11B4"/>
    <w:rsid w:val="005D2899"/>
    <w:rsid w:val="005D3152"/>
    <w:rsid w:val="005D3BEF"/>
    <w:rsid w:val="005D3CB2"/>
    <w:rsid w:val="005D3E38"/>
    <w:rsid w:val="005D4970"/>
    <w:rsid w:val="005D4EFA"/>
    <w:rsid w:val="005D51B1"/>
    <w:rsid w:val="005D55EF"/>
    <w:rsid w:val="005D5F71"/>
    <w:rsid w:val="005D6284"/>
    <w:rsid w:val="005D6B58"/>
    <w:rsid w:val="005D6F96"/>
    <w:rsid w:val="005E0295"/>
    <w:rsid w:val="005E086F"/>
    <w:rsid w:val="005E10B8"/>
    <w:rsid w:val="005E1124"/>
    <w:rsid w:val="005E143D"/>
    <w:rsid w:val="005E159D"/>
    <w:rsid w:val="005E1B10"/>
    <w:rsid w:val="005E2A39"/>
    <w:rsid w:val="005E35AB"/>
    <w:rsid w:val="005E3659"/>
    <w:rsid w:val="005E3B16"/>
    <w:rsid w:val="005E4151"/>
    <w:rsid w:val="005E4415"/>
    <w:rsid w:val="005E49B5"/>
    <w:rsid w:val="005E4CEB"/>
    <w:rsid w:val="005E61F6"/>
    <w:rsid w:val="005E6315"/>
    <w:rsid w:val="005E638C"/>
    <w:rsid w:val="005E686E"/>
    <w:rsid w:val="005E6CCB"/>
    <w:rsid w:val="005E7274"/>
    <w:rsid w:val="005E75ED"/>
    <w:rsid w:val="005E76DC"/>
    <w:rsid w:val="005F0206"/>
    <w:rsid w:val="005F0695"/>
    <w:rsid w:val="005F072E"/>
    <w:rsid w:val="005F078E"/>
    <w:rsid w:val="005F13A5"/>
    <w:rsid w:val="005F14B4"/>
    <w:rsid w:val="005F1B94"/>
    <w:rsid w:val="005F1BC4"/>
    <w:rsid w:val="005F1D11"/>
    <w:rsid w:val="005F1E99"/>
    <w:rsid w:val="005F22DD"/>
    <w:rsid w:val="005F274A"/>
    <w:rsid w:val="005F2AB5"/>
    <w:rsid w:val="005F2B6A"/>
    <w:rsid w:val="005F3708"/>
    <w:rsid w:val="005F3E45"/>
    <w:rsid w:val="005F5069"/>
    <w:rsid w:val="005F62EB"/>
    <w:rsid w:val="005F6CE0"/>
    <w:rsid w:val="005F6F9D"/>
    <w:rsid w:val="005F70AE"/>
    <w:rsid w:val="005F72B2"/>
    <w:rsid w:val="005F731C"/>
    <w:rsid w:val="005F73BE"/>
    <w:rsid w:val="005F764B"/>
    <w:rsid w:val="005F7742"/>
    <w:rsid w:val="00601788"/>
    <w:rsid w:val="00602311"/>
    <w:rsid w:val="0060249D"/>
    <w:rsid w:val="00602787"/>
    <w:rsid w:val="00602D66"/>
    <w:rsid w:val="00602FE5"/>
    <w:rsid w:val="006034DE"/>
    <w:rsid w:val="00604BFE"/>
    <w:rsid w:val="00604E03"/>
    <w:rsid w:val="0060526F"/>
    <w:rsid w:val="006056BC"/>
    <w:rsid w:val="006057CF"/>
    <w:rsid w:val="00605AA1"/>
    <w:rsid w:val="00606E4E"/>
    <w:rsid w:val="006075F7"/>
    <w:rsid w:val="00610A75"/>
    <w:rsid w:val="0061109E"/>
    <w:rsid w:val="006114C3"/>
    <w:rsid w:val="00613369"/>
    <w:rsid w:val="00614C8A"/>
    <w:rsid w:val="00615AE2"/>
    <w:rsid w:val="006161B8"/>
    <w:rsid w:val="00616A36"/>
    <w:rsid w:val="006201B3"/>
    <w:rsid w:val="00620D17"/>
    <w:rsid w:val="006215E2"/>
    <w:rsid w:val="00621DA4"/>
    <w:rsid w:val="00622004"/>
    <w:rsid w:val="00622D5A"/>
    <w:rsid w:val="006239C8"/>
    <w:rsid w:val="00623ACA"/>
    <w:rsid w:val="00624B19"/>
    <w:rsid w:val="0062538B"/>
    <w:rsid w:val="006259BF"/>
    <w:rsid w:val="00625FEB"/>
    <w:rsid w:val="00626668"/>
    <w:rsid w:val="00626A0F"/>
    <w:rsid w:val="00627326"/>
    <w:rsid w:val="00627F61"/>
    <w:rsid w:val="00630039"/>
    <w:rsid w:val="00630697"/>
    <w:rsid w:val="00632C1A"/>
    <w:rsid w:val="0063490A"/>
    <w:rsid w:val="00636581"/>
    <w:rsid w:val="00637597"/>
    <w:rsid w:val="00637619"/>
    <w:rsid w:val="00640931"/>
    <w:rsid w:val="00640FCB"/>
    <w:rsid w:val="0064131F"/>
    <w:rsid w:val="006422AF"/>
    <w:rsid w:val="0064399B"/>
    <w:rsid w:val="00643B8C"/>
    <w:rsid w:val="00643D90"/>
    <w:rsid w:val="00643E90"/>
    <w:rsid w:val="00644399"/>
    <w:rsid w:val="0064474B"/>
    <w:rsid w:val="006448B3"/>
    <w:rsid w:val="006448E9"/>
    <w:rsid w:val="00644C15"/>
    <w:rsid w:val="00644F4A"/>
    <w:rsid w:val="006451F6"/>
    <w:rsid w:val="006472A8"/>
    <w:rsid w:val="0064746E"/>
    <w:rsid w:val="006475E9"/>
    <w:rsid w:val="00647756"/>
    <w:rsid w:val="00647CE3"/>
    <w:rsid w:val="00647D8C"/>
    <w:rsid w:val="0065110F"/>
    <w:rsid w:val="0065135F"/>
    <w:rsid w:val="00651668"/>
    <w:rsid w:val="0065284F"/>
    <w:rsid w:val="0065356C"/>
    <w:rsid w:val="00653DBD"/>
    <w:rsid w:val="00654A57"/>
    <w:rsid w:val="0065551C"/>
    <w:rsid w:val="006556BA"/>
    <w:rsid w:val="00655896"/>
    <w:rsid w:val="006577F7"/>
    <w:rsid w:val="00660D55"/>
    <w:rsid w:val="00661B99"/>
    <w:rsid w:val="00662825"/>
    <w:rsid w:val="00662929"/>
    <w:rsid w:val="00662B8C"/>
    <w:rsid w:val="00662C81"/>
    <w:rsid w:val="00662CB5"/>
    <w:rsid w:val="00663019"/>
    <w:rsid w:val="00663B50"/>
    <w:rsid w:val="00666470"/>
    <w:rsid w:val="006666FE"/>
    <w:rsid w:val="00666C31"/>
    <w:rsid w:val="0066774F"/>
    <w:rsid w:val="00670430"/>
    <w:rsid w:val="00670633"/>
    <w:rsid w:val="00670A2A"/>
    <w:rsid w:val="00670CC8"/>
    <w:rsid w:val="00671D6D"/>
    <w:rsid w:val="0067274A"/>
    <w:rsid w:val="00672BBD"/>
    <w:rsid w:val="00673007"/>
    <w:rsid w:val="0067374D"/>
    <w:rsid w:val="00673838"/>
    <w:rsid w:val="0067386C"/>
    <w:rsid w:val="00674661"/>
    <w:rsid w:val="00674B68"/>
    <w:rsid w:val="00674BF7"/>
    <w:rsid w:val="00674F05"/>
    <w:rsid w:val="0067515A"/>
    <w:rsid w:val="006757F6"/>
    <w:rsid w:val="00675E12"/>
    <w:rsid w:val="00675E5F"/>
    <w:rsid w:val="00676324"/>
    <w:rsid w:val="0067646D"/>
    <w:rsid w:val="0067652F"/>
    <w:rsid w:val="00677524"/>
    <w:rsid w:val="006776DF"/>
    <w:rsid w:val="00677FA3"/>
    <w:rsid w:val="006804DB"/>
    <w:rsid w:val="00680B56"/>
    <w:rsid w:val="00681364"/>
    <w:rsid w:val="00681446"/>
    <w:rsid w:val="00681DA5"/>
    <w:rsid w:val="00682D03"/>
    <w:rsid w:val="00682DD2"/>
    <w:rsid w:val="0068435C"/>
    <w:rsid w:val="00684918"/>
    <w:rsid w:val="0068537D"/>
    <w:rsid w:val="006857B9"/>
    <w:rsid w:val="006859F2"/>
    <w:rsid w:val="00685E91"/>
    <w:rsid w:val="006863E9"/>
    <w:rsid w:val="00686501"/>
    <w:rsid w:val="0068671F"/>
    <w:rsid w:val="006867E9"/>
    <w:rsid w:val="00686C15"/>
    <w:rsid w:val="00686EAB"/>
    <w:rsid w:val="00687A33"/>
    <w:rsid w:val="00687E1E"/>
    <w:rsid w:val="00690035"/>
    <w:rsid w:val="00691269"/>
    <w:rsid w:val="00691D80"/>
    <w:rsid w:val="00691FF4"/>
    <w:rsid w:val="0069244D"/>
    <w:rsid w:val="0069261C"/>
    <w:rsid w:val="00692B32"/>
    <w:rsid w:val="006949AA"/>
    <w:rsid w:val="00695AD0"/>
    <w:rsid w:val="00695B21"/>
    <w:rsid w:val="00695EFD"/>
    <w:rsid w:val="00696109"/>
    <w:rsid w:val="00696609"/>
    <w:rsid w:val="00697489"/>
    <w:rsid w:val="0069751E"/>
    <w:rsid w:val="006975BA"/>
    <w:rsid w:val="006975D4"/>
    <w:rsid w:val="006A0664"/>
    <w:rsid w:val="006A193E"/>
    <w:rsid w:val="006A1B71"/>
    <w:rsid w:val="006A25BA"/>
    <w:rsid w:val="006A28B3"/>
    <w:rsid w:val="006A303E"/>
    <w:rsid w:val="006A3185"/>
    <w:rsid w:val="006A31D7"/>
    <w:rsid w:val="006A388D"/>
    <w:rsid w:val="006A38A0"/>
    <w:rsid w:val="006A3E55"/>
    <w:rsid w:val="006A4DFE"/>
    <w:rsid w:val="006A4F27"/>
    <w:rsid w:val="006A557B"/>
    <w:rsid w:val="006A58B5"/>
    <w:rsid w:val="006A5A09"/>
    <w:rsid w:val="006A63F1"/>
    <w:rsid w:val="006A672B"/>
    <w:rsid w:val="006A6A42"/>
    <w:rsid w:val="006A6C4F"/>
    <w:rsid w:val="006A77EC"/>
    <w:rsid w:val="006B001F"/>
    <w:rsid w:val="006B01DC"/>
    <w:rsid w:val="006B0982"/>
    <w:rsid w:val="006B1A1C"/>
    <w:rsid w:val="006B2544"/>
    <w:rsid w:val="006B25F8"/>
    <w:rsid w:val="006B2B2D"/>
    <w:rsid w:val="006B2B3A"/>
    <w:rsid w:val="006B2CC5"/>
    <w:rsid w:val="006B340B"/>
    <w:rsid w:val="006B3BA0"/>
    <w:rsid w:val="006B3F04"/>
    <w:rsid w:val="006B4E58"/>
    <w:rsid w:val="006B5472"/>
    <w:rsid w:val="006B6607"/>
    <w:rsid w:val="006B66BE"/>
    <w:rsid w:val="006B6AC7"/>
    <w:rsid w:val="006B6B7C"/>
    <w:rsid w:val="006B7516"/>
    <w:rsid w:val="006B7C34"/>
    <w:rsid w:val="006C0346"/>
    <w:rsid w:val="006C121B"/>
    <w:rsid w:val="006C1E74"/>
    <w:rsid w:val="006C1EEA"/>
    <w:rsid w:val="006C293A"/>
    <w:rsid w:val="006C2970"/>
    <w:rsid w:val="006C2D6F"/>
    <w:rsid w:val="006C300E"/>
    <w:rsid w:val="006C3A72"/>
    <w:rsid w:val="006C3C47"/>
    <w:rsid w:val="006C3F2B"/>
    <w:rsid w:val="006C4B35"/>
    <w:rsid w:val="006C5464"/>
    <w:rsid w:val="006C62D3"/>
    <w:rsid w:val="006C6DE6"/>
    <w:rsid w:val="006C7412"/>
    <w:rsid w:val="006C7683"/>
    <w:rsid w:val="006C7CC9"/>
    <w:rsid w:val="006D01E7"/>
    <w:rsid w:val="006D0DEB"/>
    <w:rsid w:val="006D1B41"/>
    <w:rsid w:val="006D2014"/>
    <w:rsid w:val="006D232C"/>
    <w:rsid w:val="006D2587"/>
    <w:rsid w:val="006D26CA"/>
    <w:rsid w:val="006D272A"/>
    <w:rsid w:val="006D276D"/>
    <w:rsid w:val="006D3117"/>
    <w:rsid w:val="006D3DCD"/>
    <w:rsid w:val="006D484B"/>
    <w:rsid w:val="006D4A66"/>
    <w:rsid w:val="006D4ADD"/>
    <w:rsid w:val="006D5219"/>
    <w:rsid w:val="006D583F"/>
    <w:rsid w:val="006D5A4C"/>
    <w:rsid w:val="006D5E73"/>
    <w:rsid w:val="006D61C1"/>
    <w:rsid w:val="006D6EB3"/>
    <w:rsid w:val="006D7796"/>
    <w:rsid w:val="006E02BF"/>
    <w:rsid w:val="006E10C2"/>
    <w:rsid w:val="006E1446"/>
    <w:rsid w:val="006E148D"/>
    <w:rsid w:val="006E155B"/>
    <w:rsid w:val="006E1FD6"/>
    <w:rsid w:val="006E2820"/>
    <w:rsid w:val="006E290D"/>
    <w:rsid w:val="006E2B95"/>
    <w:rsid w:val="006E32C8"/>
    <w:rsid w:val="006E333B"/>
    <w:rsid w:val="006E3598"/>
    <w:rsid w:val="006E3763"/>
    <w:rsid w:val="006E37A8"/>
    <w:rsid w:val="006E4330"/>
    <w:rsid w:val="006E4372"/>
    <w:rsid w:val="006E4E06"/>
    <w:rsid w:val="006E67FC"/>
    <w:rsid w:val="006E7B80"/>
    <w:rsid w:val="006E7DD0"/>
    <w:rsid w:val="006F02DD"/>
    <w:rsid w:val="006F06FA"/>
    <w:rsid w:val="006F08A1"/>
    <w:rsid w:val="006F108C"/>
    <w:rsid w:val="006F12D8"/>
    <w:rsid w:val="006F168A"/>
    <w:rsid w:val="006F2AE8"/>
    <w:rsid w:val="006F3304"/>
    <w:rsid w:val="006F3B6F"/>
    <w:rsid w:val="006F3D01"/>
    <w:rsid w:val="006F4795"/>
    <w:rsid w:val="006F48B8"/>
    <w:rsid w:val="006F4A06"/>
    <w:rsid w:val="006F4D01"/>
    <w:rsid w:val="006F4DF2"/>
    <w:rsid w:val="006F6B19"/>
    <w:rsid w:val="006F7B54"/>
    <w:rsid w:val="006F7EED"/>
    <w:rsid w:val="00700119"/>
    <w:rsid w:val="00700A1B"/>
    <w:rsid w:val="00700AE6"/>
    <w:rsid w:val="00701630"/>
    <w:rsid w:val="0070263E"/>
    <w:rsid w:val="00702AFF"/>
    <w:rsid w:val="00702D60"/>
    <w:rsid w:val="00703451"/>
    <w:rsid w:val="007035A1"/>
    <w:rsid w:val="0070374F"/>
    <w:rsid w:val="00703BC9"/>
    <w:rsid w:val="00703CC5"/>
    <w:rsid w:val="00703D59"/>
    <w:rsid w:val="00703E23"/>
    <w:rsid w:val="00704D7F"/>
    <w:rsid w:val="00705160"/>
    <w:rsid w:val="007051FB"/>
    <w:rsid w:val="00706C5A"/>
    <w:rsid w:val="007077B4"/>
    <w:rsid w:val="007077E0"/>
    <w:rsid w:val="0070782E"/>
    <w:rsid w:val="00707864"/>
    <w:rsid w:val="0071009F"/>
    <w:rsid w:val="0071024B"/>
    <w:rsid w:val="0071036C"/>
    <w:rsid w:val="007112A6"/>
    <w:rsid w:val="00712F51"/>
    <w:rsid w:val="00712F9A"/>
    <w:rsid w:val="00714651"/>
    <w:rsid w:val="00714B3E"/>
    <w:rsid w:val="00714F09"/>
    <w:rsid w:val="007151B1"/>
    <w:rsid w:val="00715B3D"/>
    <w:rsid w:val="00715CDB"/>
    <w:rsid w:val="007166A1"/>
    <w:rsid w:val="0071670B"/>
    <w:rsid w:val="00716DD1"/>
    <w:rsid w:val="007170C0"/>
    <w:rsid w:val="00717395"/>
    <w:rsid w:val="0071750E"/>
    <w:rsid w:val="00717B33"/>
    <w:rsid w:val="00717F43"/>
    <w:rsid w:val="0072028B"/>
    <w:rsid w:val="007204EA"/>
    <w:rsid w:val="00721464"/>
    <w:rsid w:val="00722089"/>
    <w:rsid w:val="00722990"/>
    <w:rsid w:val="00722BC7"/>
    <w:rsid w:val="00723E4C"/>
    <w:rsid w:val="00724597"/>
    <w:rsid w:val="00724ABD"/>
    <w:rsid w:val="00725101"/>
    <w:rsid w:val="007252D7"/>
    <w:rsid w:val="00725611"/>
    <w:rsid w:val="00725F13"/>
    <w:rsid w:val="0072627C"/>
    <w:rsid w:val="00726629"/>
    <w:rsid w:val="00726D95"/>
    <w:rsid w:val="00726E4E"/>
    <w:rsid w:val="0072711C"/>
    <w:rsid w:val="007277BF"/>
    <w:rsid w:val="00732586"/>
    <w:rsid w:val="0073355C"/>
    <w:rsid w:val="00733F49"/>
    <w:rsid w:val="00735AB7"/>
    <w:rsid w:val="0073640E"/>
    <w:rsid w:val="00736694"/>
    <w:rsid w:val="007367A8"/>
    <w:rsid w:val="007368B3"/>
    <w:rsid w:val="007369A3"/>
    <w:rsid w:val="00736EA5"/>
    <w:rsid w:val="00737402"/>
    <w:rsid w:val="00737641"/>
    <w:rsid w:val="00737C24"/>
    <w:rsid w:val="007405BA"/>
    <w:rsid w:val="00741473"/>
    <w:rsid w:val="00741968"/>
    <w:rsid w:val="00741E59"/>
    <w:rsid w:val="00742AB9"/>
    <w:rsid w:val="00742C7F"/>
    <w:rsid w:val="00742E2A"/>
    <w:rsid w:val="007433F9"/>
    <w:rsid w:val="0074367D"/>
    <w:rsid w:val="00743F90"/>
    <w:rsid w:val="00744B2B"/>
    <w:rsid w:val="00745087"/>
    <w:rsid w:val="007460C0"/>
    <w:rsid w:val="0074629A"/>
    <w:rsid w:val="00747610"/>
    <w:rsid w:val="00747715"/>
    <w:rsid w:val="00750140"/>
    <w:rsid w:val="00750453"/>
    <w:rsid w:val="00750694"/>
    <w:rsid w:val="007518D1"/>
    <w:rsid w:val="00751E85"/>
    <w:rsid w:val="007526E0"/>
    <w:rsid w:val="007538F6"/>
    <w:rsid w:val="00753982"/>
    <w:rsid w:val="00753C74"/>
    <w:rsid w:val="00754191"/>
    <w:rsid w:val="007553D8"/>
    <w:rsid w:val="00755C03"/>
    <w:rsid w:val="00755C23"/>
    <w:rsid w:val="00755C3C"/>
    <w:rsid w:val="00755CE5"/>
    <w:rsid w:val="0075686E"/>
    <w:rsid w:val="007577A8"/>
    <w:rsid w:val="007578C2"/>
    <w:rsid w:val="007605CC"/>
    <w:rsid w:val="007607FD"/>
    <w:rsid w:val="00760E67"/>
    <w:rsid w:val="007611E3"/>
    <w:rsid w:val="00761225"/>
    <w:rsid w:val="00761B45"/>
    <w:rsid w:val="0076212D"/>
    <w:rsid w:val="00762A85"/>
    <w:rsid w:val="00762CA4"/>
    <w:rsid w:val="00763BBD"/>
    <w:rsid w:val="0076408F"/>
    <w:rsid w:val="0076467F"/>
    <w:rsid w:val="00764A03"/>
    <w:rsid w:val="00764E16"/>
    <w:rsid w:val="007657EE"/>
    <w:rsid w:val="00765C50"/>
    <w:rsid w:val="00766559"/>
    <w:rsid w:val="007666F3"/>
    <w:rsid w:val="0076695F"/>
    <w:rsid w:val="00766CBE"/>
    <w:rsid w:val="00766F9C"/>
    <w:rsid w:val="00767CF9"/>
    <w:rsid w:val="0077035B"/>
    <w:rsid w:val="00770B0D"/>
    <w:rsid w:val="00770CDB"/>
    <w:rsid w:val="00770F59"/>
    <w:rsid w:val="007725E5"/>
    <w:rsid w:val="0077265D"/>
    <w:rsid w:val="00772762"/>
    <w:rsid w:val="0077299D"/>
    <w:rsid w:val="00773958"/>
    <w:rsid w:val="00773C68"/>
    <w:rsid w:val="0077438C"/>
    <w:rsid w:val="00774997"/>
    <w:rsid w:val="00774B05"/>
    <w:rsid w:val="00775753"/>
    <w:rsid w:val="007758D6"/>
    <w:rsid w:val="00775FA4"/>
    <w:rsid w:val="00776646"/>
    <w:rsid w:val="00776923"/>
    <w:rsid w:val="00776D72"/>
    <w:rsid w:val="0077702B"/>
    <w:rsid w:val="00777BC6"/>
    <w:rsid w:val="00777C30"/>
    <w:rsid w:val="00777E69"/>
    <w:rsid w:val="007804AF"/>
    <w:rsid w:val="007807E4"/>
    <w:rsid w:val="00780936"/>
    <w:rsid w:val="00781AA4"/>
    <w:rsid w:val="00781CD5"/>
    <w:rsid w:val="00782849"/>
    <w:rsid w:val="00782C98"/>
    <w:rsid w:val="00782E5B"/>
    <w:rsid w:val="00784075"/>
    <w:rsid w:val="00784500"/>
    <w:rsid w:val="00784504"/>
    <w:rsid w:val="00784B94"/>
    <w:rsid w:val="00784FA6"/>
    <w:rsid w:val="0078543E"/>
    <w:rsid w:val="0078670E"/>
    <w:rsid w:val="00787768"/>
    <w:rsid w:val="00793447"/>
    <w:rsid w:val="0079454D"/>
    <w:rsid w:val="00794C76"/>
    <w:rsid w:val="007952CB"/>
    <w:rsid w:val="007958E5"/>
    <w:rsid w:val="0079599B"/>
    <w:rsid w:val="007966E9"/>
    <w:rsid w:val="00796A0C"/>
    <w:rsid w:val="00796CED"/>
    <w:rsid w:val="0079708B"/>
    <w:rsid w:val="007974B0"/>
    <w:rsid w:val="007977E1"/>
    <w:rsid w:val="00797DF3"/>
    <w:rsid w:val="007A02FB"/>
    <w:rsid w:val="007A05B7"/>
    <w:rsid w:val="007A0625"/>
    <w:rsid w:val="007A1875"/>
    <w:rsid w:val="007A309E"/>
    <w:rsid w:val="007A3607"/>
    <w:rsid w:val="007A371A"/>
    <w:rsid w:val="007A3EAD"/>
    <w:rsid w:val="007A40CC"/>
    <w:rsid w:val="007A5242"/>
    <w:rsid w:val="007A6406"/>
    <w:rsid w:val="007A688F"/>
    <w:rsid w:val="007A6A98"/>
    <w:rsid w:val="007A6C93"/>
    <w:rsid w:val="007A6C98"/>
    <w:rsid w:val="007A70EF"/>
    <w:rsid w:val="007A79DA"/>
    <w:rsid w:val="007A7BA3"/>
    <w:rsid w:val="007B0017"/>
    <w:rsid w:val="007B0197"/>
    <w:rsid w:val="007B1CB3"/>
    <w:rsid w:val="007B1FFC"/>
    <w:rsid w:val="007B36B1"/>
    <w:rsid w:val="007B3C12"/>
    <w:rsid w:val="007B4458"/>
    <w:rsid w:val="007B45BF"/>
    <w:rsid w:val="007B4BB5"/>
    <w:rsid w:val="007B4C28"/>
    <w:rsid w:val="007B5D63"/>
    <w:rsid w:val="007B637B"/>
    <w:rsid w:val="007B640B"/>
    <w:rsid w:val="007B686A"/>
    <w:rsid w:val="007B707D"/>
    <w:rsid w:val="007B7249"/>
    <w:rsid w:val="007B7808"/>
    <w:rsid w:val="007C022B"/>
    <w:rsid w:val="007C04FF"/>
    <w:rsid w:val="007C05D7"/>
    <w:rsid w:val="007C0719"/>
    <w:rsid w:val="007C0CD1"/>
    <w:rsid w:val="007C1138"/>
    <w:rsid w:val="007C124E"/>
    <w:rsid w:val="007C1303"/>
    <w:rsid w:val="007C15D1"/>
    <w:rsid w:val="007C1818"/>
    <w:rsid w:val="007C1CC8"/>
    <w:rsid w:val="007C2335"/>
    <w:rsid w:val="007C262B"/>
    <w:rsid w:val="007C28EA"/>
    <w:rsid w:val="007C2C52"/>
    <w:rsid w:val="007C38DB"/>
    <w:rsid w:val="007C45F6"/>
    <w:rsid w:val="007C46F5"/>
    <w:rsid w:val="007C4E6C"/>
    <w:rsid w:val="007C4F03"/>
    <w:rsid w:val="007C516B"/>
    <w:rsid w:val="007C5308"/>
    <w:rsid w:val="007C5A71"/>
    <w:rsid w:val="007C6AA8"/>
    <w:rsid w:val="007C7057"/>
    <w:rsid w:val="007C7207"/>
    <w:rsid w:val="007C7713"/>
    <w:rsid w:val="007D0667"/>
    <w:rsid w:val="007D0AC2"/>
    <w:rsid w:val="007D0B2D"/>
    <w:rsid w:val="007D1001"/>
    <w:rsid w:val="007D1291"/>
    <w:rsid w:val="007D13F7"/>
    <w:rsid w:val="007D15FB"/>
    <w:rsid w:val="007D19F4"/>
    <w:rsid w:val="007D3256"/>
    <w:rsid w:val="007D4146"/>
    <w:rsid w:val="007D449E"/>
    <w:rsid w:val="007D51D7"/>
    <w:rsid w:val="007D528D"/>
    <w:rsid w:val="007D5A45"/>
    <w:rsid w:val="007D60A7"/>
    <w:rsid w:val="007D63D4"/>
    <w:rsid w:val="007D68CC"/>
    <w:rsid w:val="007D6942"/>
    <w:rsid w:val="007D6C6C"/>
    <w:rsid w:val="007D762F"/>
    <w:rsid w:val="007D78FF"/>
    <w:rsid w:val="007D7B12"/>
    <w:rsid w:val="007D7F3E"/>
    <w:rsid w:val="007D7F8A"/>
    <w:rsid w:val="007E12EC"/>
    <w:rsid w:val="007E1510"/>
    <w:rsid w:val="007E1EB9"/>
    <w:rsid w:val="007E2096"/>
    <w:rsid w:val="007E2D60"/>
    <w:rsid w:val="007E34AF"/>
    <w:rsid w:val="007E3D87"/>
    <w:rsid w:val="007E3DF6"/>
    <w:rsid w:val="007E4140"/>
    <w:rsid w:val="007E4370"/>
    <w:rsid w:val="007E499D"/>
    <w:rsid w:val="007E4FDF"/>
    <w:rsid w:val="007E5715"/>
    <w:rsid w:val="007E58C5"/>
    <w:rsid w:val="007E5D59"/>
    <w:rsid w:val="007E74BB"/>
    <w:rsid w:val="007E75C8"/>
    <w:rsid w:val="007E7632"/>
    <w:rsid w:val="007E792F"/>
    <w:rsid w:val="007E7ED6"/>
    <w:rsid w:val="007E7FCA"/>
    <w:rsid w:val="007E7FDB"/>
    <w:rsid w:val="007F0038"/>
    <w:rsid w:val="007F0290"/>
    <w:rsid w:val="007F05F1"/>
    <w:rsid w:val="007F0A8E"/>
    <w:rsid w:val="007F15A8"/>
    <w:rsid w:val="007F1E73"/>
    <w:rsid w:val="007F28A4"/>
    <w:rsid w:val="007F2CE2"/>
    <w:rsid w:val="007F2E6D"/>
    <w:rsid w:val="007F3087"/>
    <w:rsid w:val="007F3787"/>
    <w:rsid w:val="007F37E6"/>
    <w:rsid w:val="007F3951"/>
    <w:rsid w:val="007F3B64"/>
    <w:rsid w:val="007F534A"/>
    <w:rsid w:val="007F5AF9"/>
    <w:rsid w:val="007F5AFC"/>
    <w:rsid w:val="007F5D45"/>
    <w:rsid w:val="007F5FBE"/>
    <w:rsid w:val="007F6333"/>
    <w:rsid w:val="007F64FE"/>
    <w:rsid w:val="007F6BCB"/>
    <w:rsid w:val="007F6D75"/>
    <w:rsid w:val="007F7521"/>
    <w:rsid w:val="007F77D1"/>
    <w:rsid w:val="00800621"/>
    <w:rsid w:val="00800FD0"/>
    <w:rsid w:val="00801730"/>
    <w:rsid w:val="0080184B"/>
    <w:rsid w:val="008018B6"/>
    <w:rsid w:val="00801FF2"/>
    <w:rsid w:val="00802071"/>
    <w:rsid w:val="00802274"/>
    <w:rsid w:val="00802935"/>
    <w:rsid w:val="00802BDE"/>
    <w:rsid w:val="00802DA7"/>
    <w:rsid w:val="008033BB"/>
    <w:rsid w:val="00803880"/>
    <w:rsid w:val="00803C58"/>
    <w:rsid w:val="008040D8"/>
    <w:rsid w:val="00804B5A"/>
    <w:rsid w:val="00805439"/>
    <w:rsid w:val="008058CF"/>
    <w:rsid w:val="008061CC"/>
    <w:rsid w:val="00807C2C"/>
    <w:rsid w:val="00810101"/>
    <w:rsid w:val="00810302"/>
    <w:rsid w:val="00810591"/>
    <w:rsid w:val="0081059F"/>
    <w:rsid w:val="0081115A"/>
    <w:rsid w:val="008115A6"/>
    <w:rsid w:val="00812A7D"/>
    <w:rsid w:val="00812B65"/>
    <w:rsid w:val="00812F73"/>
    <w:rsid w:val="008140EC"/>
    <w:rsid w:val="00814590"/>
    <w:rsid w:val="00814594"/>
    <w:rsid w:val="008146EE"/>
    <w:rsid w:val="00814935"/>
    <w:rsid w:val="00814E11"/>
    <w:rsid w:val="00814FF7"/>
    <w:rsid w:val="008150E0"/>
    <w:rsid w:val="0081521F"/>
    <w:rsid w:val="00815672"/>
    <w:rsid w:val="00815AA3"/>
    <w:rsid w:val="00816A9C"/>
    <w:rsid w:val="00820A48"/>
    <w:rsid w:val="00820CDC"/>
    <w:rsid w:val="00820F3E"/>
    <w:rsid w:val="008218C9"/>
    <w:rsid w:val="00821FB2"/>
    <w:rsid w:val="00822459"/>
    <w:rsid w:val="0082252D"/>
    <w:rsid w:val="00822800"/>
    <w:rsid w:val="00822917"/>
    <w:rsid w:val="00822D78"/>
    <w:rsid w:val="0082339E"/>
    <w:rsid w:val="00823C18"/>
    <w:rsid w:val="00824094"/>
    <w:rsid w:val="00824882"/>
    <w:rsid w:val="00824960"/>
    <w:rsid w:val="00824F32"/>
    <w:rsid w:val="008256DA"/>
    <w:rsid w:val="00825A5D"/>
    <w:rsid w:val="00825D6E"/>
    <w:rsid w:val="008260DF"/>
    <w:rsid w:val="0082683E"/>
    <w:rsid w:val="00826C5D"/>
    <w:rsid w:val="0082780F"/>
    <w:rsid w:val="00830184"/>
    <w:rsid w:val="00831120"/>
    <w:rsid w:val="008312C4"/>
    <w:rsid w:val="0083163E"/>
    <w:rsid w:val="008322FE"/>
    <w:rsid w:val="00832732"/>
    <w:rsid w:val="008330E2"/>
    <w:rsid w:val="008334E0"/>
    <w:rsid w:val="00833A64"/>
    <w:rsid w:val="00833BC2"/>
    <w:rsid w:val="00833E31"/>
    <w:rsid w:val="008341BF"/>
    <w:rsid w:val="008356CA"/>
    <w:rsid w:val="00836C0E"/>
    <w:rsid w:val="00836C2B"/>
    <w:rsid w:val="00837517"/>
    <w:rsid w:val="008375BF"/>
    <w:rsid w:val="00837736"/>
    <w:rsid w:val="00840398"/>
    <w:rsid w:val="008407AC"/>
    <w:rsid w:val="008415AC"/>
    <w:rsid w:val="008425AE"/>
    <w:rsid w:val="00842928"/>
    <w:rsid w:val="00842B14"/>
    <w:rsid w:val="008434C4"/>
    <w:rsid w:val="00843C18"/>
    <w:rsid w:val="00843EAA"/>
    <w:rsid w:val="008440F1"/>
    <w:rsid w:val="0084494C"/>
    <w:rsid w:val="0084575B"/>
    <w:rsid w:val="00845793"/>
    <w:rsid w:val="00846B98"/>
    <w:rsid w:val="00846C90"/>
    <w:rsid w:val="00846D83"/>
    <w:rsid w:val="0084716C"/>
    <w:rsid w:val="0084719C"/>
    <w:rsid w:val="008472BB"/>
    <w:rsid w:val="00847491"/>
    <w:rsid w:val="008478F6"/>
    <w:rsid w:val="0085000B"/>
    <w:rsid w:val="0085035A"/>
    <w:rsid w:val="00850E31"/>
    <w:rsid w:val="00850EBD"/>
    <w:rsid w:val="008515E7"/>
    <w:rsid w:val="00851FF1"/>
    <w:rsid w:val="0085201F"/>
    <w:rsid w:val="00852836"/>
    <w:rsid w:val="00853B9B"/>
    <w:rsid w:val="0085470D"/>
    <w:rsid w:val="00854E36"/>
    <w:rsid w:val="00855380"/>
    <w:rsid w:val="00855421"/>
    <w:rsid w:val="00855C04"/>
    <w:rsid w:val="00855F27"/>
    <w:rsid w:val="00856B90"/>
    <w:rsid w:val="00860E34"/>
    <w:rsid w:val="008612F2"/>
    <w:rsid w:val="00862E8F"/>
    <w:rsid w:val="008656C5"/>
    <w:rsid w:val="008656FB"/>
    <w:rsid w:val="00865C1C"/>
    <w:rsid w:val="0086604B"/>
    <w:rsid w:val="0087019B"/>
    <w:rsid w:val="00871282"/>
    <w:rsid w:val="008716A6"/>
    <w:rsid w:val="008722C8"/>
    <w:rsid w:val="00872FA4"/>
    <w:rsid w:val="008733C8"/>
    <w:rsid w:val="00873A0D"/>
    <w:rsid w:val="00874015"/>
    <w:rsid w:val="0087461E"/>
    <w:rsid w:val="0087530F"/>
    <w:rsid w:val="0087588E"/>
    <w:rsid w:val="00875904"/>
    <w:rsid w:val="00876330"/>
    <w:rsid w:val="0087647E"/>
    <w:rsid w:val="00876664"/>
    <w:rsid w:val="00876BC6"/>
    <w:rsid w:val="00882110"/>
    <w:rsid w:val="0088241E"/>
    <w:rsid w:val="00882C98"/>
    <w:rsid w:val="00883170"/>
    <w:rsid w:val="00884115"/>
    <w:rsid w:val="00884125"/>
    <w:rsid w:val="00884389"/>
    <w:rsid w:val="00884883"/>
    <w:rsid w:val="00886008"/>
    <w:rsid w:val="0088648D"/>
    <w:rsid w:val="008873EB"/>
    <w:rsid w:val="008874BF"/>
    <w:rsid w:val="00887851"/>
    <w:rsid w:val="008879A5"/>
    <w:rsid w:val="00890103"/>
    <w:rsid w:val="00890514"/>
    <w:rsid w:val="00890CE5"/>
    <w:rsid w:val="0089161D"/>
    <w:rsid w:val="008919BA"/>
    <w:rsid w:val="008923BC"/>
    <w:rsid w:val="00892405"/>
    <w:rsid w:val="00892932"/>
    <w:rsid w:val="00892AD5"/>
    <w:rsid w:val="008936AC"/>
    <w:rsid w:val="00893870"/>
    <w:rsid w:val="00893C95"/>
    <w:rsid w:val="00894619"/>
    <w:rsid w:val="00894CA8"/>
    <w:rsid w:val="008951A1"/>
    <w:rsid w:val="00895595"/>
    <w:rsid w:val="00895A45"/>
    <w:rsid w:val="00895B38"/>
    <w:rsid w:val="00895C93"/>
    <w:rsid w:val="0089629F"/>
    <w:rsid w:val="008963C1"/>
    <w:rsid w:val="008966DE"/>
    <w:rsid w:val="008969AD"/>
    <w:rsid w:val="00896CED"/>
    <w:rsid w:val="00896D2E"/>
    <w:rsid w:val="00896E92"/>
    <w:rsid w:val="00896EAF"/>
    <w:rsid w:val="008A0331"/>
    <w:rsid w:val="008A0727"/>
    <w:rsid w:val="008A0BB4"/>
    <w:rsid w:val="008A0BF2"/>
    <w:rsid w:val="008A105E"/>
    <w:rsid w:val="008A1281"/>
    <w:rsid w:val="008A1530"/>
    <w:rsid w:val="008A2555"/>
    <w:rsid w:val="008A32A4"/>
    <w:rsid w:val="008A34F2"/>
    <w:rsid w:val="008A3E0A"/>
    <w:rsid w:val="008A407D"/>
    <w:rsid w:val="008A593F"/>
    <w:rsid w:val="008A5E31"/>
    <w:rsid w:val="008A6819"/>
    <w:rsid w:val="008A74AD"/>
    <w:rsid w:val="008A7FDA"/>
    <w:rsid w:val="008B001A"/>
    <w:rsid w:val="008B0169"/>
    <w:rsid w:val="008B0E57"/>
    <w:rsid w:val="008B3285"/>
    <w:rsid w:val="008B3582"/>
    <w:rsid w:val="008B3850"/>
    <w:rsid w:val="008B412E"/>
    <w:rsid w:val="008B46E5"/>
    <w:rsid w:val="008B591B"/>
    <w:rsid w:val="008B6196"/>
    <w:rsid w:val="008B7104"/>
    <w:rsid w:val="008B7341"/>
    <w:rsid w:val="008B74BE"/>
    <w:rsid w:val="008B7A7A"/>
    <w:rsid w:val="008B7E99"/>
    <w:rsid w:val="008C06B7"/>
    <w:rsid w:val="008C0756"/>
    <w:rsid w:val="008C0992"/>
    <w:rsid w:val="008C0B95"/>
    <w:rsid w:val="008C0CBC"/>
    <w:rsid w:val="008C0FF4"/>
    <w:rsid w:val="008C1D2F"/>
    <w:rsid w:val="008C1D90"/>
    <w:rsid w:val="008C2343"/>
    <w:rsid w:val="008C2949"/>
    <w:rsid w:val="008C2C21"/>
    <w:rsid w:val="008C2F93"/>
    <w:rsid w:val="008C33AD"/>
    <w:rsid w:val="008C36B4"/>
    <w:rsid w:val="008C4326"/>
    <w:rsid w:val="008C43B3"/>
    <w:rsid w:val="008C4E2C"/>
    <w:rsid w:val="008C56BB"/>
    <w:rsid w:val="008C5725"/>
    <w:rsid w:val="008C60B8"/>
    <w:rsid w:val="008C672D"/>
    <w:rsid w:val="008C6802"/>
    <w:rsid w:val="008C6A0A"/>
    <w:rsid w:val="008D0D8B"/>
    <w:rsid w:val="008D10F0"/>
    <w:rsid w:val="008D1925"/>
    <w:rsid w:val="008D21FB"/>
    <w:rsid w:val="008D2559"/>
    <w:rsid w:val="008D3DBB"/>
    <w:rsid w:val="008D4CCB"/>
    <w:rsid w:val="008D506D"/>
    <w:rsid w:val="008D51EB"/>
    <w:rsid w:val="008D7378"/>
    <w:rsid w:val="008D7955"/>
    <w:rsid w:val="008E0141"/>
    <w:rsid w:val="008E02D6"/>
    <w:rsid w:val="008E100F"/>
    <w:rsid w:val="008E1408"/>
    <w:rsid w:val="008E1E8E"/>
    <w:rsid w:val="008E2A00"/>
    <w:rsid w:val="008E2FE4"/>
    <w:rsid w:val="008E35E4"/>
    <w:rsid w:val="008E3915"/>
    <w:rsid w:val="008E3F36"/>
    <w:rsid w:val="008E404E"/>
    <w:rsid w:val="008E4217"/>
    <w:rsid w:val="008E441D"/>
    <w:rsid w:val="008E515E"/>
    <w:rsid w:val="008E6498"/>
    <w:rsid w:val="008E6533"/>
    <w:rsid w:val="008E7E7C"/>
    <w:rsid w:val="008F006B"/>
    <w:rsid w:val="008F0DD4"/>
    <w:rsid w:val="008F18E4"/>
    <w:rsid w:val="008F2261"/>
    <w:rsid w:val="008F28B8"/>
    <w:rsid w:val="008F28FD"/>
    <w:rsid w:val="008F2938"/>
    <w:rsid w:val="008F4D47"/>
    <w:rsid w:val="008F52C6"/>
    <w:rsid w:val="008F5A9F"/>
    <w:rsid w:val="008F5FC6"/>
    <w:rsid w:val="008F6EE1"/>
    <w:rsid w:val="008F73C3"/>
    <w:rsid w:val="00900308"/>
    <w:rsid w:val="00901B45"/>
    <w:rsid w:val="009026EF"/>
    <w:rsid w:val="00903F99"/>
    <w:rsid w:val="0090425C"/>
    <w:rsid w:val="0090465A"/>
    <w:rsid w:val="00904874"/>
    <w:rsid w:val="0090514B"/>
    <w:rsid w:val="009056B8"/>
    <w:rsid w:val="00905ADA"/>
    <w:rsid w:val="00906CF0"/>
    <w:rsid w:val="0090700A"/>
    <w:rsid w:val="00907138"/>
    <w:rsid w:val="00907D25"/>
    <w:rsid w:val="009106D9"/>
    <w:rsid w:val="00910A8D"/>
    <w:rsid w:val="00910EDA"/>
    <w:rsid w:val="0091245E"/>
    <w:rsid w:val="0091299A"/>
    <w:rsid w:val="0091491E"/>
    <w:rsid w:val="0091616D"/>
    <w:rsid w:val="009176C2"/>
    <w:rsid w:val="00920977"/>
    <w:rsid w:val="00921207"/>
    <w:rsid w:val="00921784"/>
    <w:rsid w:val="00922558"/>
    <w:rsid w:val="0092323E"/>
    <w:rsid w:val="00923826"/>
    <w:rsid w:val="00923F7A"/>
    <w:rsid w:val="0092487F"/>
    <w:rsid w:val="00924ABA"/>
    <w:rsid w:val="00924CF7"/>
    <w:rsid w:val="00924F6B"/>
    <w:rsid w:val="00925689"/>
    <w:rsid w:val="00925B62"/>
    <w:rsid w:val="00925CBA"/>
    <w:rsid w:val="00926381"/>
    <w:rsid w:val="009268F2"/>
    <w:rsid w:val="009271EC"/>
    <w:rsid w:val="00927FFA"/>
    <w:rsid w:val="00930701"/>
    <w:rsid w:val="0093124C"/>
    <w:rsid w:val="00932F88"/>
    <w:rsid w:val="00933107"/>
    <w:rsid w:val="00933D97"/>
    <w:rsid w:val="00934C57"/>
    <w:rsid w:val="009361E1"/>
    <w:rsid w:val="00936402"/>
    <w:rsid w:val="0093679C"/>
    <w:rsid w:val="00936AF0"/>
    <w:rsid w:val="00936E7A"/>
    <w:rsid w:val="00936EA0"/>
    <w:rsid w:val="009375C3"/>
    <w:rsid w:val="009377AB"/>
    <w:rsid w:val="00940B77"/>
    <w:rsid w:val="00940BD2"/>
    <w:rsid w:val="00940E08"/>
    <w:rsid w:val="00940F44"/>
    <w:rsid w:val="00941276"/>
    <w:rsid w:val="00941323"/>
    <w:rsid w:val="009414D1"/>
    <w:rsid w:val="009415C4"/>
    <w:rsid w:val="009417C3"/>
    <w:rsid w:val="00941D00"/>
    <w:rsid w:val="00941EBD"/>
    <w:rsid w:val="00942AE1"/>
    <w:rsid w:val="00942EF0"/>
    <w:rsid w:val="00943B6F"/>
    <w:rsid w:val="00943DB3"/>
    <w:rsid w:val="009440DF"/>
    <w:rsid w:val="0094459D"/>
    <w:rsid w:val="009456E0"/>
    <w:rsid w:val="00945995"/>
    <w:rsid w:val="009460FD"/>
    <w:rsid w:val="0094625C"/>
    <w:rsid w:val="00946B02"/>
    <w:rsid w:val="00946EA0"/>
    <w:rsid w:val="00947814"/>
    <w:rsid w:val="00947887"/>
    <w:rsid w:val="00947EE2"/>
    <w:rsid w:val="009501FD"/>
    <w:rsid w:val="00950D77"/>
    <w:rsid w:val="00951206"/>
    <w:rsid w:val="00953756"/>
    <w:rsid w:val="00954FF7"/>
    <w:rsid w:val="00955735"/>
    <w:rsid w:val="00955ACE"/>
    <w:rsid w:val="009561D9"/>
    <w:rsid w:val="00956888"/>
    <w:rsid w:val="00956EDA"/>
    <w:rsid w:val="00957339"/>
    <w:rsid w:val="0095765C"/>
    <w:rsid w:val="00957A71"/>
    <w:rsid w:val="00957F09"/>
    <w:rsid w:val="009615B0"/>
    <w:rsid w:val="009619E4"/>
    <w:rsid w:val="00961A3C"/>
    <w:rsid w:val="009622B5"/>
    <w:rsid w:val="0096260F"/>
    <w:rsid w:val="00962CA9"/>
    <w:rsid w:val="00963775"/>
    <w:rsid w:val="00963777"/>
    <w:rsid w:val="00963E3E"/>
    <w:rsid w:val="00964264"/>
    <w:rsid w:val="00964466"/>
    <w:rsid w:val="00964EED"/>
    <w:rsid w:val="00965931"/>
    <w:rsid w:val="00965D55"/>
    <w:rsid w:val="00965F8F"/>
    <w:rsid w:val="00966A8B"/>
    <w:rsid w:val="00967957"/>
    <w:rsid w:val="00967E7D"/>
    <w:rsid w:val="009701ED"/>
    <w:rsid w:val="009702C3"/>
    <w:rsid w:val="0097156D"/>
    <w:rsid w:val="00971AEF"/>
    <w:rsid w:val="00971E49"/>
    <w:rsid w:val="0097205C"/>
    <w:rsid w:val="00972064"/>
    <w:rsid w:val="00973E95"/>
    <w:rsid w:val="00974459"/>
    <w:rsid w:val="00974988"/>
    <w:rsid w:val="0097515A"/>
    <w:rsid w:val="00975232"/>
    <w:rsid w:val="00975BC1"/>
    <w:rsid w:val="00976458"/>
    <w:rsid w:val="009778E7"/>
    <w:rsid w:val="009779EE"/>
    <w:rsid w:val="00977E08"/>
    <w:rsid w:val="0098044B"/>
    <w:rsid w:val="009816CB"/>
    <w:rsid w:val="00981AEC"/>
    <w:rsid w:val="00981C24"/>
    <w:rsid w:val="00983F45"/>
    <w:rsid w:val="00984082"/>
    <w:rsid w:val="00985802"/>
    <w:rsid w:val="00985D92"/>
    <w:rsid w:val="00985FDB"/>
    <w:rsid w:val="0098651D"/>
    <w:rsid w:val="00986639"/>
    <w:rsid w:val="00986835"/>
    <w:rsid w:val="009875E1"/>
    <w:rsid w:val="00987D38"/>
    <w:rsid w:val="00987FFA"/>
    <w:rsid w:val="009905EB"/>
    <w:rsid w:val="0099092F"/>
    <w:rsid w:val="00990FB0"/>
    <w:rsid w:val="0099129A"/>
    <w:rsid w:val="00992105"/>
    <w:rsid w:val="00992551"/>
    <w:rsid w:val="00992B64"/>
    <w:rsid w:val="009960F7"/>
    <w:rsid w:val="00996363"/>
    <w:rsid w:val="00996B0E"/>
    <w:rsid w:val="00996C99"/>
    <w:rsid w:val="00997071"/>
    <w:rsid w:val="00997902"/>
    <w:rsid w:val="00997AFC"/>
    <w:rsid w:val="009A0690"/>
    <w:rsid w:val="009A0BB1"/>
    <w:rsid w:val="009A0F26"/>
    <w:rsid w:val="009A105E"/>
    <w:rsid w:val="009A133E"/>
    <w:rsid w:val="009A2271"/>
    <w:rsid w:val="009A2D35"/>
    <w:rsid w:val="009A353D"/>
    <w:rsid w:val="009A35E3"/>
    <w:rsid w:val="009A38A4"/>
    <w:rsid w:val="009A599B"/>
    <w:rsid w:val="009A5CB8"/>
    <w:rsid w:val="009A62E3"/>
    <w:rsid w:val="009A6412"/>
    <w:rsid w:val="009A6F21"/>
    <w:rsid w:val="009A6FFC"/>
    <w:rsid w:val="009B0245"/>
    <w:rsid w:val="009B0BB2"/>
    <w:rsid w:val="009B28C2"/>
    <w:rsid w:val="009B33BE"/>
    <w:rsid w:val="009B3754"/>
    <w:rsid w:val="009B4297"/>
    <w:rsid w:val="009B4FDC"/>
    <w:rsid w:val="009B51C4"/>
    <w:rsid w:val="009B54EC"/>
    <w:rsid w:val="009B5E94"/>
    <w:rsid w:val="009B5F16"/>
    <w:rsid w:val="009B6274"/>
    <w:rsid w:val="009B63F7"/>
    <w:rsid w:val="009B6FAD"/>
    <w:rsid w:val="009B76D0"/>
    <w:rsid w:val="009B7754"/>
    <w:rsid w:val="009B7B03"/>
    <w:rsid w:val="009C0164"/>
    <w:rsid w:val="009C024C"/>
    <w:rsid w:val="009C04F8"/>
    <w:rsid w:val="009C0C4D"/>
    <w:rsid w:val="009C1E9D"/>
    <w:rsid w:val="009C2B45"/>
    <w:rsid w:val="009C3435"/>
    <w:rsid w:val="009C3A30"/>
    <w:rsid w:val="009C468C"/>
    <w:rsid w:val="009C491B"/>
    <w:rsid w:val="009C6272"/>
    <w:rsid w:val="009C673E"/>
    <w:rsid w:val="009C6FAA"/>
    <w:rsid w:val="009C742A"/>
    <w:rsid w:val="009C7702"/>
    <w:rsid w:val="009C7935"/>
    <w:rsid w:val="009D014A"/>
    <w:rsid w:val="009D07D6"/>
    <w:rsid w:val="009D0C21"/>
    <w:rsid w:val="009D0C42"/>
    <w:rsid w:val="009D100A"/>
    <w:rsid w:val="009D1371"/>
    <w:rsid w:val="009D1E89"/>
    <w:rsid w:val="009D2332"/>
    <w:rsid w:val="009D272F"/>
    <w:rsid w:val="009D29AD"/>
    <w:rsid w:val="009D2DB1"/>
    <w:rsid w:val="009D329A"/>
    <w:rsid w:val="009D429B"/>
    <w:rsid w:val="009D4305"/>
    <w:rsid w:val="009D434B"/>
    <w:rsid w:val="009D4497"/>
    <w:rsid w:val="009D4EF8"/>
    <w:rsid w:val="009D4FD2"/>
    <w:rsid w:val="009D58D4"/>
    <w:rsid w:val="009D5C2A"/>
    <w:rsid w:val="009D5D9E"/>
    <w:rsid w:val="009D6486"/>
    <w:rsid w:val="009D6BBB"/>
    <w:rsid w:val="009D6F65"/>
    <w:rsid w:val="009D75DA"/>
    <w:rsid w:val="009D7652"/>
    <w:rsid w:val="009D7E56"/>
    <w:rsid w:val="009E0421"/>
    <w:rsid w:val="009E089E"/>
    <w:rsid w:val="009E1724"/>
    <w:rsid w:val="009E29DA"/>
    <w:rsid w:val="009E2A79"/>
    <w:rsid w:val="009E2AAF"/>
    <w:rsid w:val="009E2B0E"/>
    <w:rsid w:val="009E2BA2"/>
    <w:rsid w:val="009E3A5D"/>
    <w:rsid w:val="009E3FCC"/>
    <w:rsid w:val="009E4196"/>
    <w:rsid w:val="009E4805"/>
    <w:rsid w:val="009E4A5D"/>
    <w:rsid w:val="009E52ED"/>
    <w:rsid w:val="009E53A0"/>
    <w:rsid w:val="009E5EB2"/>
    <w:rsid w:val="009E60D3"/>
    <w:rsid w:val="009E66C6"/>
    <w:rsid w:val="009E690B"/>
    <w:rsid w:val="009E72BB"/>
    <w:rsid w:val="009F0950"/>
    <w:rsid w:val="009F0DBB"/>
    <w:rsid w:val="009F1274"/>
    <w:rsid w:val="009F1294"/>
    <w:rsid w:val="009F1403"/>
    <w:rsid w:val="009F1571"/>
    <w:rsid w:val="009F18BE"/>
    <w:rsid w:val="009F1941"/>
    <w:rsid w:val="009F214C"/>
    <w:rsid w:val="009F2544"/>
    <w:rsid w:val="009F39F0"/>
    <w:rsid w:val="009F3B2B"/>
    <w:rsid w:val="009F3E20"/>
    <w:rsid w:val="009F3ECA"/>
    <w:rsid w:val="009F3F88"/>
    <w:rsid w:val="009F4CCB"/>
    <w:rsid w:val="009F5862"/>
    <w:rsid w:val="009F5B7C"/>
    <w:rsid w:val="009F6473"/>
    <w:rsid w:val="009F6FB7"/>
    <w:rsid w:val="00A0018F"/>
    <w:rsid w:val="00A009DB"/>
    <w:rsid w:val="00A024C6"/>
    <w:rsid w:val="00A0270E"/>
    <w:rsid w:val="00A03325"/>
    <w:rsid w:val="00A03997"/>
    <w:rsid w:val="00A03EFA"/>
    <w:rsid w:val="00A043C6"/>
    <w:rsid w:val="00A047B5"/>
    <w:rsid w:val="00A04E02"/>
    <w:rsid w:val="00A05F08"/>
    <w:rsid w:val="00A05FCB"/>
    <w:rsid w:val="00A06891"/>
    <w:rsid w:val="00A07619"/>
    <w:rsid w:val="00A10880"/>
    <w:rsid w:val="00A11621"/>
    <w:rsid w:val="00A1190A"/>
    <w:rsid w:val="00A120EC"/>
    <w:rsid w:val="00A1278C"/>
    <w:rsid w:val="00A12811"/>
    <w:rsid w:val="00A13651"/>
    <w:rsid w:val="00A137EB"/>
    <w:rsid w:val="00A13D97"/>
    <w:rsid w:val="00A1411E"/>
    <w:rsid w:val="00A14EF7"/>
    <w:rsid w:val="00A15F73"/>
    <w:rsid w:val="00A15FF2"/>
    <w:rsid w:val="00A17D1A"/>
    <w:rsid w:val="00A2069A"/>
    <w:rsid w:val="00A20ED3"/>
    <w:rsid w:val="00A20F5F"/>
    <w:rsid w:val="00A216E6"/>
    <w:rsid w:val="00A2208F"/>
    <w:rsid w:val="00A2279B"/>
    <w:rsid w:val="00A2325A"/>
    <w:rsid w:val="00A24886"/>
    <w:rsid w:val="00A249F5"/>
    <w:rsid w:val="00A25A5F"/>
    <w:rsid w:val="00A26654"/>
    <w:rsid w:val="00A26843"/>
    <w:rsid w:val="00A2692C"/>
    <w:rsid w:val="00A26D42"/>
    <w:rsid w:val="00A27891"/>
    <w:rsid w:val="00A278EE"/>
    <w:rsid w:val="00A30469"/>
    <w:rsid w:val="00A306BA"/>
    <w:rsid w:val="00A31296"/>
    <w:rsid w:val="00A313FB"/>
    <w:rsid w:val="00A31DB4"/>
    <w:rsid w:val="00A320A3"/>
    <w:rsid w:val="00A320CC"/>
    <w:rsid w:val="00A321FE"/>
    <w:rsid w:val="00A3258B"/>
    <w:rsid w:val="00A32667"/>
    <w:rsid w:val="00A32CAE"/>
    <w:rsid w:val="00A333A3"/>
    <w:rsid w:val="00A334F0"/>
    <w:rsid w:val="00A33EA5"/>
    <w:rsid w:val="00A34A42"/>
    <w:rsid w:val="00A35AD2"/>
    <w:rsid w:val="00A35BF9"/>
    <w:rsid w:val="00A35E74"/>
    <w:rsid w:val="00A36609"/>
    <w:rsid w:val="00A40480"/>
    <w:rsid w:val="00A404D5"/>
    <w:rsid w:val="00A40EB4"/>
    <w:rsid w:val="00A41441"/>
    <w:rsid w:val="00A41A57"/>
    <w:rsid w:val="00A41D0E"/>
    <w:rsid w:val="00A426A5"/>
    <w:rsid w:val="00A42A93"/>
    <w:rsid w:val="00A42F2C"/>
    <w:rsid w:val="00A43017"/>
    <w:rsid w:val="00A43695"/>
    <w:rsid w:val="00A44382"/>
    <w:rsid w:val="00A44B71"/>
    <w:rsid w:val="00A44EA6"/>
    <w:rsid w:val="00A4594A"/>
    <w:rsid w:val="00A45EB9"/>
    <w:rsid w:val="00A46110"/>
    <w:rsid w:val="00A468D6"/>
    <w:rsid w:val="00A46C38"/>
    <w:rsid w:val="00A474C1"/>
    <w:rsid w:val="00A47786"/>
    <w:rsid w:val="00A47D59"/>
    <w:rsid w:val="00A47DDF"/>
    <w:rsid w:val="00A507E0"/>
    <w:rsid w:val="00A50939"/>
    <w:rsid w:val="00A50FC6"/>
    <w:rsid w:val="00A516CB"/>
    <w:rsid w:val="00A51AF8"/>
    <w:rsid w:val="00A51D8C"/>
    <w:rsid w:val="00A520A3"/>
    <w:rsid w:val="00A52A26"/>
    <w:rsid w:val="00A52CB8"/>
    <w:rsid w:val="00A52DF8"/>
    <w:rsid w:val="00A52EA0"/>
    <w:rsid w:val="00A54171"/>
    <w:rsid w:val="00A545A2"/>
    <w:rsid w:val="00A549D5"/>
    <w:rsid w:val="00A54D4C"/>
    <w:rsid w:val="00A55A03"/>
    <w:rsid w:val="00A55E40"/>
    <w:rsid w:val="00A565A9"/>
    <w:rsid w:val="00A5695E"/>
    <w:rsid w:val="00A56A01"/>
    <w:rsid w:val="00A5701D"/>
    <w:rsid w:val="00A57998"/>
    <w:rsid w:val="00A57B8E"/>
    <w:rsid w:val="00A57F38"/>
    <w:rsid w:val="00A6003C"/>
    <w:rsid w:val="00A60672"/>
    <w:rsid w:val="00A60D3B"/>
    <w:rsid w:val="00A6117D"/>
    <w:rsid w:val="00A61B78"/>
    <w:rsid w:val="00A62EB7"/>
    <w:rsid w:val="00A632BA"/>
    <w:rsid w:val="00A63442"/>
    <w:rsid w:val="00A63F63"/>
    <w:rsid w:val="00A64452"/>
    <w:rsid w:val="00A649B8"/>
    <w:rsid w:val="00A70FE0"/>
    <w:rsid w:val="00A7154A"/>
    <w:rsid w:val="00A72C64"/>
    <w:rsid w:val="00A72F8F"/>
    <w:rsid w:val="00A73B6E"/>
    <w:rsid w:val="00A73CE6"/>
    <w:rsid w:val="00A74114"/>
    <w:rsid w:val="00A7485C"/>
    <w:rsid w:val="00A74B63"/>
    <w:rsid w:val="00A74EAB"/>
    <w:rsid w:val="00A752E6"/>
    <w:rsid w:val="00A75B7D"/>
    <w:rsid w:val="00A76664"/>
    <w:rsid w:val="00A766FC"/>
    <w:rsid w:val="00A7694F"/>
    <w:rsid w:val="00A76D47"/>
    <w:rsid w:val="00A774B0"/>
    <w:rsid w:val="00A77CB5"/>
    <w:rsid w:val="00A81193"/>
    <w:rsid w:val="00A81DFB"/>
    <w:rsid w:val="00A82D3F"/>
    <w:rsid w:val="00A83ED0"/>
    <w:rsid w:val="00A83EF6"/>
    <w:rsid w:val="00A842A7"/>
    <w:rsid w:val="00A8447E"/>
    <w:rsid w:val="00A8489D"/>
    <w:rsid w:val="00A8492A"/>
    <w:rsid w:val="00A84A6A"/>
    <w:rsid w:val="00A850D0"/>
    <w:rsid w:val="00A851EE"/>
    <w:rsid w:val="00A85375"/>
    <w:rsid w:val="00A85527"/>
    <w:rsid w:val="00A855C0"/>
    <w:rsid w:val="00A85880"/>
    <w:rsid w:val="00A85F0E"/>
    <w:rsid w:val="00A85F39"/>
    <w:rsid w:val="00A861B2"/>
    <w:rsid w:val="00A86B08"/>
    <w:rsid w:val="00A8766A"/>
    <w:rsid w:val="00A9088C"/>
    <w:rsid w:val="00A90BB7"/>
    <w:rsid w:val="00A90C26"/>
    <w:rsid w:val="00A90D4B"/>
    <w:rsid w:val="00A9128A"/>
    <w:rsid w:val="00A9158C"/>
    <w:rsid w:val="00A917DA"/>
    <w:rsid w:val="00A92B6E"/>
    <w:rsid w:val="00A94139"/>
    <w:rsid w:val="00A94817"/>
    <w:rsid w:val="00A96C42"/>
    <w:rsid w:val="00A96DB6"/>
    <w:rsid w:val="00A97AD4"/>
    <w:rsid w:val="00A97F4B"/>
    <w:rsid w:val="00AA0F25"/>
    <w:rsid w:val="00AA11A8"/>
    <w:rsid w:val="00AA1B05"/>
    <w:rsid w:val="00AA25FB"/>
    <w:rsid w:val="00AA26E7"/>
    <w:rsid w:val="00AA2C85"/>
    <w:rsid w:val="00AA2F36"/>
    <w:rsid w:val="00AA3274"/>
    <w:rsid w:val="00AA3C2D"/>
    <w:rsid w:val="00AA4149"/>
    <w:rsid w:val="00AA4197"/>
    <w:rsid w:val="00AA41CA"/>
    <w:rsid w:val="00AA4234"/>
    <w:rsid w:val="00AA4578"/>
    <w:rsid w:val="00AA48F0"/>
    <w:rsid w:val="00AA520A"/>
    <w:rsid w:val="00AA546D"/>
    <w:rsid w:val="00AA5637"/>
    <w:rsid w:val="00AA5F6F"/>
    <w:rsid w:val="00AA5FAB"/>
    <w:rsid w:val="00AA6114"/>
    <w:rsid w:val="00AA638F"/>
    <w:rsid w:val="00AA6622"/>
    <w:rsid w:val="00AA6800"/>
    <w:rsid w:val="00AA78F3"/>
    <w:rsid w:val="00AA79C6"/>
    <w:rsid w:val="00AB01F2"/>
    <w:rsid w:val="00AB09BE"/>
    <w:rsid w:val="00AB113F"/>
    <w:rsid w:val="00AB166E"/>
    <w:rsid w:val="00AB25D3"/>
    <w:rsid w:val="00AB3670"/>
    <w:rsid w:val="00AB3C07"/>
    <w:rsid w:val="00AB3D80"/>
    <w:rsid w:val="00AB3E18"/>
    <w:rsid w:val="00AB3EA9"/>
    <w:rsid w:val="00AB4113"/>
    <w:rsid w:val="00AB4569"/>
    <w:rsid w:val="00AB4A2B"/>
    <w:rsid w:val="00AB52E5"/>
    <w:rsid w:val="00AB5C0D"/>
    <w:rsid w:val="00AB5D79"/>
    <w:rsid w:val="00AB6003"/>
    <w:rsid w:val="00AB607D"/>
    <w:rsid w:val="00AB676E"/>
    <w:rsid w:val="00AB71FD"/>
    <w:rsid w:val="00AB7223"/>
    <w:rsid w:val="00AB731E"/>
    <w:rsid w:val="00AB7C6A"/>
    <w:rsid w:val="00AB7CE5"/>
    <w:rsid w:val="00AC025F"/>
    <w:rsid w:val="00AC05B7"/>
    <w:rsid w:val="00AC05ED"/>
    <w:rsid w:val="00AC07C6"/>
    <w:rsid w:val="00AC25EC"/>
    <w:rsid w:val="00AC2661"/>
    <w:rsid w:val="00AC2778"/>
    <w:rsid w:val="00AC3A48"/>
    <w:rsid w:val="00AC3D99"/>
    <w:rsid w:val="00AC3FA0"/>
    <w:rsid w:val="00AC451C"/>
    <w:rsid w:val="00AC4DD6"/>
    <w:rsid w:val="00AC4FBB"/>
    <w:rsid w:val="00AC5877"/>
    <w:rsid w:val="00AC5B01"/>
    <w:rsid w:val="00AC5F0D"/>
    <w:rsid w:val="00AC6A46"/>
    <w:rsid w:val="00AC6C9B"/>
    <w:rsid w:val="00AC6CAE"/>
    <w:rsid w:val="00AD008B"/>
    <w:rsid w:val="00AD02D4"/>
    <w:rsid w:val="00AD0A8C"/>
    <w:rsid w:val="00AD0B6D"/>
    <w:rsid w:val="00AD0FAD"/>
    <w:rsid w:val="00AD1512"/>
    <w:rsid w:val="00AD176C"/>
    <w:rsid w:val="00AD1D50"/>
    <w:rsid w:val="00AD2628"/>
    <w:rsid w:val="00AD2672"/>
    <w:rsid w:val="00AD3D43"/>
    <w:rsid w:val="00AD3D72"/>
    <w:rsid w:val="00AD4699"/>
    <w:rsid w:val="00AD4DE7"/>
    <w:rsid w:val="00AD528A"/>
    <w:rsid w:val="00AD5D9B"/>
    <w:rsid w:val="00AD6037"/>
    <w:rsid w:val="00AD675B"/>
    <w:rsid w:val="00AD68A8"/>
    <w:rsid w:val="00AD7464"/>
    <w:rsid w:val="00AD7549"/>
    <w:rsid w:val="00AD78D8"/>
    <w:rsid w:val="00AD7DD1"/>
    <w:rsid w:val="00AE0948"/>
    <w:rsid w:val="00AE0EC1"/>
    <w:rsid w:val="00AE13E1"/>
    <w:rsid w:val="00AE2039"/>
    <w:rsid w:val="00AE236F"/>
    <w:rsid w:val="00AE2A7A"/>
    <w:rsid w:val="00AE2E52"/>
    <w:rsid w:val="00AE302F"/>
    <w:rsid w:val="00AE363F"/>
    <w:rsid w:val="00AE3A30"/>
    <w:rsid w:val="00AE43E4"/>
    <w:rsid w:val="00AE4A8A"/>
    <w:rsid w:val="00AE5880"/>
    <w:rsid w:val="00AE6457"/>
    <w:rsid w:val="00AE66C3"/>
    <w:rsid w:val="00AE6E05"/>
    <w:rsid w:val="00AE6E99"/>
    <w:rsid w:val="00AE6F0A"/>
    <w:rsid w:val="00AE7292"/>
    <w:rsid w:val="00AE729B"/>
    <w:rsid w:val="00AE7528"/>
    <w:rsid w:val="00AE7561"/>
    <w:rsid w:val="00AE75FF"/>
    <w:rsid w:val="00AE777B"/>
    <w:rsid w:val="00AE78DB"/>
    <w:rsid w:val="00AE7EE6"/>
    <w:rsid w:val="00AF02E5"/>
    <w:rsid w:val="00AF062B"/>
    <w:rsid w:val="00AF0AC5"/>
    <w:rsid w:val="00AF1EE2"/>
    <w:rsid w:val="00AF2111"/>
    <w:rsid w:val="00AF21A8"/>
    <w:rsid w:val="00AF222A"/>
    <w:rsid w:val="00AF2F8E"/>
    <w:rsid w:val="00AF34AC"/>
    <w:rsid w:val="00AF399F"/>
    <w:rsid w:val="00AF47BC"/>
    <w:rsid w:val="00AF535F"/>
    <w:rsid w:val="00AF5B5E"/>
    <w:rsid w:val="00B00056"/>
    <w:rsid w:val="00B0055B"/>
    <w:rsid w:val="00B00934"/>
    <w:rsid w:val="00B00AC6"/>
    <w:rsid w:val="00B0125F"/>
    <w:rsid w:val="00B0197C"/>
    <w:rsid w:val="00B019B2"/>
    <w:rsid w:val="00B024BC"/>
    <w:rsid w:val="00B034EF"/>
    <w:rsid w:val="00B0385E"/>
    <w:rsid w:val="00B04454"/>
    <w:rsid w:val="00B052F1"/>
    <w:rsid w:val="00B06556"/>
    <w:rsid w:val="00B06811"/>
    <w:rsid w:val="00B06AE4"/>
    <w:rsid w:val="00B100A2"/>
    <w:rsid w:val="00B10235"/>
    <w:rsid w:val="00B108AD"/>
    <w:rsid w:val="00B10BCC"/>
    <w:rsid w:val="00B10D4C"/>
    <w:rsid w:val="00B11190"/>
    <w:rsid w:val="00B122D9"/>
    <w:rsid w:val="00B124F1"/>
    <w:rsid w:val="00B128C3"/>
    <w:rsid w:val="00B129BC"/>
    <w:rsid w:val="00B129D5"/>
    <w:rsid w:val="00B130C1"/>
    <w:rsid w:val="00B13A3E"/>
    <w:rsid w:val="00B13E1C"/>
    <w:rsid w:val="00B14ED3"/>
    <w:rsid w:val="00B15635"/>
    <w:rsid w:val="00B15E17"/>
    <w:rsid w:val="00B16331"/>
    <w:rsid w:val="00B16B0B"/>
    <w:rsid w:val="00B16D6E"/>
    <w:rsid w:val="00B1729A"/>
    <w:rsid w:val="00B174B0"/>
    <w:rsid w:val="00B17EEB"/>
    <w:rsid w:val="00B20DBC"/>
    <w:rsid w:val="00B20FFA"/>
    <w:rsid w:val="00B21C44"/>
    <w:rsid w:val="00B21E4D"/>
    <w:rsid w:val="00B22918"/>
    <w:rsid w:val="00B22CF2"/>
    <w:rsid w:val="00B2336D"/>
    <w:rsid w:val="00B244FA"/>
    <w:rsid w:val="00B24C43"/>
    <w:rsid w:val="00B24D5A"/>
    <w:rsid w:val="00B24E6B"/>
    <w:rsid w:val="00B2617F"/>
    <w:rsid w:val="00B26407"/>
    <w:rsid w:val="00B26CB8"/>
    <w:rsid w:val="00B2755B"/>
    <w:rsid w:val="00B278CF"/>
    <w:rsid w:val="00B30E7D"/>
    <w:rsid w:val="00B310CB"/>
    <w:rsid w:val="00B3173D"/>
    <w:rsid w:val="00B31F2E"/>
    <w:rsid w:val="00B325A2"/>
    <w:rsid w:val="00B32623"/>
    <w:rsid w:val="00B32B09"/>
    <w:rsid w:val="00B33493"/>
    <w:rsid w:val="00B34D68"/>
    <w:rsid w:val="00B35AB1"/>
    <w:rsid w:val="00B35C8A"/>
    <w:rsid w:val="00B368C3"/>
    <w:rsid w:val="00B37422"/>
    <w:rsid w:val="00B3784E"/>
    <w:rsid w:val="00B403F9"/>
    <w:rsid w:val="00B41083"/>
    <w:rsid w:val="00B41819"/>
    <w:rsid w:val="00B41D30"/>
    <w:rsid w:val="00B41DA1"/>
    <w:rsid w:val="00B41E17"/>
    <w:rsid w:val="00B422A2"/>
    <w:rsid w:val="00B42715"/>
    <w:rsid w:val="00B42C88"/>
    <w:rsid w:val="00B430CA"/>
    <w:rsid w:val="00B4352F"/>
    <w:rsid w:val="00B43D30"/>
    <w:rsid w:val="00B44620"/>
    <w:rsid w:val="00B44843"/>
    <w:rsid w:val="00B44DF1"/>
    <w:rsid w:val="00B4534B"/>
    <w:rsid w:val="00B45CC9"/>
    <w:rsid w:val="00B45E6B"/>
    <w:rsid w:val="00B460F4"/>
    <w:rsid w:val="00B463CB"/>
    <w:rsid w:val="00B468C6"/>
    <w:rsid w:val="00B46C0D"/>
    <w:rsid w:val="00B478DA"/>
    <w:rsid w:val="00B500F8"/>
    <w:rsid w:val="00B50149"/>
    <w:rsid w:val="00B5068D"/>
    <w:rsid w:val="00B5085F"/>
    <w:rsid w:val="00B509C2"/>
    <w:rsid w:val="00B50F12"/>
    <w:rsid w:val="00B50FAA"/>
    <w:rsid w:val="00B51191"/>
    <w:rsid w:val="00B51240"/>
    <w:rsid w:val="00B517D6"/>
    <w:rsid w:val="00B5242C"/>
    <w:rsid w:val="00B538E3"/>
    <w:rsid w:val="00B53BAE"/>
    <w:rsid w:val="00B55EC8"/>
    <w:rsid w:val="00B56E27"/>
    <w:rsid w:val="00B570D6"/>
    <w:rsid w:val="00B57406"/>
    <w:rsid w:val="00B57B1F"/>
    <w:rsid w:val="00B57F5D"/>
    <w:rsid w:val="00B61224"/>
    <w:rsid w:val="00B6197F"/>
    <w:rsid w:val="00B61E65"/>
    <w:rsid w:val="00B61FE1"/>
    <w:rsid w:val="00B62439"/>
    <w:rsid w:val="00B6245E"/>
    <w:rsid w:val="00B62C3F"/>
    <w:rsid w:val="00B62C69"/>
    <w:rsid w:val="00B62C84"/>
    <w:rsid w:val="00B6320C"/>
    <w:rsid w:val="00B64199"/>
    <w:rsid w:val="00B64563"/>
    <w:rsid w:val="00B64D48"/>
    <w:rsid w:val="00B64DEA"/>
    <w:rsid w:val="00B65658"/>
    <w:rsid w:val="00B659DD"/>
    <w:rsid w:val="00B66989"/>
    <w:rsid w:val="00B670CD"/>
    <w:rsid w:val="00B67C59"/>
    <w:rsid w:val="00B67DC2"/>
    <w:rsid w:val="00B70AFE"/>
    <w:rsid w:val="00B70CAF"/>
    <w:rsid w:val="00B70F03"/>
    <w:rsid w:val="00B70F8E"/>
    <w:rsid w:val="00B710F4"/>
    <w:rsid w:val="00B7124A"/>
    <w:rsid w:val="00B71B94"/>
    <w:rsid w:val="00B71C35"/>
    <w:rsid w:val="00B726DE"/>
    <w:rsid w:val="00B729DE"/>
    <w:rsid w:val="00B732B7"/>
    <w:rsid w:val="00B73C32"/>
    <w:rsid w:val="00B7408C"/>
    <w:rsid w:val="00B74781"/>
    <w:rsid w:val="00B758D8"/>
    <w:rsid w:val="00B7611D"/>
    <w:rsid w:val="00B761B8"/>
    <w:rsid w:val="00B7693A"/>
    <w:rsid w:val="00B775EC"/>
    <w:rsid w:val="00B8094E"/>
    <w:rsid w:val="00B80DBD"/>
    <w:rsid w:val="00B811DD"/>
    <w:rsid w:val="00B81429"/>
    <w:rsid w:val="00B81F1D"/>
    <w:rsid w:val="00B826B5"/>
    <w:rsid w:val="00B82E79"/>
    <w:rsid w:val="00B83426"/>
    <w:rsid w:val="00B8352B"/>
    <w:rsid w:val="00B835EF"/>
    <w:rsid w:val="00B8448A"/>
    <w:rsid w:val="00B848B6"/>
    <w:rsid w:val="00B84B07"/>
    <w:rsid w:val="00B84DB6"/>
    <w:rsid w:val="00B8574B"/>
    <w:rsid w:val="00B865D0"/>
    <w:rsid w:val="00B869C8"/>
    <w:rsid w:val="00B86D32"/>
    <w:rsid w:val="00B86D6F"/>
    <w:rsid w:val="00B87640"/>
    <w:rsid w:val="00B9012A"/>
    <w:rsid w:val="00B90B51"/>
    <w:rsid w:val="00B90E2E"/>
    <w:rsid w:val="00B91014"/>
    <w:rsid w:val="00B9168E"/>
    <w:rsid w:val="00B917D4"/>
    <w:rsid w:val="00B91D32"/>
    <w:rsid w:val="00B921F2"/>
    <w:rsid w:val="00B92966"/>
    <w:rsid w:val="00B92A73"/>
    <w:rsid w:val="00B9360E"/>
    <w:rsid w:val="00B936A9"/>
    <w:rsid w:val="00B93D27"/>
    <w:rsid w:val="00B93DF8"/>
    <w:rsid w:val="00B94079"/>
    <w:rsid w:val="00B944A9"/>
    <w:rsid w:val="00B94820"/>
    <w:rsid w:val="00B94ADC"/>
    <w:rsid w:val="00B96025"/>
    <w:rsid w:val="00B966D1"/>
    <w:rsid w:val="00B97B42"/>
    <w:rsid w:val="00B97D05"/>
    <w:rsid w:val="00BA067A"/>
    <w:rsid w:val="00BA0AA2"/>
    <w:rsid w:val="00BA1157"/>
    <w:rsid w:val="00BA120B"/>
    <w:rsid w:val="00BA14DF"/>
    <w:rsid w:val="00BA16E7"/>
    <w:rsid w:val="00BA17FA"/>
    <w:rsid w:val="00BA208F"/>
    <w:rsid w:val="00BA212D"/>
    <w:rsid w:val="00BA22B7"/>
    <w:rsid w:val="00BA2586"/>
    <w:rsid w:val="00BA2F88"/>
    <w:rsid w:val="00BA35AC"/>
    <w:rsid w:val="00BA369B"/>
    <w:rsid w:val="00BA3AE2"/>
    <w:rsid w:val="00BA468B"/>
    <w:rsid w:val="00BA5BBA"/>
    <w:rsid w:val="00BA6055"/>
    <w:rsid w:val="00BA628B"/>
    <w:rsid w:val="00BA66AA"/>
    <w:rsid w:val="00BA7A46"/>
    <w:rsid w:val="00BB1426"/>
    <w:rsid w:val="00BB1AF6"/>
    <w:rsid w:val="00BB267D"/>
    <w:rsid w:val="00BB2D9D"/>
    <w:rsid w:val="00BB4234"/>
    <w:rsid w:val="00BB4DEA"/>
    <w:rsid w:val="00BB4EF5"/>
    <w:rsid w:val="00BB541D"/>
    <w:rsid w:val="00BB5D1E"/>
    <w:rsid w:val="00BB6C40"/>
    <w:rsid w:val="00BB6E09"/>
    <w:rsid w:val="00BB7EDB"/>
    <w:rsid w:val="00BC0189"/>
    <w:rsid w:val="00BC0A9A"/>
    <w:rsid w:val="00BC0F80"/>
    <w:rsid w:val="00BC0FB2"/>
    <w:rsid w:val="00BC0FE3"/>
    <w:rsid w:val="00BC11F9"/>
    <w:rsid w:val="00BC161B"/>
    <w:rsid w:val="00BC1847"/>
    <w:rsid w:val="00BC1DD9"/>
    <w:rsid w:val="00BC1EB5"/>
    <w:rsid w:val="00BC3E2D"/>
    <w:rsid w:val="00BC5324"/>
    <w:rsid w:val="00BC5553"/>
    <w:rsid w:val="00BC62E4"/>
    <w:rsid w:val="00BC635E"/>
    <w:rsid w:val="00BC6F5A"/>
    <w:rsid w:val="00BC7492"/>
    <w:rsid w:val="00BC7A0F"/>
    <w:rsid w:val="00BC7C7C"/>
    <w:rsid w:val="00BC7DE4"/>
    <w:rsid w:val="00BC7FC3"/>
    <w:rsid w:val="00BD12D8"/>
    <w:rsid w:val="00BD3440"/>
    <w:rsid w:val="00BD356C"/>
    <w:rsid w:val="00BD42B8"/>
    <w:rsid w:val="00BD4EF5"/>
    <w:rsid w:val="00BD5CC2"/>
    <w:rsid w:val="00BD62DC"/>
    <w:rsid w:val="00BD633D"/>
    <w:rsid w:val="00BD6FF1"/>
    <w:rsid w:val="00BD7101"/>
    <w:rsid w:val="00BD750B"/>
    <w:rsid w:val="00BD761C"/>
    <w:rsid w:val="00BE10E4"/>
    <w:rsid w:val="00BE147C"/>
    <w:rsid w:val="00BE1B63"/>
    <w:rsid w:val="00BE2122"/>
    <w:rsid w:val="00BE29CB"/>
    <w:rsid w:val="00BE3116"/>
    <w:rsid w:val="00BE3A76"/>
    <w:rsid w:val="00BE4666"/>
    <w:rsid w:val="00BE4DD4"/>
    <w:rsid w:val="00BE6757"/>
    <w:rsid w:val="00BE6835"/>
    <w:rsid w:val="00BE75BD"/>
    <w:rsid w:val="00BE790D"/>
    <w:rsid w:val="00BE7EB3"/>
    <w:rsid w:val="00BF0037"/>
    <w:rsid w:val="00BF00EF"/>
    <w:rsid w:val="00BF03D1"/>
    <w:rsid w:val="00BF1351"/>
    <w:rsid w:val="00BF1357"/>
    <w:rsid w:val="00BF147B"/>
    <w:rsid w:val="00BF1D1F"/>
    <w:rsid w:val="00BF2010"/>
    <w:rsid w:val="00BF2986"/>
    <w:rsid w:val="00BF2D8D"/>
    <w:rsid w:val="00BF33DC"/>
    <w:rsid w:val="00BF35B6"/>
    <w:rsid w:val="00BF35E3"/>
    <w:rsid w:val="00BF3866"/>
    <w:rsid w:val="00BF4C13"/>
    <w:rsid w:val="00BF5DCB"/>
    <w:rsid w:val="00BF6125"/>
    <w:rsid w:val="00BF63EC"/>
    <w:rsid w:val="00BF6995"/>
    <w:rsid w:val="00BF6CE2"/>
    <w:rsid w:val="00BF7E6A"/>
    <w:rsid w:val="00C0119D"/>
    <w:rsid w:val="00C01FA4"/>
    <w:rsid w:val="00C0283A"/>
    <w:rsid w:val="00C02F4E"/>
    <w:rsid w:val="00C03266"/>
    <w:rsid w:val="00C03D44"/>
    <w:rsid w:val="00C03F4E"/>
    <w:rsid w:val="00C04CC4"/>
    <w:rsid w:val="00C04D87"/>
    <w:rsid w:val="00C05833"/>
    <w:rsid w:val="00C062B3"/>
    <w:rsid w:val="00C06778"/>
    <w:rsid w:val="00C067B2"/>
    <w:rsid w:val="00C06B84"/>
    <w:rsid w:val="00C06C58"/>
    <w:rsid w:val="00C06D55"/>
    <w:rsid w:val="00C10714"/>
    <w:rsid w:val="00C11241"/>
    <w:rsid w:val="00C119C3"/>
    <w:rsid w:val="00C11B5A"/>
    <w:rsid w:val="00C11DFE"/>
    <w:rsid w:val="00C12ADD"/>
    <w:rsid w:val="00C1383A"/>
    <w:rsid w:val="00C141D2"/>
    <w:rsid w:val="00C149E2"/>
    <w:rsid w:val="00C15BAC"/>
    <w:rsid w:val="00C15C34"/>
    <w:rsid w:val="00C15D77"/>
    <w:rsid w:val="00C16687"/>
    <w:rsid w:val="00C172F2"/>
    <w:rsid w:val="00C17611"/>
    <w:rsid w:val="00C177F7"/>
    <w:rsid w:val="00C179CF"/>
    <w:rsid w:val="00C20B03"/>
    <w:rsid w:val="00C2120B"/>
    <w:rsid w:val="00C21C8C"/>
    <w:rsid w:val="00C22050"/>
    <w:rsid w:val="00C2229B"/>
    <w:rsid w:val="00C22450"/>
    <w:rsid w:val="00C2250E"/>
    <w:rsid w:val="00C2280F"/>
    <w:rsid w:val="00C23679"/>
    <w:rsid w:val="00C2394B"/>
    <w:rsid w:val="00C23FD8"/>
    <w:rsid w:val="00C25083"/>
    <w:rsid w:val="00C2621E"/>
    <w:rsid w:val="00C2673F"/>
    <w:rsid w:val="00C268E4"/>
    <w:rsid w:val="00C26C3B"/>
    <w:rsid w:val="00C27A25"/>
    <w:rsid w:val="00C306E6"/>
    <w:rsid w:val="00C3075E"/>
    <w:rsid w:val="00C3103B"/>
    <w:rsid w:val="00C31B3D"/>
    <w:rsid w:val="00C32340"/>
    <w:rsid w:val="00C3293A"/>
    <w:rsid w:val="00C32D67"/>
    <w:rsid w:val="00C32DB0"/>
    <w:rsid w:val="00C32F17"/>
    <w:rsid w:val="00C333A6"/>
    <w:rsid w:val="00C33732"/>
    <w:rsid w:val="00C33BA3"/>
    <w:rsid w:val="00C356B4"/>
    <w:rsid w:val="00C35CC2"/>
    <w:rsid w:val="00C3688E"/>
    <w:rsid w:val="00C36EAA"/>
    <w:rsid w:val="00C36EFE"/>
    <w:rsid w:val="00C377A8"/>
    <w:rsid w:val="00C401C5"/>
    <w:rsid w:val="00C408CE"/>
    <w:rsid w:val="00C41781"/>
    <w:rsid w:val="00C41C36"/>
    <w:rsid w:val="00C426FD"/>
    <w:rsid w:val="00C42798"/>
    <w:rsid w:val="00C43296"/>
    <w:rsid w:val="00C43C5A"/>
    <w:rsid w:val="00C4527E"/>
    <w:rsid w:val="00C45ECC"/>
    <w:rsid w:val="00C465F3"/>
    <w:rsid w:val="00C46D1C"/>
    <w:rsid w:val="00C470C2"/>
    <w:rsid w:val="00C478E1"/>
    <w:rsid w:val="00C479FE"/>
    <w:rsid w:val="00C47A60"/>
    <w:rsid w:val="00C47C79"/>
    <w:rsid w:val="00C47C9D"/>
    <w:rsid w:val="00C500A0"/>
    <w:rsid w:val="00C509AF"/>
    <w:rsid w:val="00C511BB"/>
    <w:rsid w:val="00C51376"/>
    <w:rsid w:val="00C51E03"/>
    <w:rsid w:val="00C51FDA"/>
    <w:rsid w:val="00C523F1"/>
    <w:rsid w:val="00C52AEB"/>
    <w:rsid w:val="00C52F4F"/>
    <w:rsid w:val="00C53BCD"/>
    <w:rsid w:val="00C53D1E"/>
    <w:rsid w:val="00C544E4"/>
    <w:rsid w:val="00C551B8"/>
    <w:rsid w:val="00C555D2"/>
    <w:rsid w:val="00C55870"/>
    <w:rsid w:val="00C5597B"/>
    <w:rsid w:val="00C55BB4"/>
    <w:rsid w:val="00C5691A"/>
    <w:rsid w:val="00C56AF1"/>
    <w:rsid w:val="00C56C8D"/>
    <w:rsid w:val="00C570B0"/>
    <w:rsid w:val="00C570B9"/>
    <w:rsid w:val="00C576C4"/>
    <w:rsid w:val="00C60ADD"/>
    <w:rsid w:val="00C60D27"/>
    <w:rsid w:val="00C61262"/>
    <w:rsid w:val="00C61785"/>
    <w:rsid w:val="00C61813"/>
    <w:rsid w:val="00C6284D"/>
    <w:rsid w:val="00C62D57"/>
    <w:rsid w:val="00C6309A"/>
    <w:rsid w:val="00C631DB"/>
    <w:rsid w:val="00C6361F"/>
    <w:rsid w:val="00C638EB"/>
    <w:rsid w:val="00C63A5C"/>
    <w:rsid w:val="00C63BF4"/>
    <w:rsid w:val="00C64AA3"/>
    <w:rsid w:val="00C64F08"/>
    <w:rsid w:val="00C651C0"/>
    <w:rsid w:val="00C6546B"/>
    <w:rsid w:val="00C656C2"/>
    <w:rsid w:val="00C65D1A"/>
    <w:rsid w:val="00C660BA"/>
    <w:rsid w:val="00C66276"/>
    <w:rsid w:val="00C664AA"/>
    <w:rsid w:val="00C66571"/>
    <w:rsid w:val="00C66ADC"/>
    <w:rsid w:val="00C66F0F"/>
    <w:rsid w:val="00C678C6"/>
    <w:rsid w:val="00C67CFF"/>
    <w:rsid w:val="00C70447"/>
    <w:rsid w:val="00C713AC"/>
    <w:rsid w:val="00C720D5"/>
    <w:rsid w:val="00C7348C"/>
    <w:rsid w:val="00C744C7"/>
    <w:rsid w:val="00C747F5"/>
    <w:rsid w:val="00C74DBC"/>
    <w:rsid w:val="00C75E7B"/>
    <w:rsid w:val="00C763FD"/>
    <w:rsid w:val="00C76405"/>
    <w:rsid w:val="00C764FB"/>
    <w:rsid w:val="00C76695"/>
    <w:rsid w:val="00C76F89"/>
    <w:rsid w:val="00C7719E"/>
    <w:rsid w:val="00C7786B"/>
    <w:rsid w:val="00C80206"/>
    <w:rsid w:val="00C803A1"/>
    <w:rsid w:val="00C8139A"/>
    <w:rsid w:val="00C81E8C"/>
    <w:rsid w:val="00C824F2"/>
    <w:rsid w:val="00C829DF"/>
    <w:rsid w:val="00C829F4"/>
    <w:rsid w:val="00C82AEE"/>
    <w:rsid w:val="00C82D9F"/>
    <w:rsid w:val="00C83429"/>
    <w:rsid w:val="00C834A9"/>
    <w:rsid w:val="00C83B25"/>
    <w:rsid w:val="00C84E5A"/>
    <w:rsid w:val="00C857D9"/>
    <w:rsid w:val="00C85D4F"/>
    <w:rsid w:val="00C85D92"/>
    <w:rsid w:val="00C85DC7"/>
    <w:rsid w:val="00C860D1"/>
    <w:rsid w:val="00C90F51"/>
    <w:rsid w:val="00C910B7"/>
    <w:rsid w:val="00C914EB"/>
    <w:rsid w:val="00C91924"/>
    <w:rsid w:val="00C91991"/>
    <w:rsid w:val="00C91F97"/>
    <w:rsid w:val="00C92066"/>
    <w:rsid w:val="00C9335C"/>
    <w:rsid w:val="00C93495"/>
    <w:rsid w:val="00C94207"/>
    <w:rsid w:val="00C946B7"/>
    <w:rsid w:val="00C94971"/>
    <w:rsid w:val="00C952C8"/>
    <w:rsid w:val="00C9552D"/>
    <w:rsid w:val="00C95D7E"/>
    <w:rsid w:val="00C960E7"/>
    <w:rsid w:val="00C97654"/>
    <w:rsid w:val="00C97E01"/>
    <w:rsid w:val="00CA0C31"/>
    <w:rsid w:val="00CA14D4"/>
    <w:rsid w:val="00CA1724"/>
    <w:rsid w:val="00CA17FB"/>
    <w:rsid w:val="00CA18E7"/>
    <w:rsid w:val="00CA1D50"/>
    <w:rsid w:val="00CA1F3E"/>
    <w:rsid w:val="00CA2BCB"/>
    <w:rsid w:val="00CA2C07"/>
    <w:rsid w:val="00CA3AE1"/>
    <w:rsid w:val="00CA3CAE"/>
    <w:rsid w:val="00CA3CE9"/>
    <w:rsid w:val="00CA4548"/>
    <w:rsid w:val="00CA46F3"/>
    <w:rsid w:val="00CA4A38"/>
    <w:rsid w:val="00CA4FB9"/>
    <w:rsid w:val="00CA6916"/>
    <w:rsid w:val="00CB0BC5"/>
    <w:rsid w:val="00CB0C19"/>
    <w:rsid w:val="00CB1C00"/>
    <w:rsid w:val="00CB1E09"/>
    <w:rsid w:val="00CB20E0"/>
    <w:rsid w:val="00CB263F"/>
    <w:rsid w:val="00CB2A03"/>
    <w:rsid w:val="00CB2BA2"/>
    <w:rsid w:val="00CB2ECB"/>
    <w:rsid w:val="00CB3704"/>
    <w:rsid w:val="00CB55BD"/>
    <w:rsid w:val="00CB56D0"/>
    <w:rsid w:val="00CB5886"/>
    <w:rsid w:val="00CB5DA6"/>
    <w:rsid w:val="00CB63B9"/>
    <w:rsid w:val="00CB6668"/>
    <w:rsid w:val="00CB672A"/>
    <w:rsid w:val="00CC0075"/>
    <w:rsid w:val="00CC011E"/>
    <w:rsid w:val="00CC03F7"/>
    <w:rsid w:val="00CC1056"/>
    <w:rsid w:val="00CC14E2"/>
    <w:rsid w:val="00CC2223"/>
    <w:rsid w:val="00CC24A4"/>
    <w:rsid w:val="00CC24F8"/>
    <w:rsid w:val="00CC3154"/>
    <w:rsid w:val="00CC37C8"/>
    <w:rsid w:val="00CC395D"/>
    <w:rsid w:val="00CC3C56"/>
    <w:rsid w:val="00CC3CA2"/>
    <w:rsid w:val="00CC4406"/>
    <w:rsid w:val="00CC482A"/>
    <w:rsid w:val="00CC491D"/>
    <w:rsid w:val="00CC5DE6"/>
    <w:rsid w:val="00CC66B9"/>
    <w:rsid w:val="00CC688F"/>
    <w:rsid w:val="00CC6B7C"/>
    <w:rsid w:val="00CC7297"/>
    <w:rsid w:val="00CC7529"/>
    <w:rsid w:val="00CC7C4D"/>
    <w:rsid w:val="00CD020E"/>
    <w:rsid w:val="00CD1EAB"/>
    <w:rsid w:val="00CD1F6D"/>
    <w:rsid w:val="00CD2505"/>
    <w:rsid w:val="00CD2F3A"/>
    <w:rsid w:val="00CD2FE5"/>
    <w:rsid w:val="00CD3222"/>
    <w:rsid w:val="00CD393A"/>
    <w:rsid w:val="00CD3DD0"/>
    <w:rsid w:val="00CD43C8"/>
    <w:rsid w:val="00CD4AC1"/>
    <w:rsid w:val="00CD4D60"/>
    <w:rsid w:val="00CD4E23"/>
    <w:rsid w:val="00CD5357"/>
    <w:rsid w:val="00CD57BD"/>
    <w:rsid w:val="00CD5EBD"/>
    <w:rsid w:val="00CD6272"/>
    <w:rsid w:val="00CD6802"/>
    <w:rsid w:val="00CD6835"/>
    <w:rsid w:val="00CD68ED"/>
    <w:rsid w:val="00CD6D40"/>
    <w:rsid w:val="00CD6ECE"/>
    <w:rsid w:val="00CD6F2C"/>
    <w:rsid w:val="00CD7494"/>
    <w:rsid w:val="00CD7DDE"/>
    <w:rsid w:val="00CD7E5D"/>
    <w:rsid w:val="00CE026B"/>
    <w:rsid w:val="00CE06D8"/>
    <w:rsid w:val="00CE0B71"/>
    <w:rsid w:val="00CE107A"/>
    <w:rsid w:val="00CE18EB"/>
    <w:rsid w:val="00CE24AF"/>
    <w:rsid w:val="00CE3922"/>
    <w:rsid w:val="00CE3CA6"/>
    <w:rsid w:val="00CE4E77"/>
    <w:rsid w:val="00CE4EC5"/>
    <w:rsid w:val="00CE541D"/>
    <w:rsid w:val="00CE598A"/>
    <w:rsid w:val="00CE79B4"/>
    <w:rsid w:val="00CE7DC3"/>
    <w:rsid w:val="00CF06D2"/>
    <w:rsid w:val="00CF1AAA"/>
    <w:rsid w:val="00CF247B"/>
    <w:rsid w:val="00CF35BF"/>
    <w:rsid w:val="00CF3AE6"/>
    <w:rsid w:val="00CF4CAF"/>
    <w:rsid w:val="00CF5258"/>
    <w:rsid w:val="00CF5664"/>
    <w:rsid w:val="00CF5961"/>
    <w:rsid w:val="00CF59BA"/>
    <w:rsid w:val="00CF5B1E"/>
    <w:rsid w:val="00CF5C17"/>
    <w:rsid w:val="00CF6077"/>
    <w:rsid w:val="00CF651E"/>
    <w:rsid w:val="00CF6654"/>
    <w:rsid w:val="00CF7247"/>
    <w:rsid w:val="00CF7804"/>
    <w:rsid w:val="00CF792F"/>
    <w:rsid w:val="00D005E6"/>
    <w:rsid w:val="00D007B2"/>
    <w:rsid w:val="00D00934"/>
    <w:rsid w:val="00D02398"/>
    <w:rsid w:val="00D03D47"/>
    <w:rsid w:val="00D03F93"/>
    <w:rsid w:val="00D04128"/>
    <w:rsid w:val="00D046B7"/>
    <w:rsid w:val="00D05423"/>
    <w:rsid w:val="00D05BBD"/>
    <w:rsid w:val="00D0646D"/>
    <w:rsid w:val="00D064CE"/>
    <w:rsid w:val="00D06538"/>
    <w:rsid w:val="00D07407"/>
    <w:rsid w:val="00D07DA2"/>
    <w:rsid w:val="00D07E20"/>
    <w:rsid w:val="00D10410"/>
    <w:rsid w:val="00D10C4B"/>
    <w:rsid w:val="00D11067"/>
    <w:rsid w:val="00D11999"/>
    <w:rsid w:val="00D121A5"/>
    <w:rsid w:val="00D12689"/>
    <w:rsid w:val="00D12B7B"/>
    <w:rsid w:val="00D13490"/>
    <w:rsid w:val="00D13C61"/>
    <w:rsid w:val="00D13E1F"/>
    <w:rsid w:val="00D14CEE"/>
    <w:rsid w:val="00D1592E"/>
    <w:rsid w:val="00D1658D"/>
    <w:rsid w:val="00D16893"/>
    <w:rsid w:val="00D16984"/>
    <w:rsid w:val="00D16A8B"/>
    <w:rsid w:val="00D16EE2"/>
    <w:rsid w:val="00D17E1C"/>
    <w:rsid w:val="00D20004"/>
    <w:rsid w:val="00D2026F"/>
    <w:rsid w:val="00D203C7"/>
    <w:rsid w:val="00D20B77"/>
    <w:rsid w:val="00D21620"/>
    <w:rsid w:val="00D2174F"/>
    <w:rsid w:val="00D22681"/>
    <w:rsid w:val="00D2358B"/>
    <w:rsid w:val="00D23799"/>
    <w:rsid w:val="00D238EE"/>
    <w:rsid w:val="00D24E80"/>
    <w:rsid w:val="00D24F5C"/>
    <w:rsid w:val="00D251A0"/>
    <w:rsid w:val="00D2539A"/>
    <w:rsid w:val="00D253F4"/>
    <w:rsid w:val="00D25618"/>
    <w:rsid w:val="00D260EF"/>
    <w:rsid w:val="00D26C62"/>
    <w:rsid w:val="00D27174"/>
    <w:rsid w:val="00D273CB"/>
    <w:rsid w:val="00D274EA"/>
    <w:rsid w:val="00D27CAF"/>
    <w:rsid w:val="00D3043C"/>
    <w:rsid w:val="00D3056F"/>
    <w:rsid w:val="00D30F2A"/>
    <w:rsid w:val="00D317DB"/>
    <w:rsid w:val="00D31BE0"/>
    <w:rsid w:val="00D31E73"/>
    <w:rsid w:val="00D333B6"/>
    <w:rsid w:val="00D3369A"/>
    <w:rsid w:val="00D34AF2"/>
    <w:rsid w:val="00D34F1F"/>
    <w:rsid w:val="00D35300"/>
    <w:rsid w:val="00D35626"/>
    <w:rsid w:val="00D3580A"/>
    <w:rsid w:val="00D36031"/>
    <w:rsid w:val="00D363B9"/>
    <w:rsid w:val="00D36E98"/>
    <w:rsid w:val="00D371AA"/>
    <w:rsid w:val="00D37380"/>
    <w:rsid w:val="00D40046"/>
    <w:rsid w:val="00D40413"/>
    <w:rsid w:val="00D406C7"/>
    <w:rsid w:val="00D40A36"/>
    <w:rsid w:val="00D41A84"/>
    <w:rsid w:val="00D427C8"/>
    <w:rsid w:val="00D42A85"/>
    <w:rsid w:val="00D43E09"/>
    <w:rsid w:val="00D43F74"/>
    <w:rsid w:val="00D441B2"/>
    <w:rsid w:val="00D4440C"/>
    <w:rsid w:val="00D44870"/>
    <w:rsid w:val="00D449F5"/>
    <w:rsid w:val="00D44C76"/>
    <w:rsid w:val="00D45907"/>
    <w:rsid w:val="00D46784"/>
    <w:rsid w:val="00D470A9"/>
    <w:rsid w:val="00D47228"/>
    <w:rsid w:val="00D47A7F"/>
    <w:rsid w:val="00D47BC4"/>
    <w:rsid w:val="00D47C5F"/>
    <w:rsid w:val="00D50254"/>
    <w:rsid w:val="00D50E30"/>
    <w:rsid w:val="00D51230"/>
    <w:rsid w:val="00D52106"/>
    <w:rsid w:val="00D526A5"/>
    <w:rsid w:val="00D53991"/>
    <w:rsid w:val="00D541E9"/>
    <w:rsid w:val="00D54A30"/>
    <w:rsid w:val="00D54E01"/>
    <w:rsid w:val="00D55AB4"/>
    <w:rsid w:val="00D55CAB"/>
    <w:rsid w:val="00D56565"/>
    <w:rsid w:val="00D56D4C"/>
    <w:rsid w:val="00D56F0B"/>
    <w:rsid w:val="00D57C90"/>
    <w:rsid w:val="00D6009B"/>
    <w:rsid w:val="00D60A3F"/>
    <w:rsid w:val="00D61350"/>
    <w:rsid w:val="00D625B7"/>
    <w:rsid w:val="00D62AB5"/>
    <w:rsid w:val="00D639E0"/>
    <w:rsid w:val="00D63CA7"/>
    <w:rsid w:val="00D643FD"/>
    <w:rsid w:val="00D6442A"/>
    <w:rsid w:val="00D64542"/>
    <w:rsid w:val="00D64F1C"/>
    <w:rsid w:val="00D655BA"/>
    <w:rsid w:val="00D6568A"/>
    <w:rsid w:val="00D656DE"/>
    <w:rsid w:val="00D65943"/>
    <w:rsid w:val="00D66728"/>
    <w:rsid w:val="00D6679A"/>
    <w:rsid w:val="00D67052"/>
    <w:rsid w:val="00D6714C"/>
    <w:rsid w:val="00D67405"/>
    <w:rsid w:val="00D674B5"/>
    <w:rsid w:val="00D70EDD"/>
    <w:rsid w:val="00D71483"/>
    <w:rsid w:val="00D72422"/>
    <w:rsid w:val="00D73680"/>
    <w:rsid w:val="00D73DE5"/>
    <w:rsid w:val="00D749DC"/>
    <w:rsid w:val="00D7561A"/>
    <w:rsid w:val="00D75B51"/>
    <w:rsid w:val="00D75CDE"/>
    <w:rsid w:val="00D76753"/>
    <w:rsid w:val="00D77421"/>
    <w:rsid w:val="00D80924"/>
    <w:rsid w:val="00D80A77"/>
    <w:rsid w:val="00D80E8A"/>
    <w:rsid w:val="00D8109C"/>
    <w:rsid w:val="00D82C49"/>
    <w:rsid w:val="00D83417"/>
    <w:rsid w:val="00D83703"/>
    <w:rsid w:val="00D845C5"/>
    <w:rsid w:val="00D848F0"/>
    <w:rsid w:val="00D84AAC"/>
    <w:rsid w:val="00D84C94"/>
    <w:rsid w:val="00D84EB4"/>
    <w:rsid w:val="00D84EEC"/>
    <w:rsid w:val="00D85296"/>
    <w:rsid w:val="00D85AB0"/>
    <w:rsid w:val="00D85BB6"/>
    <w:rsid w:val="00D86008"/>
    <w:rsid w:val="00D867C8"/>
    <w:rsid w:val="00D8691B"/>
    <w:rsid w:val="00D869A0"/>
    <w:rsid w:val="00D876E2"/>
    <w:rsid w:val="00D878EA"/>
    <w:rsid w:val="00D87CD2"/>
    <w:rsid w:val="00D90246"/>
    <w:rsid w:val="00D902E2"/>
    <w:rsid w:val="00D91A8C"/>
    <w:rsid w:val="00D91D9F"/>
    <w:rsid w:val="00D92033"/>
    <w:rsid w:val="00D9219F"/>
    <w:rsid w:val="00D92966"/>
    <w:rsid w:val="00D92DB8"/>
    <w:rsid w:val="00D9313F"/>
    <w:rsid w:val="00D93489"/>
    <w:rsid w:val="00D93AA5"/>
    <w:rsid w:val="00D94026"/>
    <w:rsid w:val="00D94603"/>
    <w:rsid w:val="00D94639"/>
    <w:rsid w:val="00D94836"/>
    <w:rsid w:val="00D956B8"/>
    <w:rsid w:val="00D95B3F"/>
    <w:rsid w:val="00D95CAC"/>
    <w:rsid w:val="00D96248"/>
    <w:rsid w:val="00D96359"/>
    <w:rsid w:val="00D964F3"/>
    <w:rsid w:val="00D9684A"/>
    <w:rsid w:val="00D96C8B"/>
    <w:rsid w:val="00D970F5"/>
    <w:rsid w:val="00D978EA"/>
    <w:rsid w:val="00D97A79"/>
    <w:rsid w:val="00D97AEF"/>
    <w:rsid w:val="00D97BE9"/>
    <w:rsid w:val="00D97E80"/>
    <w:rsid w:val="00DA0BF4"/>
    <w:rsid w:val="00DA0BF6"/>
    <w:rsid w:val="00DA16AF"/>
    <w:rsid w:val="00DA24AD"/>
    <w:rsid w:val="00DA390D"/>
    <w:rsid w:val="00DA3F2E"/>
    <w:rsid w:val="00DA569E"/>
    <w:rsid w:val="00DA5AC4"/>
    <w:rsid w:val="00DA63A5"/>
    <w:rsid w:val="00DA6880"/>
    <w:rsid w:val="00DA72D6"/>
    <w:rsid w:val="00DA7405"/>
    <w:rsid w:val="00DA75F1"/>
    <w:rsid w:val="00DA772A"/>
    <w:rsid w:val="00DA7E42"/>
    <w:rsid w:val="00DB027D"/>
    <w:rsid w:val="00DB0DCA"/>
    <w:rsid w:val="00DB0DE4"/>
    <w:rsid w:val="00DB119D"/>
    <w:rsid w:val="00DB154B"/>
    <w:rsid w:val="00DB2524"/>
    <w:rsid w:val="00DB2D89"/>
    <w:rsid w:val="00DB3048"/>
    <w:rsid w:val="00DB481D"/>
    <w:rsid w:val="00DB5364"/>
    <w:rsid w:val="00DB53CF"/>
    <w:rsid w:val="00DB5531"/>
    <w:rsid w:val="00DB55BC"/>
    <w:rsid w:val="00DB5EB0"/>
    <w:rsid w:val="00DB6467"/>
    <w:rsid w:val="00DB6C2B"/>
    <w:rsid w:val="00DB6F9A"/>
    <w:rsid w:val="00DB7B51"/>
    <w:rsid w:val="00DB7D38"/>
    <w:rsid w:val="00DC0193"/>
    <w:rsid w:val="00DC07B6"/>
    <w:rsid w:val="00DC083B"/>
    <w:rsid w:val="00DC0AB4"/>
    <w:rsid w:val="00DC0F33"/>
    <w:rsid w:val="00DC1424"/>
    <w:rsid w:val="00DC15AA"/>
    <w:rsid w:val="00DC1678"/>
    <w:rsid w:val="00DC1EB2"/>
    <w:rsid w:val="00DC21A8"/>
    <w:rsid w:val="00DC2472"/>
    <w:rsid w:val="00DC26A9"/>
    <w:rsid w:val="00DC26F6"/>
    <w:rsid w:val="00DC32BB"/>
    <w:rsid w:val="00DC3B7E"/>
    <w:rsid w:val="00DC4295"/>
    <w:rsid w:val="00DC4BB8"/>
    <w:rsid w:val="00DC4F23"/>
    <w:rsid w:val="00DC5EE2"/>
    <w:rsid w:val="00DC5FED"/>
    <w:rsid w:val="00DC6693"/>
    <w:rsid w:val="00DC7E76"/>
    <w:rsid w:val="00DD0ABD"/>
    <w:rsid w:val="00DD2215"/>
    <w:rsid w:val="00DD2827"/>
    <w:rsid w:val="00DD2BD1"/>
    <w:rsid w:val="00DD2BED"/>
    <w:rsid w:val="00DD3A08"/>
    <w:rsid w:val="00DD3B80"/>
    <w:rsid w:val="00DD4145"/>
    <w:rsid w:val="00DD461D"/>
    <w:rsid w:val="00DD486C"/>
    <w:rsid w:val="00DD6445"/>
    <w:rsid w:val="00DD66EE"/>
    <w:rsid w:val="00DD6B8D"/>
    <w:rsid w:val="00DD6E08"/>
    <w:rsid w:val="00DD782A"/>
    <w:rsid w:val="00DE0DAF"/>
    <w:rsid w:val="00DE18A6"/>
    <w:rsid w:val="00DE2333"/>
    <w:rsid w:val="00DE2A33"/>
    <w:rsid w:val="00DE6501"/>
    <w:rsid w:val="00DE716E"/>
    <w:rsid w:val="00DE726C"/>
    <w:rsid w:val="00DE7355"/>
    <w:rsid w:val="00DE73D6"/>
    <w:rsid w:val="00DF0B63"/>
    <w:rsid w:val="00DF1AE8"/>
    <w:rsid w:val="00DF1F24"/>
    <w:rsid w:val="00DF1F74"/>
    <w:rsid w:val="00DF2582"/>
    <w:rsid w:val="00DF2BF1"/>
    <w:rsid w:val="00DF2D9E"/>
    <w:rsid w:val="00DF3781"/>
    <w:rsid w:val="00DF3D9B"/>
    <w:rsid w:val="00DF40FE"/>
    <w:rsid w:val="00DF4A28"/>
    <w:rsid w:val="00DF5C71"/>
    <w:rsid w:val="00DF63F3"/>
    <w:rsid w:val="00DF6910"/>
    <w:rsid w:val="00DF6978"/>
    <w:rsid w:val="00DF6D16"/>
    <w:rsid w:val="00DF7015"/>
    <w:rsid w:val="00DF7110"/>
    <w:rsid w:val="00DF797C"/>
    <w:rsid w:val="00DF7CCE"/>
    <w:rsid w:val="00E0160B"/>
    <w:rsid w:val="00E02AAD"/>
    <w:rsid w:val="00E03125"/>
    <w:rsid w:val="00E043E2"/>
    <w:rsid w:val="00E045D2"/>
    <w:rsid w:val="00E04B36"/>
    <w:rsid w:val="00E0552D"/>
    <w:rsid w:val="00E05B9F"/>
    <w:rsid w:val="00E06642"/>
    <w:rsid w:val="00E06FAB"/>
    <w:rsid w:val="00E071C5"/>
    <w:rsid w:val="00E07C0C"/>
    <w:rsid w:val="00E10CAB"/>
    <w:rsid w:val="00E114EB"/>
    <w:rsid w:val="00E12299"/>
    <w:rsid w:val="00E12361"/>
    <w:rsid w:val="00E133C1"/>
    <w:rsid w:val="00E135F9"/>
    <w:rsid w:val="00E13772"/>
    <w:rsid w:val="00E14378"/>
    <w:rsid w:val="00E143A0"/>
    <w:rsid w:val="00E146BA"/>
    <w:rsid w:val="00E14B79"/>
    <w:rsid w:val="00E150D2"/>
    <w:rsid w:val="00E163D6"/>
    <w:rsid w:val="00E171DF"/>
    <w:rsid w:val="00E17AAB"/>
    <w:rsid w:val="00E2008F"/>
    <w:rsid w:val="00E201BB"/>
    <w:rsid w:val="00E210BE"/>
    <w:rsid w:val="00E2173C"/>
    <w:rsid w:val="00E21AD6"/>
    <w:rsid w:val="00E22152"/>
    <w:rsid w:val="00E22BC7"/>
    <w:rsid w:val="00E23856"/>
    <w:rsid w:val="00E23AE7"/>
    <w:rsid w:val="00E23FE6"/>
    <w:rsid w:val="00E24503"/>
    <w:rsid w:val="00E24B37"/>
    <w:rsid w:val="00E255EF"/>
    <w:rsid w:val="00E26F65"/>
    <w:rsid w:val="00E27154"/>
    <w:rsid w:val="00E305AC"/>
    <w:rsid w:val="00E30903"/>
    <w:rsid w:val="00E30C07"/>
    <w:rsid w:val="00E32855"/>
    <w:rsid w:val="00E331F6"/>
    <w:rsid w:val="00E338AE"/>
    <w:rsid w:val="00E33A80"/>
    <w:rsid w:val="00E33C9B"/>
    <w:rsid w:val="00E34117"/>
    <w:rsid w:val="00E346AA"/>
    <w:rsid w:val="00E34C53"/>
    <w:rsid w:val="00E34DF4"/>
    <w:rsid w:val="00E35440"/>
    <w:rsid w:val="00E3560A"/>
    <w:rsid w:val="00E36086"/>
    <w:rsid w:val="00E365AE"/>
    <w:rsid w:val="00E36A25"/>
    <w:rsid w:val="00E372B3"/>
    <w:rsid w:val="00E37444"/>
    <w:rsid w:val="00E3781F"/>
    <w:rsid w:val="00E37AB8"/>
    <w:rsid w:val="00E37C6C"/>
    <w:rsid w:val="00E37F84"/>
    <w:rsid w:val="00E40658"/>
    <w:rsid w:val="00E40F0E"/>
    <w:rsid w:val="00E41A99"/>
    <w:rsid w:val="00E41EAA"/>
    <w:rsid w:val="00E4220B"/>
    <w:rsid w:val="00E42BEC"/>
    <w:rsid w:val="00E43622"/>
    <w:rsid w:val="00E43764"/>
    <w:rsid w:val="00E437B3"/>
    <w:rsid w:val="00E437E9"/>
    <w:rsid w:val="00E449FB"/>
    <w:rsid w:val="00E4555A"/>
    <w:rsid w:val="00E46E4D"/>
    <w:rsid w:val="00E46EE2"/>
    <w:rsid w:val="00E471C8"/>
    <w:rsid w:val="00E475D5"/>
    <w:rsid w:val="00E4765B"/>
    <w:rsid w:val="00E50190"/>
    <w:rsid w:val="00E50499"/>
    <w:rsid w:val="00E50AEA"/>
    <w:rsid w:val="00E510F5"/>
    <w:rsid w:val="00E5204F"/>
    <w:rsid w:val="00E52516"/>
    <w:rsid w:val="00E53BFB"/>
    <w:rsid w:val="00E53FC6"/>
    <w:rsid w:val="00E54710"/>
    <w:rsid w:val="00E549BF"/>
    <w:rsid w:val="00E54D1F"/>
    <w:rsid w:val="00E5513E"/>
    <w:rsid w:val="00E55C32"/>
    <w:rsid w:val="00E56193"/>
    <w:rsid w:val="00E566FC"/>
    <w:rsid w:val="00E5782D"/>
    <w:rsid w:val="00E600F9"/>
    <w:rsid w:val="00E60198"/>
    <w:rsid w:val="00E605E4"/>
    <w:rsid w:val="00E60E26"/>
    <w:rsid w:val="00E611AA"/>
    <w:rsid w:val="00E61498"/>
    <w:rsid w:val="00E614B6"/>
    <w:rsid w:val="00E626B0"/>
    <w:rsid w:val="00E63776"/>
    <w:rsid w:val="00E63BE3"/>
    <w:rsid w:val="00E63FA7"/>
    <w:rsid w:val="00E65034"/>
    <w:rsid w:val="00E6554A"/>
    <w:rsid w:val="00E66251"/>
    <w:rsid w:val="00E6665E"/>
    <w:rsid w:val="00E66BA6"/>
    <w:rsid w:val="00E6712B"/>
    <w:rsid w:val="00E6774E"/>
    <w:rsid w:val="00E70A89"/>
    <w:rsid w:val="00E71848"/>
    <w:rsid w:val="00E71F56"/>
    <w:rsid w:val="00E72305"/>
    <w:rsid w:val="00E724C0"/>
    <w:rsid w:val="00E741CE"/>
    <w:rsid w:val="00E74316"/>
    <w:rsid w:val="00E74795"/>
    <w:rsid w:val="00E74A9D"/>
    <w:rsid w:val="00E757AE"/>
    <w:rsid w:val="00E75ED6"/>
    <w:rsid w:val="00E7691A"/>
    <w:rsid w:val="00E77B38"/>
    <w:rsid w:val="00E77B6B"/>
    <w:rsid w:val="00E80593"/>
    <w:rsid w:val="00E809E6"/>
    <w:rsid w:val="00E80C79"/>
    <w:rsid w:val="00E80FC3"/>
    <w:rsid w:val="00E81DA5"/>
    <w:rsid w:val="00E81E12"/>
    <w:rsid w:val="00E828D8"/>
    <w:rsid w:val="00E82A48"/>
    <w:rsid w:val="00E83235"/>
    <w:rsid w:val="00E84155"/>
    <w:rsid w:val="00E84316"/>
    <w:rsid w:val="00E84794"/>
    <w:rsid w:val="00E85542"/>
    <w:rsid w:val="00E8561E"/>
    <w:rsid w:val="00E8624C"/>
    <w:rsid w:val="00E87639"/>
    <w:rsid w:val="00E87A3B"/>
    <w:rsid w:val="00E87B0B"/>
    <w:rsid w:val="00E87D81"/>
    <w:rsid w:val="00E916B4"/>
    <w:rsid w:val="00E91C19"/>
    <w:rsid w:val="00E9252A"/>
    <w:rsid w:val="00E9287C"/>
    <w:rsid w:val="00E9323E"/>
    <w:rsid w:val="00E94142"/>
    <w:rsid w:val="00E9417D"/>
    <w:rsid w:val="00E944F9"/>
    <w:rsid w:val="00E94791"/>
    <w:rsid w:val="00E95203"/>
    <w:rsid w:val="00E953BF"/>
    <w:rsid w:val="00E954B1"/>
    <w:rsid w:val="00E95936"/>
    <w:rsid w:val="00E95D5E"/>
    <w:rsid w:val="00E95E4E"/>
    <w:rsid w:val="00E9638D"/>
    <w:rsid w:val="00E965ED"/>
    <w:rsid w:val="00E9690E"/>
    <w:rsid w:val="00E96AA6"/>
    <w:rsid w:val="00E97176"/>
    <w:rsid w:val="00E97618"/>
    <w:rsid w:val="00E97BCC"/>
    <w:rsid w:val="00EA001C"/>
    <w:rsid w:val="00EA0050"/>
    <w:rsid w:val="00EA0289"/>
    <w:rsid w:val="00EA0707"/>
    <w:rsid w:val="00EA07B2"/>
    <w:rsid w:val="00EA0C1A"/>
    <w:rsid w:val="00EA0D29"/>
    <w:rsid w:val="00EA160E"/>
    <w:rsid w:val="00EA1F62"/>
    <w:rsid w:val="00EA3057"/>
    <w:rsid w:val="00EA3D7B"/>
    <w:rsid w:val="00EA4292"/>
    <w:rsid w:val="00EA44C6"/>
    <w:rsid w:val="00EA50B6"/>
    <w:rsid w:val="00EA5F1B"/>
    <w:rsid w:val="00EA7426"/>
    <w:rsid w:val="00EA75DD"/>
    <w:rsid w:val="00EB013E"/>
    <w:rsid w:val="00EB0BCE"/>
    <w:rsid w:val="00EB10D8"/>
    <w:rsid w:val="00EB1DA5"/>
    <w:rsid w:val="00EB1E7E"/>
    <w:rsid w:val="00EB23B1"/>
    <w:rsid w:val="00EB2500"/>
    <w:rsid w:val="00EB2851"/>
    <w:rsid w:val="00EB2F8C"/>
    <w:rsid w:val="00EB351C"/>
    <w:rsid w:val="00EB3922"/>
    <w:rsid w:val="00EB3ED0"/>
    <w:rsid w:val="00EB441F"/>
    <w:rsid w:val="00EB4642"/>
    <w:rsid w:val="00EB53BA"/>
    <w:rsid w:val="00EB573A"/>
    <w:rsid w:val="00EB5F2E"/>
    <w:rsid w:val="00EB66F1"/>
    <w:rsid w:val="00EB6843"/>
    <w:rsid w:val="00EB6EBC"/>
    <w:rsid w:val="00EB7129"/>
    <w:rsid w:val="00EC0505"/>
    <w:rsid w:val="00EC132B"/>
    <w:rsid w:val="00EC141D"/>
    <w:rsid w:val="00EC16D4"/>
    <w:rsid w:val="00EC19FB"/>
    <w:rsid w:val="00EC1A32"/>
    <w:rsid w:val="00EC1D15"/>
    <w:rsid w:val="00EC2229"/>
    <w:rsid w:val="00EC2E47"/>
    <w:rsid w:val="00EC3272"/>
    <w:rsid w:val="00EC3A98"/>
    <w:rsid w:val="00EC3C50"/>
    <w:rsid w:val="00EC434B"/>
    <w:rsid w:val="00EC46C2"/>
    <w:rsid w:val="00EC617F"/>
    <w:rsid w:val="00EC62AD"/>
    <w:rsid w:val="00EC6508"/>
    <w:rsid w:val="00EC6BA9"/>
    <w:rsid w:val="00EC6F86"/>
    <w:rsid w:val="00EC7B74"/>
    <w:rsid w:val="00ED0224"/>
    <w:rsid w:val="00ED05AA"/>
    <w:rsid w:val="00ED07E3"/>
    <w:rsid w:val="00ED0B10"/>
    <w:rsid w:val="00ED0D3D"/>
    <w:rsid w:val="00ED164A"/>
    <w:rsid w:val="00ED1C1E"/>
    <w:rsid w:val="00ED1C59"/>
    <w:rsid w:val="00ED2466"/>
    <w:rsid w:val="00ED2847"/>
    <w:rsid w:val="00ED28D6"/>
    <w:rsid w:val="00ED32F8"/>
    <w:rsid w:val="00ED3678"/>
    <w:rsid w:val="00ED3914"/>
    <w:rsid w:val="00ED3E1E"/>
    <w:rsid w:val="00ED4C33"/>
    <w:rsid w:val="00ED5884"/>
    <w:rsid w:val="00ED5DBF"/>
    <w:rsid w:val="00ED6B5F"/>
    <w:rsid w:val="00ED6B63"/>
    <w:rsid w:val="00ED6F69"/>
    <w:rsid w:val="00ED6FB9"/>
    <w:rsid w:val="00ED78F5"/>
    <w:rsid w:val="00ED7A9F"/>
    <w:rsid w:val="00EE0307"/>
    <w:rsid w:val="00EE0A32"/>
    <w:rsid w:val="00EE108C"/>
    <w:rsid w:val="00EE15B9"/>
    <w:rsid w:val="00EE1732"/>
    <w:rsid w:val="00EE209A"/>
    <w:rsid w:val="00EE2BFE"/>
    <w:rsid w:val="00EE2E0B"/>
    <w:rsid w:val="00EE3031"/>
    <w:rsid w:val="00EE312B"/>
    <w:rsid w:val="00EE3F83"/>
    <w:rsid w:val="00EE4563"/>
    <w:rsid w:val="00EE4E8B"/>
    <w:rsid w:val="00EE51C9"/>
    <w:rsid w:val="00EE5653"/>
    <w:rsid w:val="00EE5668"/>
    <w:rsid w:val="00EE5931"/>
    <w:rsid w:val="00EE5CC3"/>
    <w:rsid w:val="00EE61C4"/>
    <w:rsid w:val="00EE6496"/>
    <w:rsid w:val="00EE7686"/>
    <w:rsid w:val="00EE76E2"/>
    <w:rsid w:val="00EE7749"/>
    <w:rsid w:val="00EE78F6"/>
    <w:rsid w:val="00EE7A62"/>
    <w:rsid w:val="00EF08FB"/>
    <w:rsid w:val="00EF0C17"/>
    <w:rsid w:val="00EF0E0B"/>
    <w:rsid w:val="00EF318A"/>
    <w:rsid w:val="00EF3EEA"/>
    <w:rsid w:val="00EF3F06"/>
    <w:rsid w:val="00EF4D27"/>
    <w:rsid w:val="00EF52B5"/>
    <w:rsid w:val="00EF542E"/>
    <w:rsid w:val="00EF55E0"/>
    <w:rsid w:val="00EF5944"/>
    <w:rsid w:val="00EF609F"/>
    <w:rsid w:val="00EF61E8"/>
    <w:rsid w:val="00EF68AC"/>
    <w:rsid w:val="00EF6A5E"/>
    <w:rsid w:val="00EF7755"/>
    <w:rsid w:val="00EF7BF7"/>
    <w:rsid w:val="00EF7D9E"/>
    <w:rsid w:val="00F00027"/>
    <w:rsid w:val="00F01F48"/>
    <w:rsid w:val="00F03435"/>
    <w:rsid w:val="00F0369B"/>
    <w:rsid w:val="00F03B29"/>
    <w:rsid w:val="00F05871"/>
    <w:rsid w:val="00F05E04"/>
    <w:rsid w:val="00F05E98"/>
    <w:rsid w:val="00F06C08"/>
    <w:rsid w:val="00F072B7"/>
    <w:rsid w:val="00F074DC"/>
    <w:rsid w:val="00F07C9A"/>
    <w:rsid w:val="00F07EAB"/>
    <w:rsid w:val="00F103F2"/>
    <w:rsid w:val="00F10810"/>
    <w:rsid w:val="00F115F9"/>
    <w:rsid w:val="00F1209E"/>
    <w:rsid w:val="00F12CCB"/>
    <w:rsid w:val="00F12DBF"/>
    <w:rsid w:val="00F13151"/>
    <w:rsid w:val="00F133E4"/>
    <w:rsid w:val="00F1374D"/>
    <w:rsid w:val="00F13B8C"/>
    <w:rsid w:val="00F13C36"/>
    <w:rsid w:val="00F1413C"/>
    <w:rsid w:val="00F142F2"/>
    <w:rsid w:val="00F14B9F"/>
    <w:rsid w:val="00F1584A"/>
    <w:rsid w:val="00F167D9"/>
    <w:rsid w:val="00F170AB"/>
    <w:rsid w:val="00F203CC"/>
    <w:rsid w:val="00F20453"/>
    <w:rsid w:val="00F210CD"/>
    <w:rsid w:val="00F21A12"/>
    <w:rsid w:val="00F227FB"/>
    <w:rsid w:val="00F233BA"/>
    <w:rsid w:val="00F23557"/>
    <w:rsid w:val="00F23759"/>
    <w:rsid w:val="00F23955"/>
    <w:rsid w:val="00F244D9"/>
    <w:rsid w:val="00F24B44"/>
    <w:rsid w:val="00F24CAD"/>
    <w:rsid w:val="00F24E00"/>
    <w:rsid w:val="00F2564F"/>
    <w:rsid w:val="00F26C82"/>
    <w:rsid w:val="00F27080"/>
    <w:rsid w:val="00F271DF"/>
    <w:rsid w:val="00F2755A"/>
    <w:rsid w:val="00F27710"/>
    <w:rsid w:val="00F277D3"/>
    <w:rsid w:val="00F27AFB"/>
    <w:rsid w:val="00F3004A"/>
    <w:rsid w:val="00F3140F"/>
    <w:rsid w:val="00F320AA"/>
    <w:rsid w:val="00F3275D"/>
    <w:rsid w:val="00F32C25"/>
    <w:rsid w:val="00F32D79"/>
    <w:rsid w:val="00F3330F"/>
    <w:rsid w:val="00F33C60"/>
    <w:rsid w:val="00F33E1F"/>
    <w:rsid w:val="00F33F4B"/>
    <w:rsid w:val="00F34000"/>
    <w:rsid w:val="00F34031"/>
    <w:rsid w:val="00F34811"/>
    <w:rsid w:val="00F349CA"/>
    <w:rsid w:val="00F35045"/>
    <w:rsid w:val="00F350B8"/>
    <w:rsid w:val="00F3536D"/>
    <w:rsid w:val="00F364F5"/>
    <w:rsid w:val="00F36B22"/>
    <w:rsid w:val="00F36D95"/>
    <w:rsid w:val="00F3761B"/>
    <w:rsid w:val="00F37BDD"/>
    <w:rsid w:val="00F4088E"/>
    <w:rsid w:val="00F411C5"/>
    <w:rsid w:val="00F41EB4"/>
    <w:rsid w:val="00F4270C"/>
    <w:rsid w:val="00F42BB7"/>
    <w:rsid w:val="00F42C6D"/>
    <w:rsid w:val="00F42F3E"/>
    <w:rsid w:val="00F433F1"/>
    <w:rsid w:val="00F43700"/>
    <w:rsid w:val="00F43AF5"/>
    <w:rsid w:val="00F43F4C"/>
    <w:rsid w:val="00F440FD"/>
    <w:rsid w:val="00F44AEC"/>
    <w:rsid w:val="00F44DDB"/>
    <w:rsid w:val="00F45012"/>
    <w:rsid w:val="00F452CD"/>
    <w:rsid w:val="00F4553C"/>
    <w:rsid w:val="00F45639"/>
    <w:rsid w:val="00F45DA9"/>
    <w:rsid w:val="00F45E36"/>
    <w:rsid w:val="00F45E4A"/>
    <w:rsid w:val="00F5018D"/>
    <w:rsid w:val="00F503B3"/>
    <w:rsid w:val="00F50546"/>
    <w:rsid w:val="00F505B9"/>
    <w:rsid w:val="00F5142D"/>
    <w:rsid w:val="00F51953"/>
    <w:rsid w:val="00F525AA"/>
    <w:rsid w:val="00F528E9"/>
    <w:rsid w:val="00F53701"/>
    <w:rsid w:val="00F54545"/>
    <w:rsid w:val="00F54F1D"/>
    <w:rsid w:val="00F5542C"/>
    <w:rsid w:val="00F558DE"/>
    <w:rsid w:val="00F56317"/>
    <w:rsid w:val="00F5688B"/>
    <w:rsid w:val="00F56920"/>
    <w:rsid w:val="00F5698E"/>
    <w:rsid w:val="00F56A6E"/>
    <w:rsid w:val="00F60112"/>
    <w:rsid w:val="00F60335"/>
    <w:rsid w:val="00F60A97"/>
    <w:rsid w:val="00F61166"/>
    <w:rsid w:val="00F6123E"/>
    <w:rsid w:val="00F6151D"/>
    <w:rsid w:val="00F615BA"/>
    <w:rsid w:val="00F6193C"/>
    <w:rsid w:val="00F6247D"/>
    <w:rsid w:val="00F624D6"/>
    <w:rsid w:val="00F627C6"/>
    <w:rsid w:val="00F62B4D"/>
    <w:rsid w:val="00F62D68"/>
    <w:rsid w:val="00F631A2"/>
    <w:rsid w:val="00F63FE2"/>
    <w:rsid w:val="00F64649"/>
    <w:rsid w:val="00F6551A"/>
    <w:rsid w:val="00F655B3"/>
    <w:rsid w:val="00F65932"/>
    <w:rsid w:val="00F65ED4"/>
    <w:rsid w:val="00F66F07"/>
    <w:rsid w:val="00F670F3"/>
    <w:rsid w:val="00F67636"/>
    <w:rsid w:val="00F67D43"/>
    <w:rsid w:val="00F71063"/>
    <w:rsid w:val="00F712C4"/>
    <w:rsid w:val="00F713D3"/>
    <w:rsid w:val="00F719AD"/>
    <w:rsid w:val="00F71DF5"/>
    <w:rsid w:val="00F73031"/>
    <w:rsid w:val="00F732E1"/>
    <w:rsid w:val="00F738BE"/>
    <w:rsid w:val="00F73DC1"/>
    <w:rsid w:val="00F7442F"/>
    <w:rsid w:val="00F7573D"/>
    <w:rsid w:val="00F75C2F"/>
    <w:rsid w:val="00F75CBE"/>
    <w:rsid w:val="00F75E18"/>
    <w:rsid w:val="00F7672E"/>
    <w:rsid w:val="00F771CB"/>
    <w:rsid w:val="00F77E84"/>
    <w:rsid w:val="00F80ED0"/>
    <w:rsid w:val="00F80F5D"/>
    <w:rsid w:val="00F81435"/>
    <w:rsid w:val="00F82232"/>
    <w:rsid w:val="00F8253C"/>
    <w:rsid w:val="00F82ABF"/>
    <w:rsid w:val="00F82EBD"/>
    <w:rsid w:val="00F83258"/>
    <w:rsid w:val="00F838AF"/>
    <w:rsid w:val="00F83910"/>
    <w:rsid w:val="00F83B78"/>
    <w:rsid w:val="00F83D92"/>
    <w:rsid w:val="00F8443C"/>
    <w:rsid w:val="00F845D6"/>
    <w:rsid w:val="00F8464C"/>
    <w:rsid w:val="00F84A44"/>
    <w:rsid w:val="00F84DDE"/>
    <w:rsid w:val="00F85003"/>
    <w:rsid w:val="00F860D2"/>
    <w:rsid w:val="00F8623B"/>
    <w:rsid w:val="00F87394"/>
    <w:rsid w:val="00F87F61"/>
    <w:rsid w:val="00F901EC"/>
    <w:rsid w:val="00F90D09"/>
    <w:rsid w:val="00F91AB2"/>
    <w:rsid w:val="00F93680"/>
    <w:rsid w:val="00F937B8"/>
    <w:rsid w:val="00F93E4C"/>
    <w:rsid w:val="00F94B84"/>
    <w:rsid w:val="00F94C0C"/>
    <w:rsid w:val="00F958DA"/>
    <w:rsid w:val="00F965E2"/>
    <w:rsid w:val="00F96FB3"/>
    <w:rsid w:val="00F97E89"/>
    <w:rsid w:val="00FA0D5C"/>
    <w:rsid w:val="00FA1129"/>
    <w:rsid w:val="00FA2370"/>
    <w:rsid w:val="00FA39A7"/>
    <w:rsid w:val="00FA3C14"/>
    <w:rsid w:val="00FA3CA3"/>
    <w:rsid w:val="00FA3EA4"/>
    <w:rsid w:val="00FA47C4"/>
    <w:rsid w:val="00FA493C"/>
    <w:rsid w:val="00FA4FCB"/>
    <w:rsid w:val="00FA5410"/>
    <w:rsid w:val="00FA5EF1"/>
    <w:rsid w:val="00FA6164"/>
    <w:rsid w:val="00FA6343"/>
    <w:rsid w:val="00FA640F"/>
    <w:rsid w:val="00FA6535"/>
    <w:rsid w:val="00FA66E0"/>
    <w:rsid w:val="00FA6A0B"/>
    <w:rsid w:val="00FA6FDA"/>
    <w:rsid w:val="00FA7E47"/>
    <w:rsid w:val="00FB06E6"/>
    <w:rsid w:val="00FB08D7"/>
    <w:rsid w:val="00FB0994"/>
    <w:rsid w:val="00FB1A53"/>
    <w:rsid w:val="00FB1A65"/>
    <w:rsid w:val="00FB297F"/>
    <w:rsid w:val="00FB3290"/>
    <w:rsid w:val="00FB36EC"/>
    <w:rsid w:val="00FB3F61"/>
    <w:rsid w:val="00FB43ED"/>
    <w:rsid w:val="00FB4801"/>
    <w:rsid w:val="00FB49CD"/>
    <w:rsid w:val="00FB5418"/>
    <w:rsid w:val="00FB552F"/>
    <w:rsid w:val="00FB6D25"/>
    <w:rsid w:val="00FB7A8C"/>
    <w:rsid w:val="00FC011D"/>
    <w:rsid w:val="00FC047F"/>
    <w:rsid w:val="00FC0665"/>
    <w:rsid w:val="00FC0A4F"/>
    <w:rsid w:val="00FC0B33"/>
    <w:rsid w:val="00FC2CE4"/>
    <w:rsid w:val="00FC2E24"/>
    <w:rsid w:val="00FC2E2C"/>
    <w:rsid w:val="00FC3094"/>
    <w:rsid w:val="00FC3121"/>
    <w:rsid w:val="00FC3353"/>
    <w:rsid w:val="00FC39F2"/>
    <w:rsid w:val="00FC3D05"/>
    <w:rsid w:val="00FC56DD"/>
    <w:rsid w:val="00FC5C8B"/>
    <w:rsid w:val="00FC6494"/>
    <w:rsid w:val="00FC7E5A"/>
    <w:rsid w:val="00FD02AC"/>
    <w:rsid w:val="00FD09BE"/>
    <w:rsid w:val="00FD114C"/>
    <w:rsid w:val="00FD1547"/>
    <w:rsid w:val="00FD1692"/>
    <w:rsid w:val="00FD2632"/>
    <w:rsid w:val="00FD2657"/>
    <w:rsid w:val="00FD37E2"/>
    <w:rsid w:val="00FD41FA"/>
    <w:rsid w:val="00FD497C"/>
    <w:rsid w:val="00FD4E7F"/>
    <w:rsid w:val="00FD512D"/>
    <w:rsid w:val="00FD534C"/>
    <w:rsid w:val="00FD579A"/>
    <w:rsid w:val="00FD6AEA"/>
    <w:rsid w:val="00FD75E9"/>
    <w:rsid w:val="00FE1038"/>
    <w:rsid w:val="00FE113E"/>
    <w:rsid w:val="00FE1DD7"/>
    <w:rsid w:val="00FE1ECC"/>
    <w:rsid w:val="00FE2372"/>
    <w:rsid w:val="00FE23C5"/>
    <w:rsid w:val="00FE2562"/>
    <w:rsid w:val="00FE2BC6"/>
    <w:rsid w:val="00FE2BE6"/>
    <w:rsid w:val="00FE2D70"/>
    <w:rsid w:val="00FE3B6C"/>
    <w:rsid w:val="00FE4F9A"/>
    <w:rsid w:val="00FE58A7"/>
    <w:rsid w:val="00FE6489"/>
    <w:rsid w:val="00FE7C35"/>
    <w:rsid w:val="00FE7CC7"/>
    <w:rsid w:val="00FE7DDE"/>
    <w:rsid w:val="00FF091D"/>
    <w:rsid w:val="00FF0AAF"/>
    <w:rsid w:val="00FF0BD8"/>
    <w:rsid w:val="00FF19D1"/>
    <w:rsid w:val="00FF1BD8"/>
    <w:rsid w:val="00FF26EF"/>
    <w:rsid w:val="00FF2E9D"/>
    <w:rsid w:val="00FF31E4"/>
    <w:rsid w:val="00FF436A"/>
    <w:rsid w:val="00FF4578"/>
    <w:rsid w:val="00FF53D2"/>
    <w:rsid w:val="00FF5937"/>
    <w:rsid w:val="00FF5D8E"/>
    <w:rsid w:val="00FF6193"/>
    <w:rsid w:val="00FF6D9F"/>
    <w:rsid w:val="00FF6E67"/>
    <w:rsid w:val="00FF701C"/>
    <w:rsid w:val="00FF730F"/>
    <w:rsid w:val="010827C0"/>
    <w:rsid w:val="01764679"/>
    <w:rsid w:val="019A001F"/>
    <w:rsid w:val="01E828FB"/>
    <w:rsid w:val="02C17D9D"/>
    <w:rsid w:val="034A7C6B"/>
    <w:rsid w:val="035B12CD"/>
    <w:rsid w:val="0372119D"/>
    <w:rsid w:val="04390EE3"/>
    <w:rsid w:val="045301F6"/>
    <w:rsid w:val="05830719"/>
    <w:rsid w:val="06417592"/>
    <w:rsid w:val="06567C17"/>
    <w:rsid w:val="07AE41B6"/>
    <w:rsid w:val="08005312"/>
    <w:rsid w:val="0818583B"/>
    <w:rsid w:val="084D2D66"/>
    <w:rsid w:val="08E458C1"/>
    <w:rsid w:val="08F0254D"/>
    <w:rsid w:val="08F15AA9"/>
    <w:rsid w:val="09141F34"/>
    <w:rsid w:val="0AD83ECA"/>
    <w:rsid w:val="0ADD2F10"/>
    <w:rsid w:val="0B4453CD"/>
    <w:rsid w:val="0C6B1434"/>
    <w:rsid w:val="0C8A03E8"/>
    <w:rsid w:val="0CCF0636"/>
    <w:rsid w:val="0DA54C75"/>
    <w:rsid w:val="0DFF273F"/>
    <w:rsid w:val="0E163C97"/>
    <w:rsid w:val="0E325320"/>
    <w:rsid w:val="0E50275F"/>
    <w:rsid w:val="0EF5261A"/>
    <w:rsid w:val="0F410538"/>
    <w:rsid w:val="0F783207"/>
    <w:rsid w:val="10CA582D"/>
    <w:rsid w:val="10DD5537"/>
    <w:rsid w:val="116972AB"/>
    <w:rsid w:val="11C57246"/>
    <w:rsid w:val="11DF71F3"/>
    <w:rsid w:val="12D70244"/>
    <w:rsid w:val="13C11A4E"/>
    <w:rsid w:val="14592AD8"/>
    <w:rsid w:val="14755F67"/>
    <w:rsid w:val="14D36AFB"/>
    <w:rsid w:val="154047C7"/>
    <w:rsid w:val="154556F3"/>
    <w:rsid w:val="161963FE"/>
    <w:rsid w:val="16C47023"/>
    <w:rsid w:val="17094FBD"/>
    <w:rsid w:val="17A77857"/>
    <w:rsid w:val="18C001DB"/>
    <w:rsid w:val="19B7492C"/>
    <w:rsid w:val="19CA6B54"/>
    <w:rsid w:val="19E34BF1"/>
    <w:rsid w:val="1A5428AF"/>
    <w:rsid w:val="1B4D379A"/>
    <w:rsid w:val="1B701F33"/>
    <w:rsid w:val="1BF9122C"/>
    <w:rsid w:val="1BFF50E1"/>
    <w:rsid w:val="1C35049D"/>
    <w:rsid w:val="1CA94A00"/>
    <w:rsid w:val="1CE23AE8"/>
    <w:rsid w:val="1D395CA8"/>
    <w:rsid w:val="1D5319AE"/>
    <w:rsid w:val="1E3B0342"/>
    <w:rsid w:val="1E3F32AE"/>
    <w:rsid w:val="1E6257AE"/>
    <w:rsid w:val="1EA9518B"/>
    <w:rsid w:val="1EE05092"/>
    <w:rsid w:val="1F3A5DE3"/>
    <w:rsid w:val="1F5A6485"/>
    <w:rsid w:val="1FB72B68"/>
    <w:rsid w:val="200C59D1"/>
    <w:rsid w:val="20354D90"/>
    <w:rsid w:val="204C0512"/>
    <w:rsid w:val="20994D8B"/>
    <w:rsid w:val="20FB3892"/>
    <w:rsid w:val="21D20555"/>
    <w:rsid w:val="222F3BF9"/>
    <w:rsid w:val="2277389B"/>
    <w:rsid w:val="23377209"/>
    <w:rsid w:val="238C7576"/>
    <w:rsid w:val="23F236D1"/>
    <w:rsid w:val="25140066"/>
    <w:rsid w:val="25AF65EC"/>
    <w:rsid w:val="26300810"/>
    <w:rsid w:val="26B446CD"/>
    <w:rsid w:val="272974C5"/>
    <w:rsid w:val="275122D4"/>
    <w:rsid w:val="27C754EF"/>
    <w:rsid w:val="28427CBE"/>
    <w:rsid w:val="287E1C27"/>
    <w:rsid w:val="28B44E58"/>
    <w:rsid w:val="29AC18BB"/>
    <w:rsid w:val="2A460A1A"/>
    <w:rsid w:val="2B3E75AE"/>
    <w:rsid w:val="2B593A95"/>
    <w:rsid w:val="2C4E2ECE"/>
    <w:rsid w:val="2CE6412C"/>
    <w:rsid w:val="2D2C76B3"/>
    <w:rsid w:val="2E112405"/>
    <w:rsid w:val="2E114542"/>
    <w:rsid w:val="2E75015F"/>
    <w:rsid w:val="2EA83DC4"/>
    <w:rsid w:val="2EB55486"/>
    <w:rsid w:val="2F276596"/>
    <w:rsid w:val="2F4F5F32"/>
    <w:rsid w:val="2F7B66D0"/>
    <w:rsid w:val="300243FE"/>
    <w:rsid w:val="304377D2"/>
    <w:rsid w:val="311B5924"/>
    <w:rsid w:val="31745184"/>
    <w:rsid w:val="3206424D"/>
    <w:rsid w:val="32B554CF"/>
    <w:rsid w:val="332130EA"/>
    <w:rsid w:val="33980436"/>
    <w:rsid w:val="33E96B3F"/>
    <w:rsid w:val="34727ED4"/>
    <w:rsid w:val="34FB4FBA"/>
    <w:rsid w:val="35006613"/>
    <w:rsid w:val="357A2F85"/>
    <w:rsid w:val="35A970C6"/>
    <w:rsid w:val="36926214"/>
    <w:rsid w:val="36DF7EAA"/>
    <w:rsid w:val="36F4004D"/>
    <w:rsid w:val="37753508"/>
    <w:rsid w:val="38826EF2"/>
    <w:rsid w:val="388B3C27"/>
    <w:rsid w:val="39841994"/>
    <w:rsid w:val="39A80DFE"/>
    <w:rsid w:val="39B36A66"/>
    <w:rsid w:val="39CB3DB0"/>
    <w:rsid w:val="3A0F2874"/>
    <w:rsid w:val="3ACD23B2"/>
    <w:rsid w:val="3B0063EE"/>
    <w:rsid w:val="3B486ACC"/>
    <w:rsid w:val="3B525E2C"/>
    <w:rsid w:val="3B5B6C5C"/>
    <w:rsid w:val="3BDD3245"/>
    <w:rsid w:val="3C046323"/>
    <w:rsid w:val="3C751C3E"/>
    <w:rsid w:val="3CA628B2"/>
    <w:rsid w:val="3D027702"/>
    <w:rsid w:val="3D2C1708"/>
    <w:rsid w:val="3D6209A3"/>
    <w:rsid w:val="3DF14966"/>
    <w:rsid w:val="3E0B0C1F"/>
    <w:rsid w:val="3E3B32E7"/>
    <w:rsid w:val="3EAF1EF2"/>
    <w:rsid w:val="3F050B2F"/>
    <w:rsid w:val="3F0F30B4"/>
    <w:rsid w:val="3F2D4F41"/>
    <w:rsid w:val="3F3E0BDB"/>
    <w:rsid w:val="3FB85486"/>
    <w:rsid w:val="40A206CD"/>
    <w:rsid w:val="40CF7B8F"/>
    <w:rsid w:val="40DE1EB1"/>
    <w:rsid w:val="40F57964"/>
    <w:rsid w:val="40FC0CF2"/>
    <w:rsid w:val="41E16AB9"/>
    <w:rsid w:val="42451CC4"/>
    <w:rsid w:val="428E4856"/>
    <w:rsid w:val="42F71BA9"/>
    <w:rsid w:val="43DD2F85"/>
    <w:rsid w:val="44056110"/>
    <w:rsid w:val="44202F4A"/>
    <w:rsid w:val="45AA736D"/>
    <w:rsid w:val="464E18DF"/>
    <w:rsid w:val="471E3E7B"/>
    <w:rsid w:val="47371A27"/>
    <w:rsid w:val="47A55EF4"/>
    <w:rsid w:val="481C49F5"/>
    <w:rsid w:val="49D40682"/>
    <w:rsid w:val="4A514791"/>
    <w:rsid w:val="4A8F1634"/>
    <w:rsid w:val="4AEF6159"/>
    <w:rsid w:val="4B1B54DC"/>
    <w:rsid w:val="4B5160DF"/>
    <w:rsid w:val="4CDF531A"/>
    <w:rsid w:val="4D0C03F4"/>
    <w:rsid w:val="4E8A2033"/>
    <w:rsid w:val="4E994025"/>
    <w:rsid w:val="507C3FB6"/>
    <w:rsid w:val="50CC54A1"/>
    <w:rsid w:val="50F25C6E"/>
    <w:rsid w:val="51667C7E"/>
    <w:rsid w:val="51B33440"/>
    <w:rsid w:val="5322113E"/>
    <w:rsid w:val="550D12C8"/>
    <w:rsid w:val="56AD4B11"/>
    <w:rsid w:val="56EB35DF"/>
    <w:rsid w:val="57964F4B"/>
    <w:rsid w:val="57DF594E"/>
    <w:rsid w:val="589D548F"/>
    <w:rsid w:val="59622B34"/>
    <w:rsid w:val="59FC69BD"/>
    <w:rsid w:val="5A6951F3"/>
    <w:rsid w:val="5ABD1A2E"/>
    <w:rsid w:val="5AF25B24"/>
    <w:rsid w:val="5B3A4258"/>
    <w:rsid w:val="5B7756EE"/>
    <w:rsid w:val="5D1256CE"/>
    <w:rsid w:val="5D202A76"/>
    <w:rsid w:val="5EA97EF5"/>
    <w:rsid w:val="5EE61D7E"/>
    <w:rsid w:val="5F1D1E82"/>
    <w:rsid w:val="5F4B326F"/>
    <w:rsid w:val="5F702B80"/>
    <w:rsid w:val="5FEC7DEC"/>
    <w:rsid w:val="60402961"/>
    <w:rsid w:val="61275AF4"/>
    <w:rsid w:val="6175266C"/>
    <w:rsid w:val="62F64E2A"/>
    <w:rsid w:val="63B24C9F"/>
    <w:rsid w:val="64A565FB"/>
    <w:rsid w:val="655D3BA6"/>
    <w:rsid w:val="65694555"/>
    <w:rsid w:val="65A10860"/>
    <w:rsid w:val="66052E26"/>
    <w:rsid w:val="669D3BF4"/>
    <w:rsid w:val="66FA3926"/>
    <w:rsid w:val="67D142B9"/>
    <w:rsid w:val="680227E3"/>
    <w:rsid w:val="68323FAB"/>
    <w:rsid w:val="685C2E27"/>
    <w:rsid w:val="68A5776A"/>
    <w:rsid w:val="692F4A98"/>
    <w:rsid w:val="6A0E43F0"/>
    <w:rsid w:val="6A135DFA"/>
    <w:rsid w:val="6A294057"/>
    <w:rsid w:val="6B192137"/>
    <w:rsid w:val="6B283016"/>
    <w:rsid w:val="6B47600F"/>
    <w:rsid w:val="6C7F19AA"/>
    <w:rsid w:val="6D4F1B59"/>
    <w:rsid w:val="6E7D7067"/>
    <w:rsid w:val="6F505485"/>
    <w:rsid w:val="6F705C5C"/>
    <w:rsid w:val="6FEE4FBF"/>
    <w:rsid w:val="703518BB"/>
    <w:rsid w:val="706D0A1F"/>
    <w:rsid w:val="70B14DA6"/>
    <w:rsid w:val="70CC787F"/>
    <w:rsid w:val="70D921C0"/>
    <w:rsid w:val="70F066B9"/>
    <w:rsid w:val="70FD4426"/>
    <w:rsid w:val="71881FAB"/>
    <w:rsid w:val="71DC5507"/>
    <w:rsid w:val="71EC5C61"/>
    <w:rsid w:val="722544C2"/>
    <w:rsid w:val="736A48E5"/>
    <w:rsid w:val="746C02D3"/>
    <w:rsid w:val="749D540A"/>
    <w:rsid w:val="74A5271D"/>
    <w:rsid w:val="75DA74B7"/>
    <w:rsid w:val="75F66D5F"/>
    <w:rsid w:val="76092C01"/>
    <w:rsid w:val="77A2369A"/>
    <w:rsid w:val="7847545D"/>
    <w:rsid w:val="787E5916"/>
    <w:rsid w:val="79113112"/>
    <w:rsid w:val="79764DDF"/>
    <w:rsid w:val="79782A3D"/>
    <w:rsid w:val="7AED1666"/>
    <w:rsid w:val="7B5E252B"/>
    <w:rsid w:val="7C3B7D31"/>
    <w:rsid w:val="7C8444EA"/>
    <w:rsid w:val="7C8C268F"/>
    <w:rsid w:val="7CBA4FE2"/>
    <w:rsid w:val="7CDD7F57"/>
    <w:rsid w:val="7E9B378C"/>
    <w:rsid w:val="7EA060FF"/>
    <w:rsid w:val="7F31767D"/>
    <w:rsid w:val="7F4B5EAA"/>
    <w:rsid w:val="7F713678"/>
    <w:rsid w:val="7F720137"/>
    <w:rsid w:val="7FB11F72"/>
    <w:rsid w:val="7FD25AC1"/>
    <w:rsid w:val="7FE136D4"/>
  </w:rsids>
  <m:mathPr>
    <m:mathFont m:val="Cambria Math"/>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textAlignment w:val="center"/>
    </w:pPr>
    <w:rPr>
      <w:rFonts w:ascii="Times New Roman" w:hAnsi="Times New Roman" w:eastAsia="宋体" w:cs="Times New Roman"/>
      <w:kern w:val="2"/>
      <w:sz w:val="24"/>
      <w:szCs w:val="21"/>
      <w:lang w:val="en-US" w:eastAsia="zh-CN" w:bidi="ar-SA"/>
    </w:rPr>
  </w:style>
  <w:style w:type="paragraph" w:styleId="2">
    <w:name w:val="heading 1"/>
    <w:next w:val="1"/>
    <w:link w:val="41"/>
    <w:qFormat/>
    <w:uiPriority w:val="9"/>
    <w:pPr>
      <w:keepNext/>
      <w:keepLines/>
      <w:pageBreakBefore/>
      <w:numPr>
        <w:ilvl w:val="0"/>
        <w:numId w:val="1"/>
      </w:numPr>
      <w:spacing w:before="340" w:after="330" w:line="578" w:lineRule="auto"/>
      <w:ind w:left="432" w:hanging="432"/>
      <w:jc w:val="center"/>
      <w:outlineLvl w:val="0"/>
    </w:pPr>
    <w:rPr>
      <w:rFonts w:ascii="Times New Roman" w:hAnsi="Times New Roman" w:eastAsia="黑体" w:cs="Times New Roman"/>
      <w:b/>
      <w:bCs/>
      <w:kern w:val="44"/>
      <w:sz w:val="44"/>
      <w:szCs w:val="44"/>
      <w:lang w:val="en-US" w:eastAsia="zh-CN" w:bidi="ar-SA"/>
    </w:rPr>
  </w:style>
  <w:style w:type="paragraph" w:styleId="3">
    <w:name w:val="heading 2"/>
    <w:next w:val="1"/>
    <w:link w:val="39"/>
    <w:qFormat/>
    <w:uiPriority w:val="9"/>
    <w:pPr>
      <w:keepNext/>
      <w:keepLines/>
      <w:numPr>
        <w:ilvl w:val="1"/>
        <w:numId w:val="1"/>
      </w:numPr>
      <w:spacing w:before="50" w:beforeLines="50"/>
      <w:ind w:left="575" w:hanging="575"/>
      <w:outlineLvl w:val="1"/>
    </w:pPr>
    <w:rPr>
      <w:rFonts w:ascii="Times New Roman" w:hAnsi="Times New Roman" w:eastAsia="黑体" w:cs="Times New Roman"/>
      <w:b/>
      <w:bCs/>
      <w:kern w:val="2"/>
      <w:sz w:val="30"/>
      <w:szCs w:val="32"/>
      <w:lang w:val="en-US" w:eastAsia="zh-CN" w:bidi="ar-SA"/>
    </w:rPr>
  </w:style>
  <w:style w:type="paragraph" w:styleId="4">
    <w:name w:val="heading 3"/>
    <w:next w:val="1"/>
    <w:link w:val="43"/>
    <w:qFormat/>
    <w:uiPriority w:val="9"/>
    <w:pPr>
      <w:keepNext/>
      <w:keepLines/>
      <w:numPr>
        <w:ilvl w:val="2"/>
        <w:numId w:val="1"/>
      </w:numPr>
      <w:ind w:left="720" w:hanging="720"/>
      <w:outlineLvl w:val="2"/>
    </w:pPr>
    <w:rPr>
      <w:rFonts w:ascii="Times New Roman" w:hAnsi="Times New Roman" w:eastAsia="黑体" w:cs="Times New Roman"/>
      <w:b/>
      <w:bCs/>
      <w:kern w:val="2"/>
      <w:sz w:val="28"/>
      <w:szCs w:val="32"/>
      <w:lang w:val="en-US" w:eastAsia="zh-CN" w:bidi="ar-SA"/>
    </w:rPr>
  </w:style>
  <w:style w:type="paragraph" w:styleId="5">
    <w:name w:val="heading 4"/>
    <w:next w:val="1"/>
    <w:link w:val="45"/>
    <w:qFormat/>
    <w:uiPriority w:val="9"/>
    <w:pPr>
      <w:keepNext/>
      <w:keepLines/>
      <w:numPr>
        <w:ilvl w:val="3"/>
        <w:numId w:val="1"/>
      </w:numPr>
      <w:spacing w:before="120" w:after="120"/>
      <w:ind w:left="864" w:hanging="864"/>
      <w:outlineLvl w:val="3"/>
    </w:pPr>
    <w:rPr>
      <w:rFonts w:ascii="Times New Roman" w:hAnsi="Times New Roman" w:eastAsia="黑体" w:cs="Times New Roman"/>
      <w:b/>
      <w:bCs/>
      <w:kern w:val="2"/>
      <w:sz w:val="24"/>
      <w:szCs w:val="28"/>
      <w:lang w:val="en-US" w:eastAsia="zh-CN" w:bidi="ar-SA"/>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32">
    <w:name w:val="Default Paragraph Font"/>
    <w:unhideWhenUsed/>
    <w:qFormat/>
    <w:uiPriority w:val="1"/>
  </w:style>
  <w:style w:type="table" w:default="1" w:styleId="30">
    <w:name w:val="Normal Table"/>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spacing w:line="240" w:lineRule="auto"/>
      <w:ind w:left="2520" w:leftChars="1200" w:firstLine="0" w:firstLineChars="0"/>
      <w:textAlignment w:val="auto"/>
    </w:pPr>
    <w:rPr>
      <w:rFonts w:ascii="Calibri" w:hAnsi="Calibri"/>
      <w:sz w:val="21"/>
      <w:szCs w:val="22"/>
    </w:rPr>
  </w:style>
  <w:style w:type="paragraph" w:styleId="12">
    <w:name w:val="caption"/>
    <w:next w:val="1"/>
    <w:link w:val="79"/>
    <w:qFormat/>
    <w:uiPriority w:val="0"/>
    <w:pPr>
      <w:tabs>
        <w:tab w:val="center" w:pos="4200"/>
        <w:tab w:val="right" w:pos="8400"/>
      </w:tabs>
      <w:spacing w:before="120" w:after="120"/>
      <w:jc w:val="center"/>
    </w:pPr>
    <w:rPr>
      <w:rFonts w:ascii="Times New Roman" w:hAnsi="Times New Roman" w:eastAsia="宋体" w:cs="Times New Roman"/>
      <w:b/>
      <w:kern w:val="2"/>
      <w:sz w:val="21"/>
      <w:lang w:val="en-US" w:eastAsia="zh-CN" w:bidi="ar-SA"/>
    </w:rPr>
  </w:style>
  <w:style w:type="paragraph" w:styleId="13">
    <w:name w:val="Document Map"/>
    <w:basedOn w:val="1"/>
    <w:link w:val="46"/>
    <w:unhideWhenUsed/>
    <w:qFormat/>
    <w:uiPriority w:val="99"/>
    <w:rPr>
      <w:rFonts w:ascii="宋体" w:hAnsi="Euclid"/>
      <w:sz w:val="18"/>
      <w:szCs w:val="18"/>
    </w:rPr>
  </w:style>
  <w:style w:type="paragraph" w:styleId="14">
    <w:name w:val="toc 5"/>
    <w:basedOn w:val="1"/>
    <w:next w:val="1"/>
    <w:unhideWhenUsed/>
    <w:qFormat/>
    <w:uiPriority w:val="39"/>
    <w:pPr>
      <w:spacing w:line="240" w:lineRule="auto"/>
      <w:ind w:left="1680" w:leftChars="800" w:firstLine="0" w:firstLineChars="0"/>
      <w:textAlignment w:val="auto"/>
    </w:pPr>
    <w:rPr>
      <w:rFonts w:ascii="Calibri" w:hAnsi="Calibri"/>
      <w:sz w:val="21"/>
      <w:szCs w:val="22"/>
    </w:rPr>
  </w:style>
  <w:style w:type="paragraph" w:styleId="15">
    <w:name w:val="toc 3"/>
    <w:next w:val="1"/>
    <w:unhideWhenUsed/>
    <w:qFormat/>
    <w:uiPriority w:val="39"/>
    <w:pPr>
      <w:tabs>
        <w:tab w:val="right" w:leader="dot" w:pos="8493"/>
      </w:tabs>
      <w:spacing w:line="440" w:lineRule="exact"/>
      <w:ind w:left="839"/>
    </w:pPr>
    <w:rPr>
      <w:rFonts w:ascii="Times New Roman" w:hAnsi="Times New Roman" w:eastAsia="宋体" w:cs="Times New Roman"/>
      <w:kern w:val="2"/>
      <w:sz w:val="24"/>
      <w:szCs w:val="21"/>
      <w:lang w:val="en-US" w:eastAsia="zh-CN" w:bidi="ar-SA"/>
    </w:rPr>
  </w:style>
  <w:style w:type="paragraph" w:styleId="16">
    <w:name w:val="Plain Text"/>
    <w:basedOn w:val="1"/>
    <w:link w:val="55"/>
    <w:qFormat/>
    <w:uiPriority w:val="0"/>
    <w:pPr>
      <w:spacing w:line="240" w:lineRule="auto"/>
      <w:ind w:firstLine="0" w:firstLineChars="0"/>
      <w:textAlignment w:val="auto"/>
    </w:pPr>
    <w:rPr>
      <w:rFonts w:ascii="宋体" w:hAnsi="Courier New"/>
      <w:sz w:val="21"/>
    </w:rPr>
  </w:style>
  <w:style w:type="paragraph" w:styleId="17">
    <w:name w:val="toc 8"/>
    <w:basedOn w:val="1"/>
    <w:next w:val="1"/>
    <w:unhideWhenUsed/>
    <w:qFormat/>
    <w:uiPriority w:val="39"/>
    <w:pPr>
      <w:spacing w:line="240" w:lineRule="auto"/>
      <w:ind w:left="2940" w:leftChars="1400" w:firstLine="0" w:firstLineChars="0"/>
      <w:textAlignment w:val="auto"/>
    </w:pPr>
    <w:rPr>
      <w:rFonts w:ascii="Calibri" w:hAnsi="Calibri"/>
      <w:sz w:val="21"/>
      <w:szCs w:val="22"/>
    </w:rPr>
  </w:style>
  <w:style w:type="paragraph" w:styleId="18">
    <w:name w:val="endnote text"/>
    <w:basedOn w:val="1"/>
    <w:link w:val="47"/>
    <w:unhideWhenUsed/>
    <w:qFormat/>
    <w:uiPriority w:val="99"/>
    <w:pPr>
      <w:snapToGrid w:val="0"/>
      <w:jc w:val="left"/>
    </w:pPr>
  </w:style>
  <w:style w:type="paragraph" w:styleId="19">
    <w:name w:val="Balloon Text"/>
    <w:basedOn w:val="1"/>
    <w:link w:val="44"/>
    <w:unhideWhenUsed/>
    <w:qFormat/>
    <w:uiPriority w:val="99"/>
    <w:pPr>
      <w:spacing w:line="240" w:lineRule="auto"/>
    </w:pPr>
    <w:rPr>
      <w:sz w:val="18"/>
      <w:szCs w:val="18"/>
    </w:rPr>
  </w:style>
  <w:style w:type="paragraph" w:styleId="20">
    <w:name w:val="footer"/>
    <w:link w:val="42"/>
    <w:unhideWhenUsed/>
    <w:qFormat/>
    <w:uiPriority w:val="99"/>
    <w:pPr>
      <w:tabs>
        <w:tab w:val="center" w:pos="4153"/>
        <w:tab w:val="right" w:pos="8306"/>
      </w:tabs>
      <w:snapToGrid w:val="0"/>
    </w:pPr>
    <w:rPr>
      <w:rFonts w:ascii="Times New Roman" w:hAnsi="Times New Roman" w:eastAsia="宋体" w:cs="Times New Roman"/>
      <w:kern w:val="2"/>
      <w:sz w:val="18"/>
      <w:szCs w:val="18"/>
      <w:lang w:val="en-US" w:eastAsia="zh-CN" w:bidi="ar-SA"/>
    </w:rPr>
  </w:style>
  <w:style w:type="paragraph" w:styleId="21">
    <w:name w:val="header"/>
    <w:link w:val="40"/>
    <w:unhideWhenUsed/>
    <w:qFormat/>
    <w:uiPriority w:val="99"/>
    <w:pPr>
      <w:pBdr>
        <w:bottom w:val="single" w:color="auto" w:sz="6" w:space="1"/>
      </w:pBdr>
      <w:tabs>
        <w:tab w:val="center" w:pos="4153"/>
        <w:tab w:val="right" w:pos="8306"/>
      </w:tabs>
      <w:snapToGrid w:val="0"/>
      <w:jc w:val="center"/>
    </w:pPr>
    <w:rPr>
      <w:rFonts w:ascii="Euclid" w:hAnsi="Euclid" w:eastAsia="宋体" w:cs="Times New Roman"/>
      <w:kern w:val="2"/>
      <w:sz w:val="18"/>
      <w:szCs w:val="18"/>
      <w:lang w:val="en-US" w:eastAsia="zh-CN" w:bidi="ar-SA"/>
    </w:rPr>
  </w:style>
  <w:style w:type="paragraph" w:styleId="22">
    <w:name w:val="toc 1"/>
    <w:next w:val="1"/>
    <w:unhideWhenUsed/>
    <w:qFormat/>
    <w:uiPriority w:val="39"/>
    <w:pPr>
      <w:spacing w:before="50" w:beforeLines="50"/>
    </w:pPr>
    <w:rPr>
      <w:rFonts w:ascii="Times New Roman" w:hAnsi="Times New Roman" w:eastAsia="黑体" w:cs="Times New Roman"/>
      <w:b/>
      <w:kern w:val="2"/>
      <w:sz w:val="24"/>
      <w:szCs w:val="21"/>
      <w:lang w:val="en-US" w:eastAsia="zh-CN" w:bidi="ar-SA"/>
    </w:rPr>
  </w:style>
  <w:style w:type="paragraph" w:styleId="23">
    <w:name w:val="toc 4"/>
    <w:next w:val="1"/>
    <w:unhideWhenUsed/>
    <w:qFormat/>
    <w:uiPriority w:val="39"/>
    <w:pPr>
      <w:spacing w:line="440" w:lineRule="exact"/>
      <w:ind w:left="1259"/>
    </w:pPr>
    <w:rPr>
      <w:rFonts w:ascii="Times New Roman" w:hAnsi="Times New Roman" w:eastAsia="宋体" w:cs="Times New Roman"/>
      <w:kern w:val="2"/>
      <w:sz w:val="24"/>
      <w:szCs w:val="21"/>
      <w:lang w:val="en-US" w:eastAsia="zh-CN" w:bidi="ar-SA"/>
    </w:rPr>
  </w:style>
  <w:style w:type="paragraph" w:styleId="24">
    <w:name w:val="footnote text"/>
    <w:link w:val="50"/>
    <w:unhideWhenUsed/>
    <w:qFormat/>
    <w:uiPriority w:val="99"/>
    <w:pPr>
      <w:snapToGrid w:val="0"/>
    </w:pPr>
    <w:rPr>
      <w:rFonts w:ascii="Times New Roman" w:hAnsi="Times New Roman" w:eastAsia="宋体" w:cs="Times New Roman"/>
      <w:kern w:val="2"/>
      <w:sz w:val="18"/>
      <w:szCs w:val="18"/>
      <w:lang w:val="en-US" w:eastAsia="zh-CN" w:bidi="ar-SA"/>
    </w:rPr>
  </w:style>
  <w:style w:type="paragraph" w:styleId="25">
    <w:name w:val="toc 6"/>
    <w:basedOn w:val="1"/>
    <w:next w:val="1"/>
    <w:unhideWhenUsed/>
    <w:qFormat/>
    <w:uiPriority w:val="39"/>
    <w:pPr>
      <w:spacing w:line="240" w:lineRule="auto"/>
      <w:ind w:left="2100" w:leftChars="1000" w:firstLine="0" w:firstLineChars="0"/>
      <w:textAlignment w:val="auto"/>
    </w:pPr>
    <w:rPr>
      <w:rFonts w:ascii="Calibri" w:hAnsi="Calibri"/>
      <w:sz w:val="21"/>
      <w:szCs w:val="22"/>
    </w:rPr>
  </w:style>
  <w:style w:type="paragraph" w:styleId="26">
    <w:name w:val="table of figures"/>
    <w:next w:val="1"/>
    <w:unhideWhenUsed/>
    <w:qFormat/>
    <w:uiPriority w:val="99"/>
    <w:pPr>
      <w:spacing w:line="440" w:lineRule="exact"/>
    </w:pPr>
    <w:rPr>
      <w:rFonts w:ascii="Times New Roman" w:hAnsi="Times New Roman" w:eastAsia="宋体" w:cs="Times New Roman"/>
      <w:kern w:val="2"/>
      <w:sz w:val="24"/>
      <w:szCs w:val="21"/>
      <w:lang w:val="en-US" w:eastAsia="zh-CN" w:bidi="ar-SA"/>
    </w:rPr>
  </w:style>
  <w:style w:type="paragraph" w:styleId="27">
    <w:name w:val="toc 2"/>
    <w:next w:val="1"/>
    <w:unhideWhenUsed/>
    <w:qFormat/>
    <w:uiPriority w:val="39"/>
    <w:pPr>
      <w:spacing w:line="440" w:lineRule="exact"/>
      <w:ind w:left="420"/>
    </w:pPr>
    <w:rPr>
      <w:rFonts w:ascii="Times New Roman" w:hAnsi="Times New Roman" w:eastAsia="宋体" w:cs="Times New Roman"/>
      <w:kern w:val="2"/>
      <w:sz w:val="24"/>
      <w:szCs w:val="21"/>
      <w:lang w:val="en-US" w:eastAsia="zh-CN" w:bidi="ar-SA"/>
    </w:rPr>
  </w:style>
  <w:style w:type="paragraph" w:styleId="28">
    <w:name w:val="toc 9"/>
    <w:basedOn w:val="1"/>
    <w:next w:val="1"/>
    <w:unhideWhenUsed/>
    <w:qFormat/>
    <w:uiPriority w:val="39"/>
    <w:pPr>
      <w:spacing w:line="240" w:lineRule="auto"/>
      <w:ind w:left="3360" w:leftChars="1600" w:firstLine="0" w:firstLineChars="0"/>
      <w:textAlignment w:val="auto"/>
    </w:pPr>
    <w:rPr>
      <w:rFonts w:ascii="Calibri" w:hAnsi="Calibri"/>
      <w:sz w:val="21"/>
      <w:szCs w:val="22"/>
    </w:rPr>
  </w:style>
  <w:style w:type="paragraph" w:styleId="29">
    <w:name w:val="Normal (Web)"/>
    <w:basedOn w:val="1"/>
    <w:semiHidden/>
    <w:unhideWhenUsed/>
    <w:qFormat/>
    <w:uiPriority w:val="99"/>
    <w:rPr>
      <w:sz w:val="24"/>
    </w:rPr>
  </w:style>
  <w:style w:type="table" w:styleId="31">
    <w:name w:val="Table Grid"/>
    <w:basedOn w:val="30"/>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3">
    <w:name w:val="Strong"/>
    <w:basedOn w:val="32"/>
    <w:qFormat/>
    <w:uiPriority w:val="0"/>
    <w:rPr>
      <w:b/>
    </w:rPr>
  </w:style>
  <w:style w:type="character" w:styleId="34">
    <w:name w:val="endnote reference"/>
    <w:unhideWhenUsed/>
    <w:qFormat/>
    <w:uiPriority w:val="99"/>
    <w:rPr>
      <w:vertAlign w:val="superscript"/>
    </w:rPr>
  </w:style>
  <w:style w:type="character" w:styleId="35">
    <w:name w:val="FollowedHyperlink"/>
    <w:unhideWhenUsed/>
    <w:qFormat/>
    <w:uiPriority w:val="99"/>
    <w:rPr>
      <w:color w:val="800080"/>
      <w:u w:val="single"/>
    </w:rPr>
  </w:style>
  <w:style w:type="character" w:styleId="36">
    <w:name w:val="Emphasis"/>
    <w:basedOn w:val="32"/>
    <w:qFormat/>
    <w:uiPriority w:val="20"/>
    <w:rPr>
      <w:i/>
    </w:rPr>
  </w:style>
  <w:style w:type="character" w:styleId="37">
    <w:name w:val="Hyperlink"/>
    <w:unhideWhenUsed/>
    <w:qFormat/>
    <w:uiPriority w:val="99"/>
    <w:rPr>
      <w:color w:val="0000FF"/>
      <w:u w:val="single"/>
    </w:rPr>
  </w:style>
  <w:style w:type="character" w:styleId="38">
    <w:name w:val="footnote reference"/>
    <w:unhideWhenUsed/>
    <w:qFormat/>
    <w:uiPriority w:val="99"/>
    <w:rPr>
      <w:vertAlign w:val="superscript"/>
    </w:rPr>
  </w:style>
  <w:style w:type="character" w:customStyle="1" w:styleId="39">
    <w:name w:val="标题 2 Char"/>
    <w:link w:val="3"/>
    <w:qFormat/>
    <w:uiPriority w:val="9"/>
    <w:rPr>
      <w:rFonts w:ascii="Times New Roman" w:hAnsi="Times New Roman" w:eastAsia="黑体"/>
      <w:b/>
      <w:bCs/>
      <w:kern w:val="2"/>
      <w:sz w:val="30"/>
      <w:szCs w:val="32"/>
      <w:lang w:bidi="ar-SA"/>
    </w:rPr>
  </w:style>
  <w:style w:type="character" w:customStyle="1" w:styleId="40">
    <w:name w:val="页眉 Char"/>
    <w:link w:val="21"/>
    <w:qFormat/>
    <w:uiPriority w:val="99"/>
    <w:rPr>
      <w:rFonts w:ascii="Euclid" w:hAnsi="Euclid"/>
      <w:kern w:val="2"/>
      <w:sz w:val="18"/>
      <w:szCs w:val="18"/>
      <w:lang w:val="en-US" w:eastAsia="zh-CN" w:bidi="ar-SA"/>
    </w:rPr>
  </w:style>
  <w:style w:type="character" w:customStyle="1" w:styleId="41">
    <w:name w:val="标题 1 Char"/>
    <w:link w:val="2"/>
    <w:qFormat/>
    <w:uiPriority w:val="9"/>
    <w:rPr>
      <w:rFonts w:ascii="Times New Roman" w:hAnsi="Times New Roman" w:eastAsia="黑体"/>
      <w:b/>
      <w:bCs/>
      <w:kern w:val="44"/>
      <w:sz w:val="44"/>
      <w:szCs w:val="44"/>
      <w:lang w:bidi="ar-SA"/>
    </w:rPr>
  </w:style>
  <w:style w:type="character" w:customStyle="1" w:styleId="42">
    <w:name w:val="页脚 Char"/>
    <w:link w:val="20"/>
    <w:qFormat/>
    <w:uiPriority w:val="99"/>
    <w:rPr>
      <w:rFonts w:ascii="Times New Roman" w:hAnsi="Times New Roman"/>
      <w:kern w:val="2"/>
      <w:sz w:val="18"/>
      <w:szCs w:val="18"/>
      <w:lang w:val="en-US" w:eastAsia="zh-CN" w:bidi="ar-SA"/>
    </w:rPr>
  </w:style>
  <w:style w:type="character" w:customStyle="1" w:styleId="43">
    <w:name w:val="标题 3 Char"/>
    <w:link w:val="4"/>
    <w:qFormat/>
    <w:uiPriority w:val="9"/>
    <w:rPr>
      <w:rFonts w:ascii="Times New Roman" w:hAnsi="Times New Roman" w:eastAsia="黑体"/>
      <w:b/>
      <w:bCs/>
      <w:kern w:val="2"/>
      <w:sz w:val="28"/>
      <w:szCs w:val="32"/>
      <w:lang w:bidi="ar-SA"/>
    </w:rPr>
  </w:style>
  <w:style w:type="character" w:customStyle="1" w:styleId="44">
    <w:name w:val="批注框文本 Char"/>
    <w:link w:val="19"/>
    <w:semiHidden/>
    <w:qFormat/>
    <w:uiPriority w:val="99"/>
    <w:rPr>
      <w:rFonts w:ascii="Times New Roman" w:hAnsi="Times New Roman"/>
      <w:kern w:val="2"/>
      <w:sz w:val="18"/>
      <w:szCs w:val="18"/>
    </w:rPr>
  </w:style>
  <w:style w:type="character" w:customStyle="1" w:styleId="45">
    <w:name w:val="标题 4 Char"/>
    <w:link w:val="5"/>
    <w:qFormat/>
    <w:uiPriority w:val="9"/>
    <w:rPr>
      <w:rFonts w:ascii="Times New Roman" w:hAnsi="Times New Roman" w:eastAsia="黑体"/>
      <w:b/>
      <w:bCs/>
      <w:kern w:val="2"/>
      <w:sz w:val="24"/>
      <w:szCs w:val="28"/>
      <w:lang w:bidi="ar-SA"/>
    </w:rPr>
  </w:style>
  <w:style w:type="character" w:customStyle="1" w:styleId="46">
    <w:name w:val="文档结构图 Char"/>
    <w:link w:val="13"/>
    <w:semiHidden/>
    <w:qFormat/>
    <w:uiPriority w:val="99"/>
    <w:rPr>
      <w:rFonts w:ascii="宋体" w:hAnsi="Euclid"/>
      <w:kern w:val="2"/>
      <w:sz w:val="18"/>
      <w:szCs w:val="18"/>
    </w:rPr>
  </w:style>
  <w:style w:type="character" w:customStyle="1" w:styleId="47">
    <w:name w:val="尾注文本 Char"/>
    <w:link w:val="18"/>
    <w:semiHidden/>
    <w:qFormat/>
    <w:uiPriority w:val="99"/>
    <w:rPr>
      <w:rFonts w:ascii="Times New Roman" w:hAnsi="Times New Roman"/>
      <w:kern w:val="2"/>
      <w:sz w:val="24"/>
      <w:szCs w:val="21"/>
    </w:rPr>
  </w:style>
  <w:style w:type="character" w:customStyle="1" w:styleId="48">
    <w:name w:val="MTDisplayEquation Char"/>
    <w:link w:val="49"/>
    <w:qFormat/>
    <w:uiPriority w:val="0"/>
    <w:rPr>
      <w:rFonts w:ascii="Times New Roman" w:hAnsi="Times New Roman"/>
      <w:kern w:val="2"/>
      <w:sz w:val="24"/>
      <w:szCs w:val="21"/>
      <w:lang w:val="en-US" w:eastAsia="zh-CN" w:bidi="ar-SA"/>
    </w:rPr>
  </w:style>
  <w:style w:type="paragraph" w:customStyle="1" w:styleId="49">
    <w:name w:val="MTDisplayEquation"/>
    <w:next w:val="1"/>
    <w:link w:val="48"/>
    <w:qFormat/>
    <w:uiPriority w:val="0"/>
    <w:pPr>
      <w:tabs>
        <w:tab w:val="center" w:pos="4253"/>
        <w:tab w:val="right" w:pos="8505"/>
      </w:tabs>
      <w:textAlignment w:val="center"/>
    </w:pPr>
    <w:rPr>
      <w:rFonts w:ascii="Times New Roman" w:hAnsi="Times New Roman" w:eastAsia="宋体" w:cs="Times New Roman"/>
      <w:kern w:val="2"/>
      <w:sz w:val="24"/>
      <w:szCs w:val="21"/>
      <w:lang w:val="en-US" w:eastAsia="zh-CN" w:bidi="ar-SA"/>
    </w:rPr>
  </w:style>
  <w:style w:type="character" w:customStyle="1" w:styleId="50">
    <w:name w:val="脚注文本 Char"/>
    <w:link w:val="24"/>
    <w:qFormat/>
    <w:uiPriority w:val="99"/>
    <w:rPr>
      <w:rFonts w:ascii="Times New Roman" w:hAnsi="Times New Roman"/>
      <w:kern w:val="2"/>
      <w:sz w:val="18"/>
      <w:szCs w:val="18"/>
      <w:lang w:val="en-US" w:eastAsia="zh-CN" w:bidi="ar-SA"/>
    </w:rPr>
  </w:style>
  <w:style w:type="character" w:customStyle="1" w:styleId="51">
    <w:name w:val="上标"/>
    <w:qFormat/>
    <w:uiPriority w:val="2"/>
    <w:rPr>
      <w:rFonts w:ascii="Times New Roman" w:hAnsi="Times New Roman"/>
      <w:vertAlign w:val="superscript"/>
    </w:rPr>
  </w:style>
  <w:style w:type="character" w:customStyle="1" w:styleId="52">
    <w:name w:val="MTEquationSection"/>
    <w:qFormat/>
    <w:uiPriority w:val="0"/>
    <w:rPr>
      <w:color w:val="FF0000"/>
    </w:rPr>
  </w:style>
  <w:style w:type="character" w:customStyle="1" w:styleId="53">
    <w:name w:val="下标"/>
    <w:qFormat/>
    <w:uiPriority w:val="2"/>
    <w:rPr>
      <w:rFonts w:ascii="Times New Roman" w:hAnsi="Times New Roman"/>
      <w:vertAlign w:val="subscript"/>
    </w:rPr>
  </w:style>
  <w:style w:type="character" w:customStyle="1" w:styleId="54">
    <w:name w:val="纯文本 Char"/>
    <w:semiHidden/>
    <w:qFormat/>
    <w:uiPriority w:val="99"/>
    <w:rPr>
      <w:rFonts w:ascii="宋体" w:hAnsi="Courier New" w:cs="Courier New"/>
      <w:kern w:val="2"/>
      <w:sz w:val="21"/>
      <w:szCs w:val="21"/>
    </w:rPr>
  </w:style>
  <w:style w:type="character" w:customStyle="1" w:styleId="55">
    <w:name w:val="纯文本 Char1"/>
    <w:link w:val="16"/>
    <w:qFormat/>
    <w:uiPriority w:val="0"/>
    <w:rPr>
      <w:rFonts w:ascii="宋体" w:hAnsi="Courier New" w:cs="Courier New"/>
      <w:kern w:val="2"/>
      <w:sz w:val="21"/>
      <w:szCs w:val="21"/>
    </w:rPr>
  </w:style>
  <w:style w:type="character" w:customStyle="1" w:styleId="56">
    <w:name w:val="编 Char"/>
    <w:link w:val="57"/>
    <w:qFormat/>
    <w:uiPriority w:val="0"/>
    <w:rPr>
      <w:rFonts w:ascii="Times New Roman" w:hAnsi="Times New Roman"/>
      <w:kern w:val="2"/>
      <w:sz w:val="24"/>
      <w:szCs w:val="24"/>
    </w:rPr>
  </w:style>
  <w:style w:type="paragraph" w:customStyle="1" w:styleId="57">
    <w:name w:val="编"/>
    <w:basedOn w:val="1"/>
    <w:next w:val="1"/>
    <w:link w:val="56"/>
    <w:qFormat/>
    <w:uiPriority w:val="0"/>
    <w:pPr>
      <w:ind w:left="420" w:firstLine="0" w:firstLineChars="0"/>
      <w:textAlignment w:val="auto"/>
    </w:pPr>
    <w:rPr>
      <w:szCs w:val="24"/>
    </w:rPr>
  </w:style>
  <w:style w:type="paragraph" w:customStyle="1" w:styleId="58">
    <w:name w:val="Keywords"/>
    <w:next w:val="59"/>
    <w:qFormat/>
    <w:uiPriority w:val="0"/>
    <w:pPr>
      <w:spacing w:before="163" w:after="163"/>
    </w:pPr>
    <w:rPr>
      <w:rFonts w:ascii="Times New Roman" w:hAnsi="Times New Roman" w:eastAsia="宋体" w:cs="Times New Roman"/>
      <w:b/>
      <w:kern w:val="2"/>
      <w:sz w:val="24"/>
      <w:szCs w:val="21"/>
      <w:lang w:val="en-US" w:eastAsia="zh-CN" w:bidi="ar-SA"/>
    </w:rPr>
  </w:style>
  <w:style w:type="paragraph" w:customStyle="1" w:styleId="59">
    <w:name w:val="EngText"/>
    <w:qFormat/>
    <w:uiPriority w:val="0"/>
    <w:pPr>
      <w:spacing w:before="50" w:beforeLines="50" w:after="50" w:afterLines="50" w:line="360" w:lineRule="exact"/>
    </w:pPr>
    <w:rPr>
      <w:rFonts w:ascii="Times New Roman" w:hAnsi="Times New Roman" w:eastAsia="宋体" w:cs="Times New Roman"/>
      <w:kern w:val="2"/>
      <w:sz w:val="24"/>
      <w:szCs w:val="21"/>
      <w:lang w:val="en-US" w:eastAsia="zh-CN" w:bidi="ar-SA"/>
    </w:rPr>
  </w:style>
  <w:style w:type="paragraph" w:customStyle="1" w:styleId="60">
    <w:name w:val="附录样式4"/>
    <w:basedOn w:val="5"/>
    <w:next w:val="1"/>
    <w:qFormat/>
    <w:uiPriority w:val="6"/>
    <w:pPr>
      <w:numPr>
        <w:ilvl w:val="3"/>
        <w:numId w:val="2"/>
      </w:numPr>
      <w:spacing w:before="80"/>
    </w:pPr>
  </w:style>
  <w:style w:type="paragraph" w:customStyle="1" w:styleId="61">
    <w:name w:val="摘要目录附件"/>
    <w:next w:val="1"/>
    <w:qFormat/>
    <w:uiPriority w:val="0"/>
    <w:pPr>
      <w:pageBreakBefore/>
      <w:spacing w:before="100" w:beforeLines="100" w:after="100" w:afterLines="100" w:line="360" w:lineRule="auto"/>
      <w:jc w:val="center"/>
    </w:pPr>
    <w:rPr>
      <w:rFonts w:ascii="Times New Roman" w:hAnsi="Times New Roman" w:eastAsia="黑体" w:cs="Times New Roman"/>
      <w:b/>
      <w:kern w:val="2"/>
      <w:sz w:val="44"/>
      <w:szCs w:val="21"/>
      <w:lang w:val="en-US" w:eastAsia="zh-CN" w:bidi="ar-SA"/>
    </w:rPr>
  </w:style>
  <w:style w:type="paragraph" w:customStyle="1" w:styleId="62">
    <w:name w:val="附录样式1"/>
    <w:basedOn w:val="2"/>
    <w:next w:val="1"/>
    <w:qFormat/>
    <w:uiPriority w:val="6"/>
    <w:pPr>
      <w:numPr>
        <w:ilvl w:val="0"/>
        <w:numId w:val="2"/>
      </w:numPr>
      <w:spacing w:line="360" w:lineRule="auto"/>
    </w:pPr>
    <w:rPr>
      <w:sz w:val="32"/>
    </w:rPr>
  </w:style>
  <w:style w:type="paragraph" w:customStyle="1" w:styleId="63">
    <w:name w:val="封面作者"/>
    <w:qFormat/>
    <w:uiPriority w:val="0"/>
    <w:pPr>
      <w:jc w:val="center"/>
    </w:pPr>
    <w:rPr>
      <w:rFonts w:ascii="Times New Roman" w:hAnsi="Times New Roman" w:eastAsia="黑体" w:cs="Times New Roman"/>
      <w:kern w:val="2"/>
      <w:sz w:val="36"/>
      <w:szCs w:val="21"/>
      <w:lang w:val="en-US" w:eastAsia="zh-CN" w:bidi="ar-SA"/>
    </w:rPr>
  </w:style>
  <w:style w:type="paragraph" w:customStyle="1" w:styleId="64">
    <w:name w:val="正文强调"/>
    <w:next w:val="1"/>
    <w:qFormat/>
    <w:uiPriority w:val="0"/>
    <w:pPr>
      <w:keepNext/>
      <w:spacing w:line="360" w:lineRule="auto"/>
      <w:ind w:firstLine="200" w:firstLineChars="200"/>
    </w:pPr>
    <w:rPr>
      <w:rFonts w:ascii="Times New Roman" w:hAnsi="Times New Roman" w:eastAsia="宋体" w:cs="Times New Roman"/>
      <w:b/>
      <w:kern w:val="2"/>
      <w:sz w:val="24"/>
      <w:szCs w:val="21"/>
      <w:lang w:val="en-US" w:eastAsia="zh-CN" w:bidi="ar-SA"/>
    </w:rPr>
  </w:style>
  <w:style w:type="paragraph" w:customStyle="1" w:styleId="65">
    <w:name w:val="图表注释"/>
    <w:next w:val="1"/>
    <w:qFormat/>
    <w:uiPriority w:val="0"/>
    <w:pPr>
      <w:spacing w:after="120"/>
    </w:pPr>
    <w:rPr>
      <w:rFonts w:ascii="Times New Roman" w:hAnsi="Times New Roman" w:eastAsia="宋体" w:cs="Times New Roman"/>
      <w:kern w:val="2"/>
      <w:sz w:val="18"/>
      <w:szCs w:val="21"/>
      <w:lang w:val="en-US" w:eastAsia="zh-CN" w:bidi="ar-SA"/>
    </w:rPr>
  </w:style>
  <w:style w:type="paragraph" w:customStyle="1" w:styleId="66">
    <w:name w:val="EngTitle"/>
    <w:next w:val="1"/>
    <w:qFormat/>
    <w:uiPriority w:val="0"/>
    <w:pPr>
      <w:pageBreakBefore/>
      <w:spacing w:before="150" w:beforeLines="150" w:after="100" w:afterLines="100" w:line="520" w:lineRule="exact"/>
      <w:jc w:val="center"/>
    </w:pPr>
    <w:rPr>
      <w:rFonts w:ascii="Times New Roman" w:hAnsi="Times New Roman" w:eastAsia="宋体" w:cs="Times New Roman"/>
      <w:b/>
      <w:kern w:val="2"/>
      <w:sz w:val="32"/>
      <w:szCs w:val="21"/>
      <w:lang w:val="en-US" w:eastAsia="zh-CN" w:bidi="ar-SA"/>
    </w:rPr>
  </w:style>
  <w:style w:type="paragraph" w:styleId="67">
    <w:name w:val="List Paragraph"/>
    <w:basedOn w:val="1"/>
    <w:qFormat/>
    <w:uiPriority w:val="34"/>
    <w:pPr>
      <w:spacing w:line="240" w:lineRule="auto"/>
      <w:ind w:firstLine="420"/>
      <w:textAlignment w:val="auto"/>
    </w:pPr>
    <w:rPr>
      <w:rFonts w:ascii="Calibri" w:hAnsi="Calibri" w:eastAsia="宋体" w:cs="Times New Roman"/>
      <w:sz w:val="21"/>
      <w:szCs w:val="22"/>
    </w:rPr>
  </w:style>
  <w:style w:type="paragraph" w:customStyle="1" w:styleId="68">
    <w:name w:val="关键词"/>
    <w:next w:val="1"/>
    <w:qFormat/>
    <w:uiPriority w:val="0"/>
    <w:pPr>
      <w:spacing w:before="50" w:beforeLines="50" w:after="50" w:afterLines="50" w:line="360" w:lineRule="auto"/>
    </w:pPr>
    <w:rPr>
      <w:rFonts w:ascii="Times New Roman" w:hAnsi="Times New Roman" w:eastAsia="黑体" w:cs="Times New Roman"/>
      <w:b/>
      <w:kern w:val="2"/>
      <w:sz w:val="24"/>
      <w:szCs w:val="21"/>
      <w:lang w:val="en-US" w:eastAsia="zh-CN" w:bidi="ar-SA"/>
    </w:rPr>
  </w:style>
  <w:style w:type="paragraph" w:customStyle="1" w:styleId="69">
    <w:name w:val="EngName"/>
    <w:next w:val="1"/>
    <w:qFormat/>
    <w:uiPriority w:val="0"/>
    <w:pPr>
      <w:spacing w:line="440" w:lineRule="exact"/>
      <w:jc w:val="center"/>
    </w:pPr>
    <w:rPr>
      <w:rFonts w:ascii="Times New Roman" w:hAnsi="Times New Roman" w:eastAsia="宋体" w:cs="Times New Roman"/>
      <w:kern w:val="2"/>
      <w:sz w:val="24"/>
      <w:szCs w:val="21"/>
      <w:lang w:val="en-US" w:eastAsia="zh-CN" w:bidi="ar-SA"/>
    </w:rPr>
  </w:style>
  <w:style w:type="paragraph" w:customStyle="1" w:styleId="70">
    <w:name w:val="封面书名"/>
    <w:next w:val="1"/>
    <w:qFormat/>
    <w:uiPriority w:val="0"/>
    <w:pPr>
      <w:spacing w:beforeLines="500"/>
      <w:jc w:val="center"/>
    </w:pPr>
    <w:rPr>
      <w:rFonts w:ascii="Times New Roman" w:hAnsi="Times New Roman" w:eastAsia="黑体" w:cs="Times New Roman"/>
      <w:b/>
      <w:kern w:val="2"/>
      <w:sz w:val="64"/>
      <w:szCs w:val="21"/>
      <w:lang w:val="en-US" w:eastAsia="zh-CN" w:bidi="ar-SA"/>
    </w:rPr>
  </w:style>
  <w:style w:type="paragraph" w:customStyle="1" w:styleId="71">
    <w:name w:val="Abstract"/>
    <w:next w:val="1"/>
    <w:qFormat/>
    <w:uiPriority w:val="0"/>
    <w:pPr>
      <w:spacing w:before="100" w:beforeLines="100" w:after="100" w:afterLines="100"/>
      <w:jc w:val="center"/>
    </w:pPr>
    <w:rPr>
      <w:rFonts w:ascii="Times New Roman" w:hAnsi="Times New Roman" w:eastAsia="宋体" w:cs="Times New Roman"/>
      <w:b/>
      <w:kern w:val="2"/>
      <w:sz w:val="32"/>
      <w:szCs w:val="21"/>
      <w:lang w:val="en-US" w:eastAsia="zh-CN" w:bidi="ar-SA"/>
    </w:rPr>
  </w:style>
  <w:style w:type="paragraph" w:customStyle="1" w:styleId="72">
    <w:name w:val="附录样式3"/>
    <w:basedOn w:val="4"/>
    <w:next w:val="1"/>
    <w:qFormat/>
    <w:uiPriority w:val="6"/>
    <w:pPr>
      <w:numPr>
        <w:ilvl w:val="2"/>
        <w:numId w:val="2"/>
      </w:numPr>
    </w:pPr>
  </w:style>
  <w:style w:type="paragraph" w:customStyle="1" w:styleId="73">
    <w:name w:val="附录样式2"/>
    <w:basedOn w:val="3"/>
    <w:next w:val="1"/>
    <w:qFormat/>
    <w:uiPriority w:val="6"/>
    <w:pPr>
      <w:numPr>
        <w:ilvl w:val="1"/>
        <w:numId w:val="2"/>
      </w:numPr>
      <w:spacing w:before="0"/>
    </w:pPr>
  </w:style>
  <w:style w:type="paragraph" w:customStyle="1" w:styleId="74">
    <w:name w:val="图片"/>
    <w:next w:val="1"/>
    <w:qFormat/>
    <w:uiPriority w:val="0"/>
    <w:pPr>
      <w:keepNext/>
      <w:spacing w:before="50" w:beforeLines="50"/>
      <w:jc w:val="center"/>
    </w:pPr>
    <w:rPr>
      <w:rFonts w:ascii="Times New Roman" w:hAnsi="Times New Roman" w:eastAsia="宋体" w:cs="Times New Roman"/>
      <w:b/>
      <w:kern w:val="2"/>
      <w:sz w:val="21"/>
      <w:lang w:val="en-US" w:eastAsia="zh-CN" w:bidi="ar-SA"/>
    </w:rPr>
  </w:style>
  <w:style w:type="paragraph" w:customStyle="1" w:styleId="75">
    <w:name w:val="表格文字"/>
    <w:qFormat/>
    <w:uiPriority w:val="0"/>
    <w:pPr>
      <w:keepNext/>
      <w:jc w:val="center"/>
    </w:pPr>
    <w:rPr>
      <w:rFonts w:ascii="Times New Roman" w:hAnsi="Times New Roman" w:eastAsia="宋体" w:cs="Times New Roman"/>
      <w:kern w:val="2"/>
      <w:sz w:val="21"/>
      <w:szCs w:val="21"/>
      <w:lang w:val="en-US" w:eastAsia="zh-CN" w:bidi="ar-SA"/>
    </w:rPr>
  </w:style>
  <w:style w:type="paragraph" w:customStyle="1" w:styleId="76">
    <w:name w:val="正文项目列表"/>
    <w:next w:val="1"/>
    <w:qFormat/>
    <w:uiPriority w:val="0"/>
    <w:pPr>
      <w:spacing w:line="360" w:lineRule="auto"/>
    </w:pPr>
    <w:rPr>
      <w:rFonts w:ascii="Times New Roman" w:hAnsi="Times New Roman" w:eastAsia="宋体" w:cs="Times New Roman"/>
      <w:kern w:val="2"/>
      <w:sz w:val="24"/>
      <w:szCs w:val="21"/>
      <w:lang w:val="en-US" w:eastAsia="zh-CN" w:bidi="ar-SA"/>
    </w:rPr>
  </w:style>
  <w:style w:type="table" w:customStyle="1" w:styleId="77">
    <w:name w:val="表格格式"/>
    <w:basedOn w:val="30"/>
    <w:qFormat/>
    <w:uiPriority w:val="99"/>
    <w:pPr>
      <w:keepNext/>
      <w:jc w:val="center"/>
    </w:pPr>
    <w:rPr>
      <w:rFonts w:ascii="Times New Roman" w:hAnsi="Times New Roman"/>
      <w:sz w:val="21"/>
    </w:rPr>
    <w:tblPr>
      <w:jc w:val="center"/>
      <w:tblBorders>
        <w:top w:val="single" w:color="auto" w:sz="12" w:space="0"/>
        <w:bottom w:val="single" w:color="auto" w:sz="12" w:space="0"/>
        <w:insideH w:val="single" w:color="auto" w:sz="4" w:space="0"/>
        <w:insideV w:val="single" w:color="auto" w:sz="4" w:space="0"/>
      </w:tblBorders>
    </w:tblPr>
    <w:trPr>
      <w:tblHeader/>
      <w:jc w:val="center"/>
    </w:trPr>
    <w:tcPr>
      <w:vAlign w:val="center"/>
    </w:tcPr>
    <w:tblStylePr w:type="firstRow">
      <w:rPr>
        <w:rFonts w:ascii="Times New Roman" w:hAnsi="Times New Roman"/>
        <w:b w:val="0"/>
        <w:i w:val="0"/>
        <w:sz w:val="21"/>
      </w:rPr>
    </w:tblStylePr>
    <w:tblStylePr w:type="lastRow">
      <w:pPr>
        <w:keepNext w:val="0"/>
        <w:wordWrap/>
      </w:pPr>
    </w:tblStylePr>
  </w:style>
  <w:style w:type="paragraph" w:customStyle="1" w:styleId="78">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79">
    <w:name w:val="题注 Char"/>
    <w:link w:val="12"/>
    <w:qFormat/>
    <w:uiPriority w:val="0"/>
    <w:rPr>
      <w:rFonts w:ascii="Times New Roman" w:hAnsi="Times New Roman"/>
      <w:b/>
      <w:kern w:val="2"/>
      <w:sz w:val="21"/>
      <w:lang w:val="en-US" w:eastAsia="zh-CN" w:bidi="ar-SA"/>
    </w:rPr>
  </w:style>
  <w:style w:type="character" w:customStyle="1" w:styleId="80">
    <w:name w:val="15"/>
    <w:basedOn w:val="32"/>
    <w:qFormat/>
    <w:uiPriority w:val="0"/>
    <w:rPr>
      <w:rFonts w:hint="default" w:ascii="Times New Roman" w:hAnsi="Times New Roman" w:cs="Times New Roman"/>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footnotes" Target="footnotes.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d96f02af-c3ad-42e1-a897-48c882997a49</errorID>
      <errorWord>医保支付改革</errorWord>
      <group>L1_Word</group>
      <groupName>字词问题</groupName>
      <ability>L2_Typo</ability>
      <abilityName>字词错误</abilityName>
      <candidateList>
        <item>医保支付方式改革</item>
      </candidateList>
      <explain/>
      <paraID>3D5BC5E2</paraID>
      <start>0</start>
      <end>6</end>
      <status>ignored</status>
      <modifiedWord/>
      <trackRevisions>false</trackRevisions>
    </reviewItem>
    <reviewItem>
      <errorID>13d578a2-77f1-44d3-9588-2ceecd60c426</errorID>
      <errorWord>医保支付改革</errorWord>
      <group>L1_Word</group>
      <groupName>字词问题</groupName>
      <ability>L2_Typo</ability>
      <abilityName>字词错误</abilityName>
      <candidateList>
        <item>医保支付方式改革</item>
      </candidateList>
      <explain/>
      <paraID>60CA96DB</paraID>
      <start>7</start>
      <end>13</end>
      <status>ignored</status>
      <modifiedWord/>
      <trackRevisions>false</trackRevisions>
    </reviewItem>
    <reviewItem>
      <errorID>3a72289c-a836-45fb-9a3e-3bca4be3662f</errorID>
      <errorWord>：</errorWord>
      <group>L1_Punc</group>
      <groupName>标点问题</groupName>
      <ability>L2_Punc</ability>
      <abilityName>标点符号检查</abilityName>
      <candidateList>
        <item>。</item>
      </candidateList>
      <explain/>
      <paraID> A3D6A56</paraID>
      <start>10</start>
      <end>11</end>
      <status>modified</status>
      <modifiedWord>。</modifiedWord>
      <trackRevisions>false</trackRevisions>
    </reviewItem>
    <reviewItem>
      <errorID>329fc1fc-45e3-48be-a6ad-b991a97730da</errorID>
      <errorWord>2024</errorWord>
      <group>L1_Word</group>
      <groupName>字词问题</groupName>
      <ability>L2_Typo</ability>
      <abilityName>字词错误</abilityName>
      <candidateList>
        <item>在2024</item>
      </candidateList>
      <explain/>
      <paraID> A3D6A56</paraID>
      <start>239</start>
      <end>244</end>
      <status>modified</status>
      <modifiedWord>在2024</modifiedWord>
      <trackRevisions>false</trackRevisions>
    </reviewItem>
    <reviewItem>
      <errorID>da5f9d02-29ab-481b-951f-8cd3974748b6</errorID>
      <errorWord>；</errorWord>
      <group>L1_Punc</group>
      <groupName>标点问题</groupName>
      <ability>L2_Punc</ability>
      <abilityName>标点符号检查</abilityName>
      <candidateList>
        <item>。</item>
      </candidateList>
      <explain/>
      <paraID> A3D6A56</paraID>
      <start>276</start>
      <end>277</end>
      <status>ignored</status>
      <modifiedWord/>
      <trackRevisions>false</trackRevisions>
    </reviewItem>
    <reviewItem>
      <errorID>5984b386-de02-4638-a35e-afefb96eef33</errorID>
      <errorWord>；</errorWord>
      <group>L1_Punc</group>
      <groupName>标点问题</groupName>
      <ability>L2_Punc</ability>
      <abilityName>标点符号检查</abilityName>
      <candidateList>
        <item>。</item>
      </candidateList>
      <explain/>
      <paraID> A3D6A56</paraID>
      <start>332</start>
      <end>333</end>
      <status>ignored</status>
      <modifiedWord/>
      <trackRevisions>false</trackRevisions>
    </reviewItem>
    <reviewItem>
      <errorID>80ab6f9a-d5da-4589-b2ed-10c8e01046dc</errorID>
      <errorWord>，</errorWord>
      <group>L1_Punc</group>
      <groupName>标点问题</groupName>
      <ability>L2_Punc</ability>
      <abilityName>标点符号检查</abilityName>
      <candidateList>
        <item>。</item>
      </candidateList>
      <explain/>
      <paraID> A3D6A56</paraID>
      <start>368</start>
      <end>369</end>
      <status>ignored</status>
      <modifiedWord/>
      <trackRevisions>false</trackRevisions>
    </reviewItem>
    <reviewItem>
      <errorID>7caf598d-f545-4867-a6fc-8509b7d7d6fc</errorID>
      <errorWord>]and</errorWord>
      <group>L1_Punc</group>
      <groupName>标点问题</groupName>
      <ability>L2_Punc</ability>
      <abilityName>标点符号检查</abilityName>
      <candidateList>
        <item>] and</item>
      </candidateList>
      <explain>此处疑似有空格缺失，建议进行对应的补全，规范书写格式</explain>
      <paraID>7A9C4E7D</paraID>
      <start>355</start>
      <end>360</end>
      <status>modified</status>
      <modifiedWord>] and</modifiedWord>
      <trackRevisions>false</trackRevisions>
    </reviewItem>
    <reviewItem>
      <errorID>dce5d469-ad46-4999-802c-71861dde3596</errorID>
      <errorWord>。</errorWord>
      <group>L1_Punc</group>
      <groupName>标点问题</groupName>
      <ability>L2_Punc</ability>
      <abilityName>标点符号检查</abilityName>
      <candidateList>
        <item>，</item>
      </candidateList>
      <explain/>
      <paraID>4F804FE0</paraID>
      <start>113</start>
      <end>114</end>
      <status>modified</status>
      <modifiedWord>，</modifiedWord>
      <trackRevisions>false</trackRevisions>
    </reviewItem>
    <reviewItem>
      <errorID>bda80176-53af-4e19-b577-088193f2cbcc</errorID>
      <errorWord>医保支付改革</errorWord>
      <group>L1_Word</group>
      <groupName>字词问题</groupName>
      <ability>L2_Typo</ability>
      <abilityName>字词错误</abilityName>
      <candidateList>
        <item>医保支付方式改革</item>
      </candidateList>
      <explain/>
      <paraID>6AB5B7C5</paraID>
      <start>19</start>
      <end>25</end>
      <status>ignored</status>
      <modifiedWord/>
      <trackRevisions>false</trackRevisions>
    </reviewItem>
    <reviewItem>
      <errorID>760bb92b-f71b-4573-a921-0cb288634926</errorID>
      <errorWord>40）、</errorWord>
      <group>L1_Punc</group>
      <groupName>标点问题</groupName>
      <ability>L2_Punc</ability>
      <abilityName>标点符号检查</abilityName>
      <candidateList>
        <item>40）</item>
      </candidateList>
      <explain>根据国标GB/T 15834-2011《标点符号用法》中的4.5.3.3节，带括号的汉字数字或阿拉伯数字表次序时，后面通常不加顿号。如“（一）指导思想”“（二）行动指南”。</explain>
      <paraID> 1980CCE</paraID>
      <start>118</start>
      <end>122</end>
      <status>ignored</status>
      <modifiedWord/>
      <trackRevisions>false</trackRevisions>
    </reviewItem>
    <reviewItem>
      <errorID>8013bef4-acf5-4b4b-99ba-7e1cad5a8b8f</errorID>
      <errorWord>地理标识</errorWord>
      <group>L1_Word</group>
      <groupName>字词问题</groupName>
      <ability>L2_Typo</ability>
      <abilityName>字词错误</abilityName>
      <candidateList>
        <item>地理标志</item>
      </candidateList>
      <explain/>
      <paraID>5D95D42A</paraID>
      <start>38</start>
      <end>42</end>
      <status>ignored</status>
      <modifiedWord/>
      <trackRevisions>false</trackRevisions>
    </reviewItem>
    <reviewItem>
      <errorID>7e8c01df-788d-461c-a847-116e8cced1cf</errorID>
      <errorWord>－</errorWord>
      <group>L1_Punc</group>
      <groupName>标点问题</groupName>
      <ability>L2_Punc</ability>
      <abilityName>标点符号检查</abilityName>
      <candidateList>
        <item>—</item>
      </candidateList>
      <explain/>
      <paraID>1E030F1C</paraID>
      <start>96</start>
      <end>97</end>
      <status>modified</status>
      <modifiedWord>—</modifiedWord>
      <trackRevisions>false</trackRevisions>
    </reviewItem>
    <reviewItem>
      <errorID>1a4bdf12-9cd4-47cd-afe4-6b2d1c5f239e</errorID>
      <errorWord>15%－25%</errorWord>
      <group>L1_Knowledge</group>
      <groupName>知识性问题</groupName>
      <ability>L2_Knowledge</ability>
      <abilityName>其他知识</abilityName>
      <candidateList>
        <item>15%—25%</item>
      </candidateList>
      <explain>1. “15%－25%”中的单位“%”仅出现在后一个数字上，容易引起歧义；根据《现代汉语标点符号数字用法规范手册》，数字表示范围两边需要使用统一的格式。2. 根据标点国标 4.13 中的规则，数字、时间或地域连接符应使用（视觉上更长的）“—”或“～”。</explain>
      <paraID>554A9467</paraID>
      <start>89</start>
      <end>96</end>
      <status>modified</status>
      <modifiedWord>15%—25%</modifiedWord>
      <trackRevisions>false</trackRevisions>
    </reviewItem>
    <reviewItem>
      <errorID>9f70bbc5-c833-4180-b48a-adef49e5b448</errorID>
      <errorWord>8%－10%</errorWord>
      <group>L1_Knowledge</group>
      <groupName>知识性问题</groupName>
      <ability>L2_Knowledge</ability>
      <abilityName>其他知识</abilityName>
      <candidateList>
        <item>8%—10%</item>
      </candidateList>
      <explain>1. “8%－10%”中的单位“%”仅出现在后一个数字上，容易引起歧义；根据《现代汉语标点符号数字用法规范手册》，数字表示范围两边需要使用统一的格式。2. 根据标点国标 4.13 中的规则，数字、时间或地域连接符应使用（视觉上更长的）“—”或“～”。</explain>
      <paraID>554A9467</paraID>
      <start>111</start>
      <end>117</end>
      <status>modified</status>
      <modifiedWord>8%—10%</modifiedWord>
      <trackRevisions>false</trackRevisions>
    </reviewItem>
    <reviewItem>
      <errorID>1c22053a-f043-448d-b59f-2921c37a2e66</errorID>
      <errorWord>间断</errorWord>
      <group>L1_Word</group>
      <groupName>字词问题</groupName>
      <ability>L2_Typo</ability>
      <abilityName>字词错误</abilityName>
      <candidateList>
        <item>断点</item>
      </candidateList>
      <explain/>
      <paraID>7C80CFF5</paraID>
      <start>161</start>
      <end>163</end>
      <status>ignored</status>
      <modifiedWord/>
      <trackRevisions>false</trackRevisions>
    </reviewItem>
    <reviewItem>
      <errorID>8765462c-af44-4949-aea2-46078609d525</errorID>
      <errorWord>47</errorWord>
      <group>L1_Word</group>
      <groupName>字词问题</groupName>
      <ability>L2_Typo</ability>
      <abilityName>字词错误</abilityName>
      <candidateList>
        <item>共47</item>
      </candidateList>
      <explain/>
      <paraID>7C80CFF5</paraID>
      <start>203</start>
      <end>206</end>
      <status>modified</status>
      <modifiedWord>共47</modifiedWord>
      <trackRevisions>false</trackRevisions>
    </reviewItem>
    <reviewItem>
      <errorID>0d35eaa5-5427-4c2a-a037-82f786a3e52c</errorID>
      <errorWord>体现是</errorWord>
      <group>L1_Word</group>
      <groupName>字词问题</groupName>
      <ability>L2_Typo</ability>
      <abilityName>字词错误</abilityName>
      <candidateList>
        <item>体现的是</item>
      </candidateList>
      <explain/>
      <paraID>70D4DEBE</paraID>
      <start>28</start>
      <end>31</end>
      <status>ignored</status>
      <modifiedWord/>
      <trackRevisions>false</trackRevisions>
    </reviewItem>
    <reviewItem>
      <errorID>e8657e1c-6fce-4779-8e72-6f8116bd4287</errorID>
      <errorWord>-</errorWord>
      <group>L1_Format</group>
      <groupName>格式问题</groupName>
      <ability>L2_HalfPunc</ability>
      <abilityName>全半角检查</abilityName>
      <candidateList>
        <item>－</item>
      </candidateList>
      <explain>文本全半角错误。</explain>
      <paraID>75AFBE47</paraID>
      <start>21</start>
      <end>22</end>
      <status>modified</status>
      <modifiedWord>－</modifiedWord>
      <trackRevisions>false</trackRevisions>
    </reviewItem>
    <reviewItem>
      <errorID>9cd764cd-1d5c-4714-a1e5-b692416be95d</errorID>
      <errorWord>医保支付改革</errorWord>
      <group>L1_Word</group>
      <groupName>字词问题</groupName>
      <ability>L2_Typo</ability>
      <abilityName>字词错误</abilityName>
      <candidateList>
        <item>医保支付方式改革</item>
      </candidateList>
      <explain/>
      <paraID>75AFBE47</paraID>
      <start>100</start>
      <end>106</end>
      <status>ignored</status>
      <modifiedWord/>
      <trackRevisions>false</trackRevisions>
    </reviewItem>
    <reviewItem>
      <errorID>a337ce18-d5e7-4d52-95c6-62a6eb8015af</errorID>
      <errorWord>理理</errorWord>
      <group>L1_Word</group>
      <groupName>字词问题</groupName>
      <ability>L2_Typo</ability>
      <abilityName>字词错误</abilityName>
      <candidateList>
        <item>理</item>
      </candidateList>
      <explain/>
      <paraID>75AFBE47</paraID>
      <start>190</start>
      <end>191</end>
      <status>modified</status>
      <modifiedWord>理</modifiedWord>
      <trackRevisions>false</trackRevisions>
    </reviewItem>
    <reviewItem>
      <errorID>4ef83810-64d8-44f6-a956-97f6bbbc9580</errorID>
      <errorWord>提供</errorWord>
      <group>L1_Punc</group>
      <groupName>标点问题</groupName>
      <ability>L2_Punc</ability>
      <abilityName>标点符号检查</abilityName>
      <candidateList>
        <item>，提供</item>
      </candidateList>
      <explain/>
      <paraID>563B6732</paraID>
      <start>44</start>
      <end>46</end>
      <status>ignored</status>
      <modifiedWord/>
      <trackRevisions>false</trackRevisions>
    </reviewItem>
    <reviewItem>
      <errorID>1edfc539-648a-4c45-b3b8-1992a5a1b452</errorID>
      <errorWord>-</errorWord>
      <group>L1_Format</group>
      <groupName>格式问题</groupName>
      <ability>L2_HalfPunc</ability>
      <abilityName>全半角检查</abilityName>
      <candidateList>
        <item>－</item>
      </candidateList>
      <explain>文本全半角错误。</explain>
      <paraID>3D707663</paraID>
      <start>24</start>
      <end>25</end>
      <status>modified</status>
      <modifiedWord>－</modifiedWord>
      <trackRevisions>false</trackRevisions>
    </reviewItem>
    <reviewItem>
      <errorID>8c101d10-047b-40c1-863d-7c8396ef08e4</errorID>
      <errorWord>、</errorWord>
      <group>L1_Punc</group>
      <groupName>标点问题</groupName>
      <ability>L2_Punc</ability>
      <abilityName>标点符号检查</abilityName>
      <candidateList>
        <item>；</item>
      </candidateList>
      <explain/>
      <paraID>7F0C9843</paraID>
      <start>30</start>
      <end>31</end>
      <status>ignored</status>
      <modifiedWord/>
      <trackRevisions>false</trackRevisions>
    </reviewItem>
    <reviewItem>
      <errorID>2f7fe4cb-1acc-4bf6-b62f-af85ed2342c3</errorID>
      <errorWord>、</errorWord>
      <group>L1_Punc</group>
      <groupName>标点问题</groupName>
      <ability>L2_Punc</ability>
      <abilityName>标点符号检查</abilityName>
      <candidateList>
        <item>；</item>
      </candidateList>
      <explain/>
      <paraID>7F0C9843</paraID>
      <start>46</start>
      <end>47</end>
      <status>ignored</status>
      <modifiedWord/>
      <trackRevisions>false</trackRevisions>
    </reviewItem>
    <reviewItem>
      <errorID>3f9034fe-c1ec-47c7-94b7-ca6397d9a011</errorID>
      <errorWord>这通过</errorWord>
      <group>L1_Word</group>
      <groupName>字词问题</groupName>
      <ability>L2_Typo</ability>
      <abilityName>字词错误</abilityName>
      <candidateList>
        <item>通过</item>
      </candidateList>
      <explain>❶（－∥－）〈动〉从一端或一侧到另一端或另一侧；穿过：电流～导线｜队伍～了沙漠｜路太窄，汽车不能～。❷（－∥－）〈动〉议案等经过法定人数的同意而成立：～决议｜该提案以四分之三的多数票获得～。❸〈介〉以人或事物为媒介或手段而达到某种目的：～老艺人收集民间故事｜～座谈会征询意见。❹〈动〉征求有关的人或组织的同意或核准：～组织｜～领导｜这问题要～群众，才能做出决定。</explain>
      <paraID> 45984FD</paraID>
      <start>27</start>
      <end>29</end>
      <status>modified</status>
      <modifiedWord>通过</modifiedWord>
      <trackRevisions>false</trackRevisions>
    </reviewItem>
    <reviewItem>
      <errorID>0ca1eeee-e1f1-42ee-a8b7-719ded91e13d</errorID>
      <errorWord>个人</errorWord>
      <group>L1_Grammar</group>
      <groupName>语法问题</groupName>
      <ability>L2_Grammar</ability>
      <abilityName>语法错误</abilityName>
      <candidateList>
        <item>保障个人</item>
      </candidateList>
      <explain/>
      <paraID>5459EA2A</paraID>
      <start>97</start>
      <end>99</end>
      <status>ignored</status>
      <modifiedWord/>
      <trackRevisions>false</trackRevisions>
    </reviewItem>
    <reviewItem>
      <errorID>bc5aab20-78c6-4ea6-9260-b4d7d79c9a9a</errorID>
      <errorWord>系统教</errorWord>
      <group>L1_Word</group>
      <groupName>字词问题</groupName>
      <ability>L2_Typo</ability>
      <abilityName>字词错误</abilityName>
      <candidateList>
        <item>系统</item>
      </candidateList>
      <explain>❶〈名〉同类事物按一定的关系组成的整体：～化｜组织～｜灌溉～。❷〈形〉有条理的；有系统的：～学习｜～研究｜资料不够。</explain>
      <paraID>67093928</paraID>
      <start>291</start>
      <end>294</end>
      <status>ignored</status>
      <modifiedWord/>
      <trackRevisions>false</trackRevisions>
    </reviewItem>
    <reviewItem>
      <errorID>16365f24-c5e8-4aa2-a6bd-6d17e5353989</errorID>
      <errorWord>)</errorWord>
      <group>L1_Punc</group>
      <groupName>标点问题</groupName>
      <ability>L2_Punc</ability>
      <abilityName>标点符号检查</abilityName>
      <candidateList>
        <item>）</item>
      </candidateList>
      <explain/>
      <paraID>6112A3ED</paraID>
      <start>20</start>
      <end>21</end>
      <status>modified</status>
      <modifiedWord>）</modifiedWord>
      <trackRevisions>false</trackRevisions>
    </reviewItem>
    <reviewItem>
      <errorID>57e7c252-acf7-4ac3-835c-b9a0d9899243</errorID>
      <errorWord>(2011)</errorWord>
      <group>L1_Punc</group>
      <groupName>标点问题</groupName>
      <ability>L2_Punc</ability>
      <abilityName>标点符号检查</abilityName>
      <candidateList>
        <item>（2011）</item>
      </candidateList>
      <explain/>
      <paraID>6112A3ED</paraID>
      <start>28</start>
      <end>34</end>
      <status>modified</status>
      <modifiedWord>（2011）</modifiedWord>
      <trackRevisions>false</trackRevisions>
    </reviewItem>
    <reviewItem>
      <errorID>b7cb9cdd-c301-4a03-8b15-6aa47dfbd096</errorID>
      <errorWord>(1973）、Jensen（1976)</errorWord>
      <group>L1_Punc</group>
      <groupName>标点问题</groupName>
      <ability>L2_Punc</ability>
      <abilityName>标点符号检查</abilityName>
      <candidateList>
        <item>（1973）、Jensen（1976）</item>
      </candidateList>
      <explain/>
      <paraID>6112A3ED</paraID>
      <start>42</start>
      <end>61</end>
      <status>modified</status>
      <modifiedWord>（1973）、Jensen（1976）</modifiedWord>
      <trackRevisions>false</trackRevisions>
    </reviewItem>
    <reviewItem>
      <errorID>4845744c-1b51-4076-bab6-8d7e109dd50b</errorID>
      <errorWord>、</errorWord>
      <group>L1_Punc</group>
      <groupName>标点问题</groupName>
      <ability>L2_Punc</ability>
      <abilityName>标点符号检查</abilityName>
      <candidateList>
        <item>，</item>
      </candidateList>
      <explain/>
      <paraID>6FB7A990</paraID>
      <start>72</start>
      <end>73</end>
      <status>modified</status>
      <modifiedWord>，</modifiedWord>
      <trackRevisions>false</trackRevisions>
    </reviewItem>
    <reviewItem>
      <errorID>b66821e6-7142-4688-9f85-ccf5f9a48891</errorID>
      <errorWord>管理</errorWord>
      <group>L1_Grammar</group>
      <groupName>语法问题</groupName>
      <ability>L2_Grammar</ability>
      <abilityName>语法错误</abilityName>
      <candidateList>
        <item>处于管理</item>
      </candidateList>
      <explain/>
      <paraID>6FB7A990</paraID>
      <start>118</start>
      <end>120</end>
      <status>ignored</status>
      <modifiedWord/>
      <trackRevisions>false</trackRevisions>
    </reviewItem>
    <reviewItem>
      <errorID>108dbdd9-3c60-4085-8668-2035fb8d97a0</errorID>
      <errorWord>分析</errorWord>
      <group>L1_Punc</group>
      <groupName>标点问题</groupName>
      <ability>L2_Punc</ability>
      <abilityName>标点符号检查</abilityName>
      <candidateList>
        <item>分析：</item>
      </candidateList>
      <explain/>
      <paraID>24917A17</paraID>
      <start>14</start>
      <end>16</end>
      <status>ignored</status>
      <modifiedWord/>
      <trackRevisions>false</trackRevisions>
    </reviewItem>
    <reviewItem>
      <errorID>8f6540e5-ca15-4994-a77c-db2d58f4764c</errorID>
      <errorWord>转型</errorWord>
      <group>L1_Punc</group>
      <groupName>标点问题</groupName>
      <ability>L2_Punc</ability>
      <abilityName>标点符号检查</abilityName>
      <candidateList>
        <item>转型。</item>
      </candidateList>
      <explain/>
      <paraID>5FF80DC6</paraID>
      <start>16</start>
      <end>18</end>
      <status>ignored</status>
      <modifiedWord/>
      <trackRevisions>false</trackRevisions>
    </reviewItem>
    <reviewItem>
      <errorID>b6e9ae47-7ce9-47e6-8276-e3c3c46d5136</errorID>
      <errorWord>，</errorWord>
      <group>L1_Punc</group>
      <groupName>标点问题</groupName>
      <ability>L2_Punc</ability>
      <abilityName>标点符号检查</abilityName>
      <candidateList>
        <item>：</item>
      </candidateList>
      <explain/>
      <paraID>33F06FB8</paraID>
      <start>147</start>
      <end>148</end>
      <status>modified</status>
      <modifiedWord>：</modifiedWord>
      <trackRevisions>false</trackRevisions>
    </reviewItem>
    <reviewItem>
      <errorID>0f747429-e446-4fd2-8e0f-97d0d4923365</errorID>
      <errorWord>——</errorWord>
      <group>L1_Punc</group>
      <groupName>标点问题</groupName>
      <ability>L2_Punc</ability>
      <abilityName>标点符号检查</abilityName>
      <candidateList>
        <item>：</item>
      </candidateList>
      <explain/>
      <paraID>79C4652C</paraID>
      <start>51</start>
      <end>52</end>
      <status>modified</status>
      <modifiedWord>：</modifiedWord>
      <trackRevisions>false</trackRevisions>
    </reviewItem>
    <reviewItem>
      <errorID>2cf0e62d-d8b3-4979-a2a7-525b6d1bea27</errorID>
      <errorWord>，</errorWord>
      <group>L1_Grammar</group>
      <groupName>语法问题</groupName>
      <ability>L2_Grammar</ability>
      <abilityName>语法错误</abilityName>
      <candidateList>
        <item>现象，</item>
      </candidateList>
      <explain/>
      <paraID>79C4652C</paraID>
      <start>140</start>
      <end>141</end>
      <status>ignored</status>
      <modifiedWord/>
      <trackRevisions>false</trackRevisions>
    </reviewItem>
    <reviewItem>
      <errorID>fc230ecb-4798-47bf-a496-9f3637dd9124</errorID>
      <errorWord>超</errorWord>
      <group>L1_Word</group>
      <groupName>字词问题</groupName>
      <ability>L2_Typo</ability>
      <abilityName>字词错误</abilityName>
      <candidateList>
        <item>超过</item>
      </candidateList>
      <explain/>
      <paraID>263FC389</paraID>
      <start>7</start>
      <end>8</end>
      <status>ignored</status>
      <modifiedWord/>
      <trackRevisions>false</trackRevisions>
    </reviewItem>
    <reviewItem>
      <errorID>e4d1fe0d-c456-48ff-b1f2-046404b3c3b9</errorID>
      <errorWord> </errorWord>
      <group>L1_Punc</group>
      <groupName>标点问题</groupName>
      <ability>L2_Punc</ability>
      <abilityName>标点符号检查</abilityName>
      <candidateList>
        <item/>
      </candidateList>
      <explain>此处空格冗余，建议删除。</explain>
      <paraID>7068B1CF</paraID>
      <start>23</start>
      <end>23</end>
      <status>modified</status>
      <modifiedWord/>
      <trackRevisions>false</trackRevisions>
    </reviewItem>
    <reviewItem>
      <errorID>05244778-e615-4053-8f85-3120a9ad2866</errorID>
      <errorWord> </errorWord>
      <group>L1_Punc</group>
      <groupName>标点问题</groupName>
      <ability>L2_Punc</ability>
      <abilityName>标点符号检查</abilityName>
      <candidateList>
        <item/>
      </candidateList>
      <explain>此处空格冗余，建议删除。</explain>
      <paraID>74F0873F</paraID>
      <start>18</start>
      <end>18</end>
      <status>modified</status>
      <modifiedWord/>
      <trackRevisions>false</trackRevisions>
    </reviewItem>
    <reviewItem>
      <errorID>a5c6e645-aa53-4eb6-8d07-d5ab5a4388d7</errorID>
      <errorWord> </errorWord>
      <group>L1_Punc</group>
      <groupName>标点问题</groupName>
      <ability>L2_Punc</ability>
      <abilityName>标点符号检查</abilityName>
      <candidateList>
        <item/>
      </candidateList>
      <explain>此处空格冗余，建议删除。</explain>
      <paraID>4AB4A777</paraID>
      <start>20</start>
      <end>20</end>
      <status>modified</status>
      <modifiedWord/>
      <trackRevisions>false</trackRevisions>
    </reviewItem>
    <reviewItem>
      <errorID>7022fa63-9277-440c-9302-9a0c04ee69d8</errorID>
      <errorWord>：</errorWord>
      <group>L1_Punc</group>
      <groupName>标点问题</groupName>
      <ability>L2_Punc</ability>
      <abilityName>标点符号检查</abilityName>
      <candidateList>
        <item/>
      </candidateList>
      <explain/>
      <paraID>6830A2D5</paraID>
      <start>61</start>
      <end>61</end>
      <status>modified</status>
      <modifiedWord/>
      <trackRevisions>false</trackRevisions>
    </reviewItem>
    <reviewItem>
      <errorID>9ecc615a-1a97-4d45-8367-659b99990772</errorID>
      <errorWord>院区</errorWord>
      <group>L1_Word</group>
      <groupName>字词问题</groupName>
      <ability>L2_Typo</ability>
      <abilityName>字词错误</abilityName>
      <candidateList>
        <item>园区</item>
      </candidateList>
      <explain/>
      <paraID>107DAE49</paraID>
      <start>32</start>
      <end>34</end>
      <status>ignored</status>
      <modifiedWord/>
      <trackRevisions>false</trackRevisions>
    </reviewItem>
    <reviewItem>
      <errorID>4c1aa369-ccba-4dc7-9d87-6c8a43a19a9d</errorID>
      <errorWord>最大化</errorWord>
      <group>L1_Word</group>
      <groupName>字词问题</groupName>
      <ability>L2_Typo</ability>
      <abilityName>字词错误</abilityName>
      <candidateList>
        <item>来最大化</item>
      </candidateList>
      <explain/>
      <paraID>48474A4C</paraID>
      <start>65</start>
      <end>68</end>
      <status>ignored</status>
      <modifiedWord/>
      <trackRevisions>false</trackRevisions>
    </reviewItem>
    <reviewItem>
      <errorID>0fd05044-07c5-4ec9-be9d-497a5b6f3e75</errorID>
      <errorWord>铺垫</errorWord>
      <group>L1_Punc</group>
      <groupName>标点问题</groupName>
      <ability>L2_Punc</ability>
      <abilityName>标点符号检查</abilityName>
      <candidateList>
        <item>铺垫。</item>
      </candidateList>
      <explain/>
      <paraID>11E091A2</paraID>
      <start>22</start>
      <end>24</end>
      <status>ignored</status>
      <modifiedWord/>
      <trackRevisions>false</trackRevisions>
    </reviewItem>
    <reviewItem>
      <errorID>a4415969-cbc4-48e7-8ae5-0b1311f6ddee</errorID>
      <errorWord>'高大上'</errorWord>
      <group>L1_Punc</group>
      <groupName>标点问题</groupName>
      <ability>L2_Punc</ability>
      <abilityName>标点符号检查</abilityName>
      <candidateList>
        <item>‘高大上’</item>
      </candidateList>
      <explain/>
      <paraID>38CE1FC7</paraID>
      <start>16</start>
      <end>21</end>
      <status>modified</status>
      <modifiedWord>‘高大上’</modifiedWord>
      <trackRevisions>false</trackRevisions>
    </reviewItem>
    <reviewItem>
      <errorID>ba0a5188-360d-495b-b051-eb4cc7fcbb18</errorID>
      <errorWord>。</errorWord>
      <group>L1_Grammar</group>
      <groupName>语法问题</groupName>
      <ability>L2_Grammar</ability>
      <abilityName>语法错误</abilityName>
      <candidateList>
        <item>。该句无误，不需修改。</item>
      </candidateList>
      <explain/>
      <paraID>458C38BF</paraID>
      <start>76</start>
      <end>77</end>
      <status>ignored</status>
      <modifiedWord/>
      <trackRevisions>false</trackRevisions>
    </reviewItem>
    <reviewItem>
      <errorID>e64ee038-0695-4148-8a1e-e2eb38c12dbf</errorID>
      <errorWord>的</errorWord>
      <group>L1_Grammar</group>
      <groupName>语法问题</groupName>
      <ability>L2_Grammar</ability>
      <abilityName>语法错误</abilityName>
      <candidateList>
        <item>医院的</item>
      </candidateList>
      <explain/>
      <paraID>1471CA90</paraID>
      <start>7</start>
      <end>8</end>
      <status>ignored</status>
      <modifiedWord/>
      <trackRevisions>false</trackRevisions>
    </reviewItem>
    <reviewItem>
      <errorID>0b1c85a3-fbc2-45c1-ba77-939ffcb90d28</errorID>
      <errorWord>院区</errorWord>
      <group>L1_Word</group>
      <groupName>字词问题</groupName>
      <ability>L2_Typo</ability>
      <abilityName>字词错误</abilityName>
      <candidateList>
        <item>园区</item>
      </candidateList>
      <explain/>
      <paraID>4B719760</paraID>
      <start>31</start>
      <end>33</end>
      <status>ignored</status>
      <modifiedWord/>
      <trackRevisions>false</trackRevisions>
    </reviewItem>
    <reviewItem>
      <errorID>8985252f-6112-479d-95f9-520236b5d299</errorID>
      <errorWord>如下</errorWord>
      <group>L1_Punc</group>
      <groupName>标点问题</groupName>
      <ability>L2_Punc</ability>
      <abilityName>标点符号检查</abilityName>
      <candidateList>
        <item>如下：</item>
      </candidateList>
      <explain/>
      <paraID>5D61B951</paraID>
      <start>16</start>
      <end>19</end>
      <status>modified</status>
      <modifiedWord>如下：</modifiedWord>
      <trackRevisions>false</trackRevisions>
    </reviewItem>
    <reviewItem>
      <errorID>7047cd6d-bfa5-411c-a1ac-21db3f863826</errorID>
      <errorWord>：</errorWord>
      <group>L1_Punc</group>
      <groupName>标点问题</groupName>
      <ability>L2_Punc</ability>
      <abilityName>标点符号检查</abilityName>
      <candidateList/>
      <explain/>
      <paraID>65806AA4</paraID>
      <start>7</start>
      <end>8</end>
      <status>ignored</status>
      <modifiedWord/>
      <trackRevisions>false</trackRevisions>
    </reviewItem>
    <reviewItem>
      <errorID>c32eb38c-0c8b-481f-88fa-ababe5544e4f</errorID>
      <errorWord>：</errorWord>
      <group>L1_Punc</group>
      <groupName>标点问题</groupName>
      <ability>L2_Punc</ability>
      <abilityName>标点符号检查</abilityName>
      <candidateList/>
      <explain/>
      <paraID>4E4E129B</paraID>
      <start>2</start>
      <end>3</end>
      <status>ignored</status>
      <modifiedWord/>
      <trackRevisions>false</trackRevisions>
    </reviewItem>
    <reviewItem>
      <errorID>c2fdaf3b-87f3-47b6-8670-1ba52401d107</errorID>
      <errorWord>：</errorWord>
      <group>L1_Punc</group>
      <groupName>标点问题</groupName>
      <ability>L2_Punc</ability>
      <abilityName>标点符号检查</abilityName>
      <candidateList/>
      <explain/>
      <paraID>35FDEE87</paraID>
      <start>2</start>
      <end>3</end>
      <status>ignored</status>
      <modifiedWord/>
      <trackRevisions>false</trackRevisions>
    </reviewItem>
    <reviewItem>
      <errorID>157a38fa-f7f5-46d5-84a6-379fe58c1054</errorID>
      <errorWord>*</errorWord>
      <group>L1_Punc</group>
      <groupName>标点问题</groupName>
      <ability>L2_Punc</ability>
      <abilityName>标点符号检查</abilityName>
      <candidateList/>
      <explain/>
      <paraID>1445C7A2</paraID>
      <start>0</start>
      <end>1</end>
      <status>ignored</status>
      <modifiedWord/>
      <trackRevisions>false</trackRevisions>
    </reviewItem>
    <reviewItem>
      <errorID>2335c508-5141-425b-a90d-81cc40bbab3d</errorID>
      <errorWord>*</errorWord>
      <group>L1_Punc</group>
      <groupName>标点问题</groupName>
      <ability>L2_Punc</ability>
      <abilityName>标点符号检查</abilityName>
      <candidateList/>
      <explain/>
      <paraID>6D47A54E</paraID>
      <start>0</start>
      <end>1</end>
      <status>ignored</status>
      <modifiedWord/>
      <trackRevisions>false</trackRevisions>
    </reviewItem>
    <reviewItem>
      <errorID>eb44cfad-ac30-45ae-8915-81366a23919e</errorID>
      <errorWord>*</errorWord>
      <group>L1_Punc</group>
      <groupName>标点问题</groupName>
      <ability>L2_Punc</ability>
      <abilityName>标点符号检查</abilityName>
      <candidateList/>
      <explain/>
      <paraID> C1D1EB2</paraID>
      <start>0</start>
      <end>1</end>
      <status>ignored</status>
      <modifiedWord/>
      <trackRevisions>false</trackRevisions>
    </reviewItem>
    <reviewItem>
      <errorID>63530dbe-7684-4d9c-aed6-2f89bc9982b5</errorID>
      <errorWord>*</errorWord>
      <group>L1_Punc</group>
      <groupName>标点问题</groupName>
      <ability>L2_Punc</ability>
      <abilityName>标点符号检查</abilityName>
      <candidateList/>
      <explain/>
      <paraID>3A81CC38</paraID>
      <start>0</start>
      <end>1</end>
      <status>ignored</status>
      <modifiedWord/>
      <trackRevisions>false</trackRevisions>
    </reviewItem>
    <reviewItem>
      <errorID>127a62c6-bee8-468b-a601-a208f8098530</errorID>
      <errorWord>2e</errorWord>
      <group>L1_Knowledge</group>
      <groupName>知识性问题</groupName>
      <ability>L2_Knowledge</ability>
      <abilityName>其他知识</abilityName>
      <candidateList>
        <item>29</item>
      </candidateList>
      <explain/>
      <paraID> 6783B2D</paraID>
      <start>14</start>
      <end>16</end>
      <status>ignored</status>
      <modifiedWord/>
      <trackRevisions>false</trackRevisions>
    </reviewItem>
    <reviewItem>
      <errorID>f620518c-15a3-4e45-af00-ad0dcb60a4f9</errorID>
      <errorWord>（&gt;</errorWord>
      <group>L1_Punc</group>
      <groupName>标点问题</groupName>
      <ability>L2_Punc</ability>
      <abilityName>标点符号检查</abilityName>
      <candidateList>
        <item>（</item>
      </candidateList>
      <explain/>
      <paraID>5DD1FE76</paraID>
      <start>154</start>
      <end>156</end>
      <status>ignored</status>
      <modifiedWord/>
      <trackRevisions>false</trackRevisions>
    </reviewItem>
    <reviewItem>
      <errorID>f1f499de-32eb-43f1-a212-966063c80bad</errorID>
      <errorWord>*</errorWord>
      <group>L1_Punc</group>
      <groupName>标点问题</groupName>
      <ability>L2_Punc</ability>
      <abilityName>标点符号检查</abilityName>
      <candidateList/>
      <explain/>
      <paraID>1E2D4DA0</paraID>
      <start>0</start>
      <end>1</end>
      <status>ignored</status>
      <modifiedWord/>
      <trackRevisions>false</trackRevisions>
    </reviewItem>
    <reviewItem>
      <errorID>d5a9557c-094e-4f6f-9494-e41918dcfbc1</errorID>
      <errorWord>*</errorWord>
      <group>L1_Punc</group>
      <groupName>标点问题</groupName>
      <ability>L2_Punc</ability>
      <abilityName>标点符号检查</abilityName>
      <candidateList/>
      <explain/>
      <paraID>3199BAB4</paraID>
      <start>0</start>
      <end>1</end>
      <status>ignored</status>
      <modifiedWord/>
      <trackRevisions>false</trackRevisions>
    </reviewItem>
    <reviewItem>
      <errorID>828ea0f5-fcda-4891-ace9-2312bb601877</errorID>
      <errorWord>分辨系数</errorWord>
      <group>L1_Knowledge</group>
      <groupName>知识性问题</groupName>
      <ability>L2_Term</ability>
      <abilityName>专业术语</abilityName>
      <candidateList>
        <item>分项系数</item>
      </candidateList>
      <explain/>
      <paraID>4874EFB8</paraID>
      <start>8</start>
      <end>12</end>
      <status>ignored</status>
      <modifiedWord/>
      <trackRevisions>false</trackRevisions>
    </reviewItem>
    <reviewItem>
      <errorID>5394b6eb-61e4-4bfc-a532-74b0b10cba89</errorID>
      <errorWord>*</errorWord>
      <group>L1_Punc</group>
      <groupName>标点问题</groupName>
      <ability>L2_Punc</ability>
      <abilityName>标点符号检查</abilityName>
      <candidateList/>
      <explain/>
      <paraID>30862D4E</paraID>
      <start>0</start>
      <end>1</end>
      <status>ignored</status>
      <modifiedWord/>
      <trackRevisions>false</trackRevisions>
    </reviewItem>
    <reviewItem>
      <errorID>5c16c66e-7573-4320-a5b0-6ecccd87a1a1</errorID>
      <errorWord>全范围内正式</errorWord>
      <group>L1_Word</group>
      <groupName>字词问题</groupName>
      <ability>L2_Typo</ability>
      <abilityName>字词错误</abilityName>
      <candidateList>
        <item>全国范围内正式</item>
      </candidateList>
      <explain/>
      <paraID>25C1E6E1</paraID>
      <start>34</start>
      <end>40</end>
      <status>ignored</status>
      <modifiedWord/>
      <trackRevisions>false</trackRevisions>
    </reviewItem>
    <reviewItem>
      <errorID>9de3caa0-d94e-42b1-bcc5-c04cc9f42a1a</errorID>
      <errorWord>"</errorWord>
      <group>L1_Format</group>
      <groupName>格式问题</groupName>
      <ability>L2_HalfPunc</ability>
      <abilityName>全半角检查</abilityName>
      <candidateList>
        <item>”</item>
      </candidateList>
      <explain>文本全半角错误。</explain>
      <paraID>2A641069</paraID>
      <start>4</start>
      <end>5</end>
      <status>modified</status>
      <modifiedWord>”</modifiedWord>
      <trackRevisions>false</trackRevisions>
    </reviewItem>
    <reviewItem>
      <errorID>bf6c1c81-1d16-489b-9339-75ee82491dcc</errorID>
      <errorWord>档位</errorWord>
      <group>L1_Word</group>
      <groupName>字词问题</groupName>
      <ability>L2_Typo</ability>
      <abilityName>字词错误</abilityName>
      <candidateList>
        <item>挡位</item>
      </candidateList>
      <explain>存在发音相同字词的误用。</explain>
      <paraID>1906F91A</paraID>
      <start>0</start>
      <end>2</end>
      <status>ignored</status>
      <modifiedWord/>
      <trackRevisions>false</trackRevisions>
    </reviewItem>
    <reviewItem>
      <errorID>5416a695-b756-4a45-9102-58968d4908af</errorID>
      <errorWord>"</errorWord>
      <group>L1_Format</group>
      <groupName>格式问题</groupName>
      <ability>L2_HalfPunc</ability>
      <abilityName>全半角检查</abilityName>
      <candidateList>
        <item>”</item>
      </candidateList>
      <explain>文本全半角错误。</explain>
      <paraID>5C2521CE</paraID>
      <start>4</start>
      <end>5</end>
      <status>modified</status>
      <modifiedWord>”</modifiedWord>
      <trackRevisions>false</trackRevisions>
    </reviewItem>
    <reviewItem>
      <errorID>63913824-522a-48f7-8a3e-11fe80dd32bd</errorID>
      <errorWord>全范围内正式</errorWord>
      <group>L1_Word</group>
      <groupName>字词问题</groupName>
      <ability>L2_Typo</ability>
      <abilityName>字词错误</abilityName>
      <candidateList>
        <item>全国范围内正式</item>
      </candidateList>
      <explain/>
      <paraID>7BE9A0CC</paraID>
      <start>40</start>
      <end>46</end>
      <status>ignored</status>
      <modifiedWord/>
      <trackRevisions>false</trackRevisions>
    </reviewItem>
    <reviewItem>
      <errorID>c7da72a5-6564-4f19-837b-65486c31a907</errorID>
      <errorWord>万</errorWord>
      <group>L1_Word</group>
      <groupName>字词问题</groupName>
      <ability>L2_Typo</ability>
      <abilityName>字词错误</abilityName>
      <candidateList>
        <item>万元</item>
      </candidateList>
      <explain/>
      <paraID>56717B44</paraID>
      <start>96</start>
      <end>97</end>
      <status>ignored</status>
      <modifiedWord/>
      <trackRevisions>false</trackRevisions>
    </reviewItem>
    <reviewItem>
      <errorID>5a0b2959-043a-494b-a54a-1ee06b202153</errorID>
      <errorWord>"</errorWord>
      <group>L1_Format</group>
      <groupName>格式问题</groupName>
      <ability>L2_HalfPunc</ability>
      <abilityName>全半角检查</abilityName>
      <candidateList>
        <item>“</item>
      </candidateList>
      <explain>文本全半角错误。</explain>
      <paraID>33A0E00C</paraID>
      <start>46</start>
      <end>47</end>
      <status>modified</status>
      <modifiedWord>“</modifiedWord>
      <trackRevisions>false</trackRevisions>
    </reviewItem>
    <reviewItem>
      <errorID>104c6ba4-430e-4839-859f-7e4e60706b43</errorID>
      <errorWord>"</errorWord>
      <group>L1_Format</group>
      <groupName>格式问题</groupName>
      <ability>L2_HalfPunc</ability>
      <abilityName>全半角检查</abilityName>
      <candidateList>
        <item>”</item>
      </candidateList>
      <explain>文本全半角错误。</explain>
      <paraID>33A0E00C</paraID>
      <start>50</start>
      <end>51</end>
      <status>modified</status>
      <modifiedWord>”</modifiedWord>
      <trackRevisions>false</trackRevisions>
    </reviewItem>
    <reviewItem>
      <errorID>3a4a9466-8178-4fa6-9c1a-add67033aad7</errorID>
      <errorWord>"</errorWord>
      <group>L1_Format</group>
      <groupName>格式问题</groupName>
      <ability>L2_HalfPunc</ability>
      <abilityName>全半角检查</abilityName>
      <candidateList>
        <item>“</item>
      </candidateList>
      <explain>文本全半角错误。</explain>
      <paraID>33A0E00C</paraID>
      <start>68</start>
      <end>69</end>
      <status>modified</status>
      <modifiedWord>“</modifiedWord>
      <trackRevisions>false</trackRevisions>
    </reviewItem>
    <reviewItem>
      <errorID>0a2f29db-7d7a-48fe-b65a-74848de60505</errorID>
      <errorWord>"</errorWord>
      <group>L1_Format</group>
      <groupName>格式问题</groupName>
      <ability>L2_HalfPunc</ability>
      <abilityName>全半角检查</abilityName>
      <candidateList>
        <item>”</item>
      </candidateList>
      <explain>文本全半角错误。</explain>
      <paraID>33A0E00C</paraID>
      <start>73</start>
      <end>74</end>
      <status>modified</status>
      <modifiedWord>”</modifiedWord>
      <trackRevisions>false</trackRevisions>
    </reviewItem>
    <reviewItem>
      <errorID>9b04c4e6-891c-4eaa-bc45-54528e0e21d0</errorID>
      <errorWord>"</errorWord>
      <group>L1_Format</group>
      <groupName>格式问题</groupName>
      <ability>L2_HalfPunc</ability>
      <abilityName>全半角检查</abilityName>
      <candidateList>
        <item>“</item>
      </candidateList>
      <explain>文本全半角错误。</explain>
      <paraID>2506C8C9</paraID>
      <start>30</start>
      <end>31</end>
      <status>modified</status>
      <modifiedWord>“</modifiedWord>
      <trackRevisions>false</trackRevisions>
    </reviewItem>
    <reviewItem>
      <errorID>030ca3ab-3abf-49d0-9f34-9087d76bfd9e</errorID>
      <errorWord>-</errorWord>
      <group>L1_Format</group>
      <groupName>格式问题</groupName>
      <ability>L2_HalfPunc</ability>
      <abilityName>全半角检查</abilityName>
      <candidateList>
        <item>－</item>
      </candidateList>
      <explain>文本全半角错误。</explain>
      <paraID>2506C8C9</paraID>
      <start>33</start>
      <end>34</end>
      <status>modified</status>
      <modifiedWord>－</modifiedWord>
      <trackRevisions>false</trackRevisions>
    </reviewItem>
    <reviewItem>
      <errorID>ba815202-a438-4c12-86ea-2dede04ea8e4</errorID>
      <errorWord>-</errorWord>
      <group>L1_Format</group>
      <groupName>格式问题</groupName>
      <ability>L2_HalfPunc</ability>
      <abilityName>全半角检查</abilityName>
      <candidateList>
        <item>－</item>
      </candidateList>
      <explain>文本全半角错误。</explain>
      <paraID>2506C8C9</paraID>
      <start>38</start>
      <end>39</end>
      <status>modified</status>
      <modifiedWord>－</modifiedWord>
      <trackRevisions>false</trackRevisions>
    </reviewItem>
    <reviewItem>
      <errorID>78e6cd9e-e027-4dde-8377-fe7c9849d818</errorID>
      <errorWord>-</errorWord>
      <group>L1_Format</group>
      <groupName>格式问题</groupName>
      <ability>L2_HalfPunc</ability>
      <abilityName>全半角检查</abilityName>
      <candidateList>
        <item>－</item>
      </candidateList>
      <explain>文本全半角错误。</explain>
      <paraID>2506C8C9</paraID>
      <start>41</start>
      <end>42</end>
      <status>modified</status>
      <modifiedWord>－</modifiedWord>
      <trackRevisions>false</trackRevisions>
    </reviewItem>
    <reviewItem>
      <errorID>aae4b31d-d1cf-4310-82b3-4d5cf39979f3</errorID>
      <errorWord>"</errorWord>
      <group>L1_Format</group>
      <groupName>格式问题</groupName>
      <ability>L2_HalfPunc</ability>
      <abilityName>全半角检查</abilityName>
      <candidateList>
        <item>”</item>
      </candidateList>
      <explain>文本全半角错误。</explain>
      <paraID>2506C8C9</paraID>
      <start>44</start>
      <end>45</end>
      <status>modified</status>
      <modifiedWord>”</modifiedWord>
      <trackRevisions>false</trackRevisions>
    </reviewItem>
    <reviewItem>
      <errorID>631a2dd1-7b19-43b8-877c-bd47064e3a6c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73DDDBD8</paraID>
      <start>23</start>
      <end>26</end>
      <status>ignored</status>
      <modifiedWord/>
      <trackRevisions>false</trackRevisions>
    </reviewItem>
    <reviewItem>
      <errorID>eba76424-57b6-4a57-9a0b-dd96b19c5e57</errorID>
      <errorWord>-</errorWord>
      <group>L1_Format</group>
      <groupName>格式问题</groupName>
      <ability>L2_HalfPunc</ability>
      <abilityName>全半角检查</abilityName>
      <candidateList>
        <item>－</item>
      </candidateList>
      <explain>文本全半角错误。</explain>
      <paraID>2D907B75</paraID>
      <start>49</start>
      <end>50</end>
      <status>modified</status>
      <modifiedWord>－</modifiedWord>
      <trackRevisions>false</trackRevisions>
    </reviewItem>
    <reviewItem>
      <errorID>4c6d3d88-71da-4f8e-890f-cd3338898fb2</errorID>
      <errorWord>-</errorWord>
      <group>L1_Format</group>
      <groupName>格式问题</groupName>
      <ability>L2_HalfPunc</ability>
      <abilityName>全半角检查</abilityName>
      <candidateList>
        <item>－</item>
      </candidateList>
      <explain>文本全半角错误。</explain>
      <paraID>2D907B75</paraID>
      <start>54</start>
      <end>55</end>
      <status>modified</status>
      <modifiedWord>－</modifiedWord>
      <trackRevisions>false</trackRevisions>
    </reviewItem>
    <reviewItem>
      <errorID>efa853d1-60ba-44d3-8df5-4efd531638ab</errorID>
      <errorWord>-</errorWord>
      <group>L1_Format</group>
      <groupName>格式问题</groupName>
      <ability>L2_HalfPunc</ability>
      <abilityName>全半角检查</abilityName>
      <candidateList>
        <item>－</item>
      </candidateList>
      <explain>文本全半角错误。</explain>
      <paraID>2D907B75</paraID>
      <start>57</start>
      <end>58</end>
      <status>modified</status>
      <modifiedWord>－</modifiedWord>
      <trackRevisions>false</trackRevisions>
    </reviewItem>
    <reviewItem>
      <errorID>59454280-b109-4a54-84d3-936349e52f26</errorID>
      <errorWord>"</errorWord>
      <group>L1_Format</group>
      <groupName>格式问题</groupName>
      <ability>L2_HalfPunc</ability>
      <abilityName>全半角检查</abilityName>
      <candidateList>
        <item>“</item>
      </candidateList>
      <explain>文本全半角错误。</explain>
      <paraID>2D907B75</paraID>
      <start>238</start>
      <end>239</end>
      <status>modified</status>
      <modifiedWord>“</modifiedWord>
      <trackRevisions>false</trackRevisions>
    </reviewItem>
    <reviewItem>
      <errorID>0b2d56c3-ceab-4b93-9e49-aa0d2b2a7bd7</errorID>
      <errorWord>"</errorWord>
      <group>L1_Format</group>
      <groupName>格式问题</groupName>
      <ability>L2_HalfPunc</ability>
      <abilityName>全半角检查</abilityName>
      <candidateList>
        <item>”</item>
      </candidateList>
      <explain>文本全半角错误。</explain>
      <paraID>2D907B75</paraID>
      <start>243</start>
      <end>244</end>
      <status>modified</status>
      <modifiedWord>”</modifiedWord>
      <trackRevisions>false</trackRevisions>
    </reviewItem>
    <reviewItem>
      <errorID>aa0690d4-c65d-4956-a54d-5db9957f72e1</errorID>
      <errorWord>"</errorWord>
      <group>L1_Format</group>
      <groupName>格式问题</groupName>
      <ability>L2_HalfPunc</ability>
      <abilityName>全半角检查</abilityName>
      <candidateList>
        <item>“</item>
      </candidateList>
      <explain>文本全半角错误。</explain>
      <paraID>36910217</paraID>
      <start>6</start>
      <end>7</end>
      <status>modified</status>
      <modifiedWord>“</modifiedWord>
      <trackRevisions>false</trackRevisions>
    </reviewItem>
    <reviewItem>
      <errorID>ac68d65b-d9bc-4927-a8e6-d4692eeb1ea9</errorID>
      <errorWord>"</errorWord>
      <group>L1_Format</group>
      <groupName>格式问题</groupName>
      <ability>L2_HalfPunc</ability>
      <abilityName>全半角检查</abilityName>
      <candidateList>
        <item>”</item>
      </candidateList>
      <explain>文本全半角错误。</explain>
      <paraID>36910217</paraID>
      <start>16</start>
      <end>17</end>
      <status>modified</status>
      <modifiedWord>”</modifiedWord>
      <trackRevisions>false</trackRevisions>
    </reviewItem>
    <reviewItem>
      <errorID>90f2839f-da51-44d0-aea0-84531cd59eee</errorID>
      <errorWord>医保支付改革</errorWord>
      <group>L1_Word</group>
      <groupName>字词问题</groupName>
      <ability>L2_Typo</ability>
      <abilityName>字词错误</abilityName>
      <candidateList>
        <item>医保支付方式改革</item>
      </candidateList>
      <explain/>
      <paraID>36910217</paraID>
      <start>66</start>
      <end>72</end>
      <status>ignored</status>
      <modifiedWord/>
      <trackRevisions>false</trackRevisions>
    </reviewItem>
    <reviewItem>
      <errorID>56c60b85-deb0-45a7-8488-70d485af27ab</errorID>
      <errorWord>-</errorWord>
      <group>L1_Format</group>
      <groupName>格式问题</groupName>
      <ability>L2_HalfPunc</ability>
      <abilityName>全半角检查</abilityName>
      <candidateList>
        <item>－</item>
      </candidateList>
      <explain>文本全半角错误。</explain>
      <paraID>502B859A</paraID>
      <start>67</start>
      <end>68</end>
      <status>modified</status>
      <modifiedWord>－</modifiedWord>
      <trackRevisions>false</trackRevisions>
    </reviewItem>
    <reviewItem>
      <errorID>44e5b9a8-a698-4dbe-84db-297455987229</errorID>
      <errorWord>-</errorWord>
      <group>L1_Format</group>
      <groupName>格式问题</groupName>
      <ability>L2_HalfPunc</ability>
      <abilityName>全半角检查</abilityName>
      <candidateList>
        <item>－</item>
      </candidateList>
      <explain>文本全半角错误。</explain>
      <paraID>502B859A</paraID>
      <start>116</start>
      <end>117</end>
      <status>modified</status>
      <modifiedWord>－</modifiedWord>
      <trackRevisions>false</trackRevisions>
    </reviewItem>
    <reviewItem>
      <errorID>98f32ea0-b6ce-4680-b0ff-eae311f4ce01</errorID>
      <errorWord>15%-25%</errorWord>
      <group>L1_Knowledge</group>
      <groupName>知识性问题</groupName>
      <ability>L2_Knowledge</ability>
      <abilityName>其他知识</abilityName>
      <candidateList>
        <item>15%—25%</item>
      </candidateList>
      <explain>1. “15%-25%”中的单位“%”仅出现在后一个数字上，容易引起歧义；根据《现代汉语标点符号数字用法规范手册》，数字表示范围两边需要使用统一的格式。2. 根据标点国标 4.13 中的规则，数字、时间或地域连接符应使用（视觉上更长的）“—”或“～”。</explain>
      <paraID>4E107CDE</paraID>
      <start>94</start>
      <end>101</end>
      <status>modified</status>
      <modifiedWord>15%—25%</modifiedWord>
      <trackRevisions>false</trackRevisions>
    </reviewItem>
    <reviewItem>
      <errorID>e903a8ca-aced-47c6-b507-9badd3b1d576</errorID>
      <errorWord>8%-10%</errorWord>
      <group>L1_Knowledge</group>
      <groupName>知识性问题</groupName>
      <ability>L2_Knowledge</ability>
      <abilityName>其他知识</abilityName>
      <candidateList>
        <item>8%—10%</item>
      </candidateList>
      <explain>1. “8%-10%”中的单位“%”仅出现在后一个数字上，容易引起歧义；根据《现代汉语标点符号数字用法规范手册》，数字表示范围两边需要使用统一的格式。2. 根据标点国标 4.13 中的规则，数字、时间或地域连接符应使用（视觉上更长的）“—”或“～”。</explain>
      <paraID>4E107CDE</paraID>
      <start>114</start>
      <end>120</end>
      <status>modified</status>
      <modifiedWord>8%—10%</modifiedWord>
      <trackRevisions>false</trackRevisions>
    </reviewItem>
    <reviewItem>
      <errorID>0d778d5a-1f6f-4c3f-8992-4a7388eb1301</errorID>
      <errorWord>"</errorWord>
      <group>L1_Format</group>
      <groupName>格式问题</groupName>
      <ability>L2_HalfPunc</ability>
      <abilityName>全半角检查</abilityName>
      <candidateList>
        <item>“</item>
      </candidateList>
      <explain>文本全半角错误。</explain>
      <paraID>4E107CDE</paraID>
      <start>146</start>
      <end>147</end>
      <status>modified</status>
      <modifiedWord>“</modifiedWord>
      <trackRevisions>false</trackRevisions>
    </reviewItem>
    <reviewItem>
      <errorID>2a11431c-ea2c-46c8-ade8-e769e896f322</errorID>
      <errorWord>"</errorWord>
      <group>L1_Format</group>
      <groupName>格式问题</groupName>
      <ability>L2_HalfPunc</ability>
      <abilityName>全半角检查</abilityName>
      <candidateList>
        <item>”</item>
      </candidateList>
      <explain>文本全半角错误。</explain>
      <paraID>4E107CDE</paraID>
      <start>156</start>
      <end>157</end>
      <status>modified</status>
      <modifiedWord>”</modifiedWord>
      <trackRevisions>false</trackRevisions>
    </reviewItem>
    <reviewItem>
      <errorID>50135dac-5ab0-4c3e-8d71-59218c179eac</errorID>
      <errorWord>截止</errorWord>
      <group>L1_Word</group>
      <groupName>字词问题</groupName>
      <ability>L2_Typo</ability>
      <abilityName>字词错误</abilityName>
      <candidateList>
        <item>截至</item>
      </candidateList>
      <explain>〈动〉截止到（某个时候）：报名日期～本月底。</explain>
      <paraID>327D56E9</paraID>
      <start>14</start>
      <end>16</end>
      <status>ignored</status>
      <modifiedWord/>
      <trackRevisions>false</trackRevisions>
    </reviewItem>
    <reviewItem>
      <errorID>4459ae2a-fc0d-4297-b23b-547dc2dd8f59</errorID>
      <errorWord>处</errorWord>
      <group>L1_Word</group>
      <groupName>字词问题</groupName>
      <ability>L2_Typo</ability>
      <abilityName>字词错误</abilityName>
      <candidateList>
        <item>处于</item>
      </candidateList>
      <explain>〈动〉在某种地位或状态：～优势｜伤员～昏迷状态。</explain>
      <paraID>357AF876</paraID>
      <start>8</start>
      <end>10</end>
      <status>modified</status>
      <modifiedWord>处于</modifiedWord>
      <trackRevisions>false</trackRevisions>
    </reviewItem>
    <reviewItem>
      <errorID>a5c3d44a-ee53-45cb-9abb-35d05c067ca9</errorID>
      <errorWord>27）、</errorWord>
      <group>L1_Punc</group>
      <groupName>标点问题</groupName>
      <ability>L2_Punc</ability>
      <abilityName>标点符号检查</abilityName>
      <candidateList>
        <item>27）</item>
      </candidateList>
      <explain>根据国标GB/T 15834-2011《标点符号用法》中的4.5.3.3节，带括号的汉字数字或阿拉伯数字表次序时，后面通常不加顿号。如“（一）指导思想”“（二）行动指南”。</explain>
      <paraID> 20467C1</paraID>
      <start>40</start>
      <end>44</end>
      <status>ignored</status>
      <modifiedWord/>
      <trackRevisions>false</trackRevisions>
    </reviewItem>
    <reviewItem>
      <errorID>70491429-24ca-4f90-8811-409a47d89168</errorID>
      <errorWord>-</errorWord>
      <group>L1_Format</group>
      <groupName>格式问题</groupName>
      <ability>L2_HalfPunc</ability>
      <abilityName>全半角检查</abilityName>
      <candidateList>
        <item>－</item>
      </candidateList>
      <explain>文本全半角错误。</explain>
      <paraID>4549D831</paraID>
      <start>38</start>
      <end>39</end>
      <status>modified</status>
      <modifiedWord>－</modifiedWord>
      <trackRevisions>false</trackRevisions>
    </reviewItem>
    <reviewItem>
      <errorID>98e398a6-25a9-4098-9fa4-14426e90844b</errorID>
      <errorWord>（&gt;</errorWord>
      <group>L1_Punc</group>
      <groupName>标点问题</groupName>
      <ability>L2_Punc</ability>
      <abilityName>标点符号检查</abilityName>
      <candidateList>
        <item>（</item>
      </candidateList>
      <explain/>
      <paraID>1E1BE672</paraID>
      <start>34</start>
      <end>36</end>
      <status>ignored</status>
      <modifiedWord/>
      <trackRevisions>false</trackRevisions>
    </reviewItem>
    <reviewItem>
      <errorID>ad3d1214-4739-4bc4-90e4-b22a6f927d76</errorID>
      <errorWord>'</errorWord>
      <group>L1_Format</group>
      <groupName>格式问题</groupName>
      <ability>L2_HalfPunc</ability>
      <abilityName>全半角检查</abilityName>
      <candidateList/>
      <explain>文本全半角错误。</explain>
      <paraID>169A7A7E</paraID>
      <start>82</start>
      <end>83</end>
      <status>modified</status>
      <modifiedWord>“</modifiedWord>
      <trackRevisions>false</trackRevisions>
    </reviewItem>
    <reviewItem>
      <errorID>6aa8172c-8976-4a6f-9496-e5b0c67c292d</errorID>
      <errorWord>'</errorWord>
      <group>L1_Format</group>
      <groupName>格式问题</groupName>
      <ability>L2_HalfPunc</ability>
      <abilityName>全半角检查</abilityName>
      <candidateList/>
      <explain>文本全半角错误。</explain>
      <paraID>169A7A7E</paraID>
      <start>108</start>
      <end>109</end>
      <status>modified</status>
      <modifiedWord>“</modifiedWord>
      <trackRevisions>false</trackRevisions>
    </reviewItem>
    <reviewItem>
      <errorID>d3c50c6b-9b38-4452-8e94-4cb6f8728ce5</errorID>
      <errorWord>'</errorWord>
      <group>L1_Format</group>
      <groupName>格式问题</groupName>
      <ability>L2_HalfPunc</ability>
      <abilityName>全半角检查</abilityName>
      <candidateList/>
      <explain>文本全半角错误。</explain>
      <paraID>169A7A7E</paraID>
      <start>113</start>
      <end>114</end>
      <status>modified</status>
      <modifiedWord>”</modifiedWord>
      <trackRevisions>false</trackRevisions>
    </reviewItem>
    <reviewItem>
      <errorID>b2c44109-4966-4c90-b1d2-5485c62a8bd0</errorID>
      <errorWord>'</errorWord>
      <group>L1_Format</group>
      <groupName>格式问题</groupName>
      <ability>L2_HalfPunc</ability>
      <abilityName>全半角检查</abilityName>
      <candidateList/>
      <explain>文本全半角错误。</explain>
      <paraID>169A7A7E</paraID>
      <start>169</start>
      <end>170</end>
      <status>modified</status>
      <modifiedWord>“</modifiedWord>
      <trackRevisions>false</trackRevisions>
    </reviewItem>
    <reviewItem>
      <errorID>c5befb9f-9355-4ea9-b0f5-82f243c29696</errorID>
      <errorWord>'</errorWord>
      <group>L1_Format</group>
      <groupName>格式问题</groupName>
      <ability>L2_HalfPunc</ability>
      <abilityName>全半角检查</abilityName>
      <candidateList/>
      <explain>文本全半角错误。</explain>
      <paraID>169A7A7E</paraID>
      <start>174</start>
      <end>175</end>
      <status>modified</status>
      <modifiedWord>”</modifiedWord>
      <trackRevisions>false</trackRevisions>
    </reviewItem>
    <reviewItem>
      <errorID>57854079-bbaa-403c-bd51-85b35b5a8c74</errorID>
      <errorWord>'</errorWord>
      <group>L1_Format</group>
      <groupName>格式问题</groupName>
      <ability>L2_HalfPunc</ability>
      <abilityName>全半角检查</abilityName>
      <candidateList/>
      <explain>文本全半角错误。</explain>
      <paraID>169A7A7E</paraID>
      <start>178</start>
      <end>179</end>
      <status>modified</status>
      <modifiedWord>“</modifiedWord>
      <trackRevisions>false</trackRevisions>
    </reviewItem>
    <reviewItem>
      <errorID>c986a3f2-ae9b-46cf-bcdc-aebaa87cf057</errorID>
      <errorWord>'</errorWord>
      <group>L1_Format</group>
      <groupName>格式问题</groupName>
      <ability>L2_HalfPunc</ability>
      <abilityName>全半角检查</abilityName>
      <candidateList/>
      <explain>文本全半角错误。</explain>
      <paraID>169A7A7E</paraID>
      <start>186</start>
      <end>187</end>
      <status>modified</status>
      <modifiedWord>”</modifiedWord>
      <trackRevisions>false</trackRevisions>
    </reviewItem>
    <reviewItem>
      <errorID>12a296fa-9ec1-4289-850c-47b65cdc48a1</errorID>
      <errorWord>（&gt;</errorWord>
      <group>L1_Punc</group>
      <groupName>标点问题</groupName>
      <ability>L2_Punc</ability>
      <abilityName>标点符号检查</abilityName>
      <candidateList>
        <item>（</item>
      </candidateList>
      <explain/>
      <paraID>10861FC8</paraID>
      <start>6</start>
      <end>8</end>
      <status>ignored</status>
      <modifiedWord/>
      <trackRevisions>false</trackRevisions>
    </reviewItem>
    <reviewItem>
      <errorID>25f668e0-3178-4866-8c5a-dda6264bcf3c</errorID>
      <errorWord>'</errorWord>
      <group>L1_Format</group>
      <groupName>格式问题</groupName>
      <ability>L2_HalfPunc</ability>
      <abilityName>全半角检查</abilityName>
      <candidateList/>
      <explain>文本全半角错误。</explain>
      <paraID>2029DCDA</paraID>
      <start>46</start>
      <end>47</end>
      <status>modified</status>
      <modifiedWord>“</modifiedWord>
      <trackRevisions>false</trackRevisions>
    </reviewItem>
    <reviewItem>
      <errorID>5069702b-bafd-4bae-9458-43d3d131e390</errorID>
      <errorWord>'</errorWord>
      <group>L1_Format</group>
      <groupName>格式问题</groupName>
      <ability>L2_HalfPunc</ability>
      <abilityName>全半角检查</abilityName>
      <candidateList/>
      <explain>文本全半角错误。</explain>
      <paraID>2029DCDA</paraID>
      <start>52</start>
      <end>53</end>
      <status>modified</status>
      <modifiedWord>”</modifiedWord>
      <trackRevisions>false</trackRevisions>
    </reviewItem>
    <reviewItem>
      <errorID>a410aaed-215b-4979-a696-ca5560a53e32</errorID>
      <errorWord>'</errorWord>
      <group>L1_Format</group>
      <groupName>格式问题</groupName>
      <ability>L2_HalfPunc</ability>
      <abilityName>全半角检查</abilityName>
      <candidateList/>
      <explain>文本全半角错误。</explain>
      <paraID>2029DCDA</paraID>
      <start>101</start>
      <end>102</end>
      <status>modified</status>
      <modifiedWord>“</modifiedWord>
      <trackRevisions>false</trackRevisions>
    </reviewItem>
    <reviewItem>
      <errorID>ed2e67ee-d889-4b3b-9171-e7fe3ccc8ea8</errorID>
      <errorWord>'</errorWord>
      <group>L1_Format</group>
      <groupName>格式问题</groupName>
      <ability>L2_HalfPunc</ability>
      <abilityName>全半角检查</abilityName>
      <candidateList/>
      <explain>文本全半角错误。</explain>
      <paraID>2029DCDA</paraID>
      <start>118</start>
      <end>119</end>
      <status>modified</status>
      <modifiedWord>”</modifiedWord>
      <trackRevisions>false</trackRevisions>
    </reviewItem>
    <reviewItem>
      <errorID>8a4171d7-1d3a-4e14-b784-5357a02f40f2</errorID>
      <errorWord>给</errorWord>
      <group>L1_Word</group>
      <groupName>字词问题</groupName>
      <ability>L2_Typo</ability>
      <abilityName>字词错误</abilityName>
      <candidateList>
        <item>给予</item>
      </candidateList>
      <explain>〈书〉〈动〉给（ɡěi）：～帮助｜～同情｜～亲切的关怀。也作给与。</explain>
      <paraID>2980A921</paraID>
      <start>10</start>
      <end>11</end>
      <status>ignored</status>
      <modifiedWord/>
      <trackRevisions>false</trackRevisions>
    </reviewItem>
    <reviewItem>
      <errorID>5feda677-2c2d-4263-9819-1c51f197eef8</errorID>
      <errorWord>*</errorWord>
      <group>L1_Punc</group>
      <groupName>标点问题</groupName>
      <ability>L2_Punc</ability>
      <abilityName>标点符号检查</abilityName>
      <candidateList/>
      <explain/>
      <paraID>78B2E762</paraID>
      <start>0</start>
      <end>1</end>
      <status>ignored</status>
      <modifiedWord/>
      <trackRevisions>false</trackRevisions>
    </reviewItem>
    <reviewItem>
      <errorID>cddf7ace-e060-4f6e-9b34-699979b35515</errorID>
      <errorWord>*</errorWord>
      <group>L1_Punc</group>
      <groupName>标点问题</groupName>
      <ability>L2_Punc</ability>
      <abilityName>标点符号检查</abilityName>
      <candidateList/>
      <explain/>
      <paraID>65FF662D</paraID>
      <start>0</start>
      <end>1</end>
      <status>ignored</status>
      <modifiedWord/>
      <trackRevisions>false</trackRevisions>
    </reviewItem>
    <reviewItem>
      <errorID>81e88fdf-be1e-48a7-ad33-35363da87eea</errorID>
      <errorWord>*</errorWord>
      <group>L1_Punc</group>
      <groupName>标点问题</groupName>
      <ability>L2_Punc</ability>
      <abilityName>标点符号检查</abilityName>
      <candidateList/>
      <explain/>
      <paraID> 9CABE45</paraID>
      <start>0</start>
      <end>1</end>
      <status>ignored</status>
      <modifiedWord/>
      <trackRevisions>false</trackRevisions>
    </reviewItem>
    <reviewItem>
      <errorID>415491b5-c4f4-4bde-9cd3-fe4b9812d759</errorID>
      <errorWord>医保支付改革</errorWord>
      <group>L1_Word</group>
      <groupName>字词问题</groupName>
      <ability>L2_Typo</ability>
      <abilityName>字词错误</abilityName>
      <candidateList>
        <item>医保支付方式改革</item>
      </candidateList>
      <explain/>
      <paraID>2BEC19EF</paraID>
      <start>116</start>
      <end>122</end>
      <status>ignored</status>
      <modifiedWord/>
      <trackRevisions>false</trackRevisions>
    </reviewItem>
    <reviewItem>
      <errorID>736854fc-1e38-4534-a8ea-3b96697a2a25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17BCCD78</paraID>
      <start>17</start>
      <end>20</end>
      <status>ignored</status>
      <modifiedWord/>
      <trackRevisions>false</trackRevisions>
    </reviewItem>
    <reviewItem>
      <errorID>d7e455ff-0406-4918-8bfd-10e961ef2915</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17BCCD78</paraID>
      <start>27</start>
      <end>30</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1e7abe-a4bb-4d46-87db-d4d432efff24}">
  <ds:schemaRefs/>
</ds:datastoreItem>
</file>

<file path=docProps/app.xml><?xml version="1.0" encoding="utf-8"?>
<Properties xmlns="http://schemas.openxmlformats.org/officeDocument/2006/extended-properties" xmlns:vt="http://schemas.openxmlformats.org/officeDocument/2006/docPropsVTypes">
  <Template>Normal</Template>
  <Company>北京大学</Company>
  <Pages>94</Pages>
  <Words>8844</Words>
  <Characters>12356</Characters>
  <Lines>1</Lines>
  <Paragraphs>1</Paragraphs>
  <TotalTime>15</TotalTime>
  <ScaleCrop>false</ScaleCrop>
  <LinksUpToDate>false</LinksUpToDate>
  <CharactersWithSpaces>13074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模板</cp:category>
  <dcterms:created xsi:type="dcterms:W3CDTF">2025-09-08T07:59:00Z</dcterms:created>
  <dc:creator>计军平</dc:creator>
  <dc:description>该模板由计军平于2013年1月制作。Email: jackyjjp@gmail.com</dc:description>
  <cp:keywords>毕业论文 模板</cp:keywords>
  <cp:lastModifiedBy>Justin(朱钿)</cp:lastModifiedBy>
  <cp:lastPrinted>2023-01-06T01:14:00Z</cp:lastPrinted>
  <dcterms:modified xsi:type="dcterms:W3CDTF">2026-03-08T09:14:12Z</dcterms:modified>
  <dc:subject>模板</dc:subject>
  <dc:title>北京大学硕士学位论文模板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y fmtid="{D5CDD505-2E9C-101B-9397-08002B2CF9AE}" pid="5" name="KSOProductBuildVer">
    <vt:lpwstr>2052-12.1.0.25225</vt:lpwstr>
  </property>
  <property fmtid="{D5CDD505-2E9C-101B-9397-08002B2CF9AE}" pid="6" name="KSOTemplateDocerSaveRecord">
    <vt:lpwstr>eyJoZGlkIjoiYTI0Zjg4ZjA5MTM0MDRmN2U5YjBlYmIxOTFjYTE4OTgiLCJ1c2VySWQiOiI0MDk5Njk3MjgifQ==</vt:lpwstr>
  </property>
  <property fmtid="{D5CDD505-2E9C-101B-9397-08002B2CF9AE}" pid="7" name="ICV">
    <vt:lpwstr>E99C2ADF0BD749F8BD046BCA253B1149_13</vt:lpwstr>
  </property>
</Properties>
</file>